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48"/>
        <w:gridCol w:w="6472"/>
      </w:tblGrid>
      <w:tr>
        <w:tblPrEx>
          <w:shd w:val="clear" w:color="auto" w:fill="cdd4e9"/>
        </w:tblPrEx>
        <w:trPr>
          <w:trHeight w:val="571" w:hRule="atLeast"/>
        </w:trPr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spacing w:before="200" w:after="0" w:line="216" w:lineRule="auto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 No: 3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Date: 19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August 2024</w:t>
            </w:r>
          </w:p>
        </w:tc>
        <w:tc>
          <w:tcPr>
            <w:tcW w:type="dxa" w:w="6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1f1f1f"/>
                <w:sz w:val="24"/>
                <w:szCs w:val="24"/>
                <w:u w:color="1f1f1f"/>
                <w:shd w:val="nil" w:color="auto" w:fill="auto"/>
                <w:rtl w:val="0"/>
                <w:lang w:val="en-US"/>
                <w14:textFill>
                  <w14:solidFill>
                    <w14:srgbClr w14:val="1F1F1F"/>
                  </w14:solidFill>
                </w14:textFill>
              </w:rPr>
              <w:t xml:space="preserve">  Classify the Planar dataset using one hidden layer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Objective: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The goal is to construct a binary classification neural network with a single hidden layer, utilizing the tanh activation function in the hidden layer and sigmoid in the output layer. The chosen loss function for this model is Cross-Entropy Loss.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Description:</w:t>
      </w:r>
    </w:p>
    <w:p>
      <w:pPr>
        <w:pStyle w:val="Body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Binary classification refers to the task of categorizing data points into one of two distinct classes. In this case, we aim to classify data from a "flower" dataset, where each data point is associated with features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X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an output label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where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Y = 0</w:t>
      </w:r>
      <w:r>
        <w:rPr>
          <w:rFonts w:ascii="Times New Roman" w:hAnsi="Times New Roman"/>
          <w:sz w:val="24"/>
          <w:szCs w:val="24"/>
          <w:rtl w:val="0"/>
        </w:rPr>
        <w:t xml:space="preserve"> or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 Y = 1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drawing xmlns:a="http://schemas.openxmlformats.org/drawingml/2006/main">
          <wp:inline distT="0" distB="0" distL="0" distR="0">
            <wp:extent cx="3261360" cy="248412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188" t="11516" r="6178" b="3163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484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Model:</w:t>
      </w:r>
    </w:p>
    <w:p>
      <w:pPr>
        <w:pStyle w:val="Body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 this experiment, we construct a neural network with a single hidden layer. This layer enables the model to identify more complex patterns within the data, as opposed to a logistic regression model, which lacks hidden layers.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Input Layer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: Accepts the feature set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X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nl-NL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>Hidden Layer</w:t>
      </w:r>
      <w:r>
        <w:rPr>
          <w:rFonts w:ascii="Times New Roman" w:hAnsi="Times New Roman"/>
          <w:sz w:val="24"/>
          <w:szCs w:val="24"/>
          <w:rtl w:val="0"/>
          <w:lang w:val="en-US"/>
        </w:rPr>
        <w:t>: Applies a non-linear activation function (tanh) to capture intricate relationships within the data.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Output Layer</w:t>
      </w:r>
      <w:r>
        <w:rPr>
          <w:rFonts w:ascii="Times New Roman" w:hAnsi="Times New Roman"/>
          <w:sz w:val="24"/>
          <w:szCs w:val="24"/>
          <w:rtl w:val="0"/>
          <w:lang w:val="en-US"/>
        </w:rPr>
        <w:t>: Utilizes the sigmoid function to output probability predictions for each class.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Model parameters, including weights and biases, are initialized randomly and are fine-tuned through gradient descent during training.</w:t>
      </w:r>
    </w:p>
    <w:p>
      <w:pPr>
        <w:pStyle w:val="Body"/>
        <w:ind w:left="720"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drawing xmlns:a="http://schemas.openxmlformats.org/drawingml/2006/main">
          <wp:inline distT="0" distB="0" distL="0" distR="0">
            <wp:extent cx="4924425" cy="3185161"/>
            <wp:effectExtent l="0" t="0" r="0" 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85161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Building the parts of the algorithm:</w:t>
      </w:r>
    </w:p>
    <w:p>
      <w:pPr>
        <w:pStyle w:val="Body"/>
        <w:spacing w:before="100" w:after="100" w:line="240" w:lineRule="auto"/>
        <w:jc w:val="both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The primary steps to build this neural network are detailed as follows: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Model Structure Definition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Number of Input Features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 xml:space="preserve">: Defined by the dimensionality of the feature vector </w:t>
      </w:r>
      <w:r>
        <w:rPr>
          <w:rFonts w:ascii="Times New Roman" w:hAnsi="Times New Roman"/>
          <w:i w:val="1"/>
          <w:iCs w:val="1"/>
          <w:kern w:val="0"/>
          <w:sz w:val="24"/>
          <w:szCs w:val="24"/>
          <w:rtl w:val="0"/>
        </w:rPr>
        <w:t>X</w:t>
      </w:r>
      <w:r>
        <w:rPr>
          <w:rFonts w:ascii="Times New Roman" w:hAnsi="Times New Roman"/>
          <w:kern w:val="0"/>
          <w:sz w:val="24"/>
          <w:szCs w:val="24"/>
          <w:rtl w:val="0"/>
        </w:rPr>
        <w:t>.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Number of Hidden Units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A hyperparameter that can be tuned to improve model performance.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Activation Functions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tanh is applied in the hidden layer, while the output layer uses the sigmoid function.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Parameter Initialization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Weights and biases are initialized randomly to facilitate effective learning.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Proper initialization is key to ensuring the network learns efficiently during training.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Forward Propagation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Compute the linear combination of inputs and weights.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Apply activation functions to introduce non-linearity.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Compute the predicted output.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it-IT"/>
        </w:rPr>
        <w:t>Loss Calculation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The cross-entropy loss function measures the difference between the predicted and actual labels.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This loss function provides guidance for the model to adjust parameters.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Backward Propagation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Calculate gradients of the loss function with respect to the model parameters.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Use these gradients to adjust parameters in a direction that minimizes the loss.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</w:rPr>
        <w:t>Parameter Update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Gradient descent is applied to iteratively improve model performance by minimizing the loss function.</w:t>
      </w:r>
    </w:p>
    <w:p>
      <w:pPr>
        <w:pStyle w:val="Body"/>
        <w:numPr>
          <w:ilvl w:val="0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Building a Network using </w:t>
      </w:r>
      <w:r>
        <w:rPr>
          <w:rFonts w:ascii="Courier New" w:hAnsi="Courier New"/>
          <w:b w:val="1"/>
          <w:bCs w:val="1"/>
          <w:kern w:val="0"/>
          <w:sz w:val="20"/>
          <w:szCs w:val="20"/>
          <w:rtl w:val="0"/>
          <w:lang w:val="en-US"/>
        </w:rPr>
        <w:t>nn_model()</w:t>
      </w:r>
    </w:p>
    <w:p>
      <w:pPr>
        <w:pStyle w:val="Body"/>
        <w:numPr>
          <w:ilvl w:val="1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Integrate the steps of forward propagation, cost computation, backward propagation, and parameter updating into a cohesive model. This model adjusts parameters iteratively to make accurate predictions.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Key Observations:</w:t>
      </w:r>
    </w:p>
    <w:p>
      <w:pPr>
        <w:pStyle w:val="Normal (Web)"/>
        <w:ind w:firstLine="360"/>
        <w:jc w:val="both"/>
      </w:pPr>
      <w:r>
        <w:rPr>
          <w:rtl w:val="0"/>
          <w:lang w:val="en-US"/>
        </w:rPr>
        <w:t>The neural network is trained on a planar dataset, and its performance is evaluated by visualizing the decision boundary and comparing predicted outputs with actual labels. With a well-trained model, we expect accurate classification, illustrating the benefit of incorporating a hidden layer in binary classification tasks. The trained model achieves a classification accuracy of 90%, highlighting the effectiveness of this shallow neural network.</w:t>
      </w:r>
    </w:p>
    <w:p>
      <w:pPr>
        <w:pStyle w:val="Normal (Web)"/>
        <w:ind w:firstLine="360"/>
        <w:jc w:val="both"/>
      </w:pPr>
      <w:r>
        <w:br w:type="textWrapping"/>
      </w:r>
      <w:r>
        <w:rPr>
          <w:b w:val="1"/>
          <w:bCs w:val="1"/>
          <w:rtl w:val="0"/>
          <w:lang w:val="en-US"/>
        </w:rPr>
        <w:t>GitHub Link:</w:t>
      </w:r>
      <w:r>
        <w:rPr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"https://github.com/adrocx/DeepLearning"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https://github.com/adrocx/DeepLearning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Normal (Web)"/>
        <w:ind w:firstLine="360"/>
        <w:jc w:val="both"/>
      </w:pPr>
      <w:r>
        <w:rPr>
          <w:rtl w:val="0"/>
          <w:lang w:val="en-US"/>
        </w:rPr>
        <w:t xml:space="preserve"> 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  <w:rPr>
        <w:b w:val="1"/>
        <w:bCs w:val="1"/>
      </w:rPr>
    </w:pPr>
    <w:r>
      <w:rPr>
        <w:b w:val="1"/>
        <w:bCs w:val="1"/>
        <w:rtl w:val="0"/>
        <w:lang w:val="en-US"/>
      </w:rPr>
      <w:t>USN NUMBER: 1RVU22CSE</w:t>
    </w:r>
    <w:r>
      <w:rPr>
        <w:b w:val="1"/>
        <w:bCs w:val="1"/>
        <w:rtl w:val="0"/>
        <w:lang w:val="en-US"/>
      </w:rPr>
      <w:t>010</w:t>
    </w:r>
  </w:p>
  <w:p>
    <w:pPr>
      <w:pStyle w:val="header"/>
      <w:tabs>
        <w:tab w:val="right" w:pos="9000"/>
        <w:tab w:val="clear" w:pos="9026"/>
      </w:tabs>
    </w:pPr>
    <w:r>
      <w:rPr>
        <w:b w:val="1"/>
        <w:bCs w:val="1"/>
        <w:rtl w:val="0"/>
        <w:lang w:val="en-US"/>
      </w:rPr>
      <w:t xml:space="preserve">NAME: </w:t>
    </w:r>
    <w:r>
      <w:rPr>
        <w:b w:val="1"/>
        <w:bCs w:val="1"/>
        <w:rtl w:val="0"/>
        <w:lang w:val="en-US"/>
      </w:rPr>
      <w:t>ADITYA RAJU A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