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8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6</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18</w:t>
            </w:r>
            <w:r>
              <w:rPr>
                <w:rFonts w:ascii="Times New Roman" w:hAnsi="Times New Roman"/>
                <w:b w:val="1"/>
                <w:bCs w:val="1"/>
                <w:sz w:val="24"/>
                <w:szCs w:val="24"/>
                <w:shd w:val="nil" w:color="auto" w:fill="auto"/>
                <w:vertAlign w:val="superscript"/>
                <w:rtl w:val="0"/>
                <w:lang w:val="en-US"/>
              </w:rPr>
              <w:t>th</w:t>
            </w:r>
            <w:r>
              <w:rPr>
                <w:rFonts w:ascii="Times New Roman" w:hAnsi="Times New Roman"/>
                <w:b w:val="1"/>
                <w:bCs w:val="1"/>
                <w:sz w:val="24"/>
                <w:szCs w:val="24"/>
                <w:shd w:val="nil" w:color="auto" w:fill="auto"/>
                <w:rtl w:val="0"/>
                <w:lang w:val="en-US"/>
              </w:rPr>
              <w:t xml:space="preserve"> September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Transfer Learning in Image Classification</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The objective 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Model Summary:</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4550634" cy="358902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550634" cy="358902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Figure1: A sequential CNN model used in Transfer Learning.</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Here are the steps involved in building each part of the algorithm:</w:t>
      </w:r>
    </w:p>
    <w:p>
      <w:pPr>
        <w:pStyle w:val="List Paragraph"/>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Imports and Installation</w:t>
      </w:r>
      <w:r>
        <w:rPr>
          <w:rFonts w:ascii="Times New Roman" w:hAnsi="Times New Roman"/>
          <w:kern w:val="0"/>
          <w:sz w:val="24"/>
          <w:szCs w:val="24"/>
          <w:rtl w:val="0"/>
          <w:lang w:val="en-US"/>
        </w:rPr>
        <w:t>:</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Libraries such as TensorFlow, TensorFlow Hub, Keras, OpenCV, and Matplotlib are used for model construction, training, and visualization.</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Dependencies are installed using pip, including TensorFlow Hub and OpenCV.</w:t>
      </w:r>
    </w:p>
    <w:p>
      <w:pPr>
        <w:pStyle w:val="List Paragraph"/>
        <w:numPr>
          <w:ilvl w:val="0"/>
          <w:numId w:val="5"/>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Pre-trained Model Selection</w:t>
      </w:r>
      <w:r>
        <w:rPr>
          <w:rFonts w:ascii="Times New Roman" w:hAnsi="Times New Roman"/>
          <w:kern w:val="0"/>
          <w:sz w:val="24"/>
          <w:szCs w:val="24"/>
          <w:rtl w:val="0"/>
          <w:lang w:val="en-US"/>
        </w:rPr>
        <w:t>:</w:t>
      </w:r>
    </w:p>
    <w:p>
      <w:pPr>
        <w:pStyle w:val="Body"/>
        <w:numPr>
          <w:ilvl w:val="0"/>
          <w:numId w:val="7"/>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 xml:space="preserve">A pre-trained </w:t>
      </w:r>
      <w:r>
        <w:rPr>
          <w:rFonts w:ascii="Times New Roman" w:hAnsi="Times New Roman"/>
          <w:b w:val="1"/>
          <w:bCs w:val="1"/>
          <w:kern w:val="0"/>
          <w:sz w:val="24"/>
          <w:szCs w:val="24"/>
          <w:rtl w:val="0"/>
          <w:lang w:val="da-DK"/>
        </w:rPr>
        <w:t>MobileNetV2 model</w:t>
      </w:r>
      <w:r>
        <w:rPr>
          <w:rFonts w:ascii="Times New Roman" w:hAnsi="Times New Roman"/>
          <w:kern w:val="0"/>
          <w:sz w:val="24"/>
          <w:szCs w:val="24"/>
          <w:rtl w:val="0"/>
          <w:lang w:val="en-US"/>
        </w:rPr>
        <w:t xml:space="preserve"> is downloaded from TensorFlow Hub using hub.KerasLayer. This model is designed for transfer learning and used as a feature extractor.</w:t>
      </w:r>
    </w:p>
    <w:p>
      <w:pPr>
        <w:pStyle w:val="Body"/>
        <w:numPr>
          <w:ilvl w:val="0"/>
          <w:numId w:val="7"/>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The model's top (classification) layer is removed, and custom dense layers are added to adapt the model for the flower classification task.</w:t>
      </w:r>
    </w:p>
    <w:p>
      <w:pPr>
        <w:pStyle w:val="List Paragraph"/>
        <w:numPr>
          <w:ilvl w:val="0"/>
          <w:numId w:val="8"/>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Model Construction</w:t>
      </w:r>
      <w:r>
        <w:rPr>
          <w:rFonts w:ascii="Times New Roman" w:hAnsi="Times New Roman"/>
          <w:kern w:val="0"/>
          <w:sz w:val="24"/>
          <w:szCs w:val="24"/>
          <w:rtl w:val="0"/>
          <w:lang w:val="en-US"/>
        </w:rPr>
        <w:t>:</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The architecture includes the pre-trained feature extractor, followed by custom layers: batch normalization, dropout, and dense layers for classification. The final layer has five output neurons, one for each flower class.</w:t>
      </w:r>
    </w:p>
    <w:p>
      <w:pPr>
        <w:pStyle w:val="List Paragraph"/>
        <w:numPr>
          <w:ilvl w:val="0"/>
          <w:numId w:val="11"/>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Model Compilation and Training</w:t>
      </w:r>
      <w:r>
        <w:rPr>
          <w:rFonts w:ascii="Times New Roman" w:hAnsi="Times New Roman"/>
          <w:kern w:val="0"/>
          <w:sz w:val="24"/>
          <w:szCs w:val="24"/>
          <w:rtl w:val="0"/>
          <w:lang w:val="en-US"/>
        </w:rPr>
        <w:t>:</w:t>
      </w:r>
    </w:p>
    <w:p>
      <w:pPr>
        <w:pStyle w:val="Body"/>
        <w:numPr>
          <w:ilvl w:val="0"/>
          <w:numId w:val="13"/>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The model is compiled using the Adam optimizer and Sparse Categorical Crossentropy as the loss function (since this is a multi-class classification problem).</w:t>
      </w:r>
    </w:p>
    <w:p>
      <w:pPr>
        <w:pStyle w:val="Body"/>
        <w:numPr>
          <w:ilvl w:val="0"/>
          <w:numId w:val="13"/>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It is trained on the flower dataset with 10 epochs, using a batch size of 64 and a validation split of 20%.</w:t>
      </w:r>
    </w:p>
    <w:p>
      <w:pPr>
        <w:pStyle w:val="List Paragraph"/>
        <w:numPr>
          <w:ilvl w:val="0"/>
          <w:numId w:val="1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Evaluation and Prediction</w:t>
      </w:r>
      <w:r>
        <w:rPr>
          <w:rFonts w:ascii="Times New Roman" w:hAnsi="Times New Roman"/>
          <w:kern w:val="0"/>
          <w:sz w:val="24"/>
          <w:szCs w:val="24"/>
          <w:rtl w:val="0"/>
          <w:lang w:val="en-US"/>
        </w:rPr>
        <w:t>:</w:t>
      </w: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The model is evaluated on test data.</w:t>
      </w:r>
    </w:p>
    <w:p>
      <w:pPr>
        <w:pStyle w:val="Body"/>
        <w:numPr>
          <w:ilvl w:val="0"/>
          <w:numId w:val="16"/>
        </w:numPr>
        <w:bidi w:val="0"/>
        <w:spacing w:before="100" w:after="100" w:line="240" w:lineRule="auto"/>
        <w:ind w:right="0"/>
        <w:jc w:val="left"/>
        <w:rPr>
          <w:rFonts w:ascii="Times New Roman" w:hAnsi="Times New Roman"/>
          <w:sz w:val="24"/>
          <w:szCs w:val="24"/>
          <w:rtl w:val="0"/>
          <w:lang w:val="en-US"/>
        </w:rPr>
      </w:pPr>
      <w:r>
        <w:rPr>
          <w:rFonts w:ascii="Times New Roman" w:hAnsi="Times New Roman"/>
          <w:kern w:val="0"/>
          <w:sz w:val="24"/>
          <w:szCs w:val="24"/>
          <w:rtl w:val="0"/>
          <w:lang w:val="en-US"/>
        </w:rPr>
        <w:t>A prediction function is implemented that loads an image, preprocesses it, and predicts the flower class using the trained model.</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pPr>
        <w:pStyle w:val="Body"/>
      </w:pPr>
      <w:r>
        <w:rPr>
          <w:rFonts w:ascii="Times New Roman" w:hAnsi="Times New Roman"/>
          <w:b w:val="1"/>
          <w:bCs w:val="1"/>
          <w:sz w:val="24"/>
          <w:szCs w:val="24"/>
          <w:rtl w:val="0"/>
          <w:lang w:val="nl-NL"/>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Fonts w:cs="Arial Unicode MS" w:eastAsia="Arial Unicode MS"/>
          <w:rtl w:val="0"/>
          <w:lang w:val="en-US"/>
        </w:rPr>
        <w:t>https://github.com/adrocx/DeepLearning</w:t>
      </w:r>
      <w:r>
        <w:rPr/>
        <w:fldChar w:fldCharType="end" w:fldLock="0"/>
      </w:r>
      <w:r>
        <w:rPr>
          <w:rFonts w:ascii="Times New Roman" w:hAnsi="Times New Roman"/>
          <w:b w:val="1"/>
          <w:bCs w:val="1"/>
          <w:sz w:val="24"/>
          <w:szCs w:val="24"/>
          <w:rtl w:val="0"/>
          <w:lang w:val="en-US"/>
        </w:rPr>
        <w:t xml:space="preserve"> </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80"/>
        </w:tabs>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80"/>
        </w:tabs>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80"/>
        </w:tabs>
        <w:ind w:left="2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80"/>
        </w:tabs>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80"/>
        </w:tabs>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80"/>
        </w:tabs>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80"/>
        </w:tabs>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80"/>
        </w:tabs>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80"/>
        </w:tabs>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80"/>
        </w:tabs>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80"/>
        </w:tabs>
        <w:ind w:left="2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80"/>
        </w:tabs>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80"/>
        </w:tabs>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80"/>
        </w:tabs>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80"/>
        </w:tabs>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80"/>
        </w:tabs>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80"/>
        </w:tabs>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80"/>
        </w:tabs>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80"/>
        </w:tabs>
        <w:ind w:left="2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80"/>
        </w:tabs>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80"/>
        </w:tabs>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80"/>
        </w:tabs>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80"/>
        </w:tabs>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80"/>
        </w:tabs>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80"/>
        </w:tabs>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80"/>
        </w:tabs>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80"/>
        </w:tabs>
        <w:ind w:left="2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80"/>
        </w:tabs>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80"/>
        </w:tabs>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80"/>
        </w:tabs>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80"/>
        </w:tabs>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80"/>
        </w:tabs>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80"/>
        </w:tabs>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80"/>
        </w:tabs>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80"/>
        </w:tabs>
        <w:ind w:left="2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80"/>
        </w:tabs>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80"/>
        </w:tabs>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80"/>
        </w:tabs>
        <w:ind w:left="5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80"/>
        </w:tabs>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80"/>
        </w:tabs>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