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B3" w:rsidRPr="00782721" w:rsidRDefault="00E23146" w:rsidP="00782721">
      <w:pPr>
        <w:spacing w:before="100" w:beforeAutospacing="1" w:after="100" w:afterAutospacing="1" w:line="360" w:lineRule="auto"/>
        <w:outlineLvl w:val="0"/>
        <w:rPr>
          <w:rFonts w:asciiTheme="majorBidi" w:eastAsia="Times New Roman" w:hAnsiTheme="majorBidi" w:cstheme="majorBidi"/>
          <w:b/>
          <w:bCs/>
          <w:sz w:val="28"/>
          <w:szCs w:val="28"/>
        </w:rPr>
      </w:pPr>
      <w:r w:rsidRPr="00782721">
        <w:rPr>
          <w:rFonts w:asciiTheme="majorBidi" w:eastAsia="Times New Roman" w:hAnsiTheme="majorBidi" w:cstheme="majorBidi"/>
          <w:b/>
          <w:bCs/>
          <w:kern w:val="36"/>
          <w:sz w:val="48"/>
          <w:szCs w:val="48"/>
        </w:rPr>
        <w:t>Analysis and Prediction of 28-Day Tensile Strength Using Artificial Neural Networks</w:t>
      </w:r>
      <w:r w:rsidRPr="00782721">
        <w:rPr>
          <w:rFonts w:asciiTheme="majorBidi" w:eastAsia="Times New Roman" w:hAnsiTheme="majorBidi" w:cstheme="majorBidi"/>
          <w:b/>
          <w:bCs/>
          <w:sz w:val="28"/>
          <w:szCs w:val="28"/>
        </w:rPr>
        <w:t xml:space="preserve">1. </w:t>
      </w:r>
    </w:p>
    <w:p w:rsidR="00E23146" w:rsidRPr="00E23146" w:rsidRDefault="008203B3" w:rsidP="00782721">
      <w:pPr>
        <w:spacing w:before="100" w:beforeAutospacing="1" w:after="100" w:afterAutospacing="1" w:line="360" w:lineRule="auto"/>
        <w:outlineLvl w:val="0"/>
        <w:rPr>
          <w:rFonts w:asciiTheme="majorBidi" w:eastAsia="Times New Roman" w:hAnsiTheme="majorBidi" w:cstheme="majorBidi"/>
          <w:b/>
          <w:bCs/>
          <w:kern w:val="36"/>
          <w:sz w:val="48"/>
          <w:szCs w:val="48"/>
        </w:rPr>
      </w:pPr>
      <w:r w:rsidRPr="00782721">
        <w:rPr>
          <w:rFonts w:asciiTheme="majorBidi" w:eastAsia="Times New Roman" w:hAnsiTheme="majorBidi" w:cstheme="majorBidi"/>
          <w:b/>
          <w:bCs/>
          <w:sz w:val="28"/>
          <w:szCs w:val="28"/>
        </w:rPr>
        <w:t xml:space="preserve">1. </w:t>
      </w:r>
      <w:r w:rsidR="00E23146" w:rsidRPr="00782721">
        <w:rPr>
          <w:rFonts w:asciiTheme="majorBidi" w:eastAsia="Times New Roman" w:hAnsiTheme="majorBidi" w:cstheme="majorBidi"/>
          <w:b/>
          <w:bCs/>
          <w:sz w:val="28"/>
          <w:szCs w:val="28"/>
        </w:rPr>
        <w:t>Introduction</w:t>
      </w:r>
      <w:r w:rsidR="00E23146" w:rsidRPr="00E23146">
        <w:rPr>
          <w:rFonts w:asciiTheme="majorBidi" w:eastAsia="Times New Roman" w:hAnsiTheme="majorBidi" w:cstheme="majorBidi"/>
          <w:sz w:val="24"/>
          <w:szCs w:val="24"/>
        </w:rPr>
        <w:br/>
        <w:t>Tensile strength is a fundamental property in material science, indicating a material’s resistance to failure under tension (Ashby &amp; Jones, 2018). Accurate prediction of tensile strength is crucial in evaluating structural performance in construction and civil engineering. This study analyzes tensile strength development over time—specifically at 7, 14, 21, and 28 days—to predict the 28-day tensile strength using an ANN. The project supports ongoing research in material behavior and offers a baseline machine learning workflow for similar datasets.</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8"/>
          <w:szCs w:val="28"/>
        </w:rPr>
      </w:pPr>
      <w:r w:rsidRPr="00782721">
        <w:rPr>
          <w:rFonts w:asciiTheme="majorBidi" w:eastAsia="Times New Roman" w:hAnsiTheme="majorBidi" w:cstheme="majorBidi"/>
          <w:b/>
          <w:bCs/>
          <w:sz w:val="28"/>
          <w:szCs w:val="28"/>
        </w:rPr>
        <w:t>2. Dataset Overview</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bookmarkStart w:id="0" w:name="_Hlk200047180"/>
      <w:r w:rsidRPr="00782721">
        <w:rPr>
          <w:rFonts w:asciiTheme="majorBidi" w:eastAsia="Times New Roman" w:hAnsiTheme="majorBidi" w:cstheme="majorBidi"/>
          <w:b/>
          <w:bCs/>
          <w:sz w:val="24"/>
          <w:szCs w:val="24"/>
        </w:rPr>
        <w:t>2.1 Dataset Description</w:t>
      </w:r>
      <w:bookmarkEnd w:id="0"/>
      <w:r w:rsidRPr="00E23146">
        <w:rPr>
          <w:rFonts w:asciiTheme="majorBidi" w:eastAsia="Times New Roman" w:hAnsiTheme="majorBidi" w:cstheme="majorBidi"/>
          <w:sz w:val="24"/>
          <w:szCs w:val="24"/>
        </w:rPr>
        <w:br/>
        <w:t>The dataset comprises 180 samples</w:t>
      </w:r>
      <w:r w:rsidRPr="00782721">
        <w:rPr>
          <w:rFonts w:asciiTheme="majorBidi" w:eastAsia="Times New Roman" w:hAnsiTheme="majorBidi" w:cstheme="majorBidi"/>
          <w:sz w:val="24"/>
          <w:szCs w:val="24"/>
        </w:rPr>
        <w:t>, i</w:t>
      </w:r>
      <w:r w:rsidRPr="00E23146">
        <w:rPr>
          <w:rFonts w:asciiTheme="majorBidi" w:eastAsia="Times New Roman" w:hAnsiTheme="majorBidi" w:cstheme="majorBidi"/>
          <w:sz w:val="24"/>
          <w:szCs w:val="24"/>
        </w:rPr>
        <w:t>t includes:</w:t>
      </w:r>
    </w:p>
    <w:p w:rsidR="00E23146" w:rsidRPr="00E23146" w:rsidRDefault="00E23146" w:rsidP="00782721">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Sample Type (categorical)</w:t>
      </w:r>
    </w:p>
    <w:p w:rsidR="00E23146" w:rsidRPr="00E23146" w:rsidRDefault="00E23146" w:rsidP="00782721">
      <w:pPr>
        <w:numPr>
          <w:ilvl w:val="0"/>
          <w:numId w:val="1"/>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Tensile Load and Tensile Strength at 7, 14, 21, and 28 days</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There are no missing values. The data distribution is consistent across samples and time points.</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bookmarkStart w:id="1" w:name="_Hlk200047213"/>
      <w:bookmarkStart w:id="2" w:name="_Hlk200047421"/>
      <w:r w:rsidRPr="00782721">
        <w:rPr>
          <w:rFonts w:asciiTheme="majorBidi" w:eastAsia="Times New Roman" w:hAnsiTheme="majorBidi" w:cstheme="majorBidi"/>
          <w:b/>
          <w:bCs/>
          <w:sz w:val="24"/>
          <w:szCs w:val="24"/>
        </w:rPr>
        <w:t xml:space="preserve">2.2 </w:t>
      </w:r>
      <w:bookmarkStart w:id="3" w:name="_Hlk200047043"/>
      <w:bookmarkEnd w:id="1"/>
      <w:r w:rsidRPr="00782721">
        <w:rPr>
          <w:rFonts w:asciiTheme="majorBidi" w:eastAsia="Times New Roman" w:hAnsiTheme="majorBidi" w:cstheme="majorBidi"/>
          <w:b/>
          <w:bCs/>
          <w:sz w:val="24"/>
          <w:szCs w:val="24"/>
        </w:rPr>
        <w:t>Statistical Summary of Tensile Strength (N/mm²)</w:t>
      </w:r>
      <w:bookmarkEnd w:id="3"/>
    </w:p>
    <w:tbl>
      <w:tblPr>
        <w:tblStyle w:val="TableGrid"/>
        <w:tblW w:w="0" w:type="auto"/>
        <w:tblLayout w:type="fixed"/>
        <w:tblLook w:val="04A0" w:firstRow="1" w:lastRow="0" w:firstColumn="1" w:lastColumn="0" w:noHBand="0" w:noVBand="1"/>
      </w:tblPr>
      <w:tblGrid>
        <w:gridCol w:w="1663"/>
        <w:gridCol w:w="1026"/>
        <w:gridCol w:w="1134"/>
        <w:gridCol w:w="1134"/>
        <w:gridCol w:w="1275"/>
      </w:tblGrid>
      <w:tr w:rsidR="00E23146" w:rsidRPr="00E23146" w:rsidTr="00C05291">
        <w:tc>
          <w:tcPr>
            <w:tcW w:w="1663" w:type="dxa"/>
            <w:hideMark/>
          </w:tcPr>
          <w:p w:rsidR="00E23146" w:rsidRPr="00E23146" w:rsidRDefault="00E23146" w:rsidP="00782721">
            <w:pPr>
              <w:spacing w:line="360" w:lineRule="auto"/>
              <w:jc w:val="center"/>
              <w:rPr>
                <w:rFonts w:asciiTheme="majorBidi" w:eastAsia="Times New Roman" w:hAnsiTheme="majorBidi" w:cstheme="majorBidi"/>
                <w:b/>
                <w:bCs/>
                <w:sz w:val="24"/>
                <w:szCs w:val="24"/>
              </w:rPr>
            </w:pPr>
            <w:bookmarkStart w:id="4" w:name="_Hlk200047407"/>
            <w:r w:rsidRPr="00E23146">
              <w:rPr>
                <w:rFonts w:asciiTheme="majorBidi" w:eastAsia="Times New Roman" w:hAnsiTheme="majorBidi" w:cstheme="majorBidi"/>
                <w:b/>
                <w:bCs/>
                <w:sz w:val="24"/>
                <w:szCs w:val="24"/>
              </w:rPr>
              <w:t>Metric</w:t>
            </w:r>
          </w:p>
        </w:tc>
        <w:tc>
          <w:tcPr>
            <w:tcW w:w="1026" w:type="dxa"/>
            <w:hideMark/>
          </w:tcPr>
          <w:p w:rsidR="00E23146" w:rsidRPr="00E23146" w:rsidRDefault="00E23146" w:rsidP="00782721">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7</w:t>
            </w:r>
            <w:r w:rsidR="009B57F8" w:rsidRPr="00782721">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009B57F8" w:rsidRPr="00782721">
              <w:rPr>
                <w:rFonts w:asciiTheme="majorBidi" w:eastAsia="Times New Roman" w:hAnsiTheme="majorBidi" w:cstheme="majorBidi"/>
                <w:b/>
                <w:bCs/>
                <w:sz w:val="24"/>
                <w:szCs w:val="24"/>
              </w:rPr>
              <w:t>ays</w:t>
            </w:r>
          </w:p>
        </w:tc>
        <w:tc>
          <w:tcPr>
            <w:tcW w:w="1134" w:type="dxa"/>
            <w:hideMark/>
          </w:tcPr>
          <w:p w:rsidR="00E23146" w:rsidRPr="00E23146" w:rsidRDefault="00E23146" w:rsidP="00782721">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14</w:t>
            </w:r>
            <w:r w:rsidR="00C05291" w:rsidRPr="00782721">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00C05291" w:rsidRPr="00782721">
              <w:rPr>
                <w:rFonts w:asciiTheme="majorBidi" w:eastAsia="Times New Roman" w:hAnsiTheme="majorBidi" w:cstheme="majorBidi"/>
                <w:b/>
                <w:bCs/>
                <w:sz w:val="24"/>
                <w:szCs w:val="24"/>
              </w:rPr>
              <w:t>ays</w:t>
            </w:r>
          </w:p>
        </w:tc>
        <w:tc>
          <w:tcPr>
            <w:tcW w:w="1134" w:type="dxa"/>
            <w:hideMark/>
          </w:tcPr>
          <w:p w:rsidR="00E23146" w:rsidRPr="00E23146" w:rsidRDefault="00E23146" w:rsidP="00782721">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21</w:t>
            </w:r>
            <w:r w:rsidR="00C05291" w:rsidRPr="00782721">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00C05291" w:rsidRPr="00782721">
              <w:rPr>
                <w:rFonts w:asciiTheme="majorBidi" w:eastAsia="Times New Roman" w:hAnsiTheme="majorBidi" w:cstheme="majorBidi"/>
                <w:b/>
                <w:bCs/>
                <w:sz w:val="24"/>
                <w:szCs w:val="24"/>
              </w:rPr>
              <w:t>ays</w:t>
            </w:r>
          </w:p>
        </w:tc>
        <w:tc>
          <w:tcPr>
            <w:tcW w:w="1275" w:type="dxa"/>
            <w:hideMark/>
          </w:tcPr>
          <w:p w:rsidR="00E23146" w:rsidRPr="00E23146" w:rsidRDefault="00E23146" w:rsidP="00782721">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28</w:t>
            </w:r>
            <w:r w:rsidR="00C05291" w:rsidRPr="00782721">
              <w:rPr>
                <w:rFonts w:asciiTheme="majorBidi" w:eastAsia="Times New Roman" w:hAnsiTheme="majorBidi" w:cstheme="majorBidi"/>
                <w:b/>
                <w:bCs/>
                <w:sz w:val="24"/>
                <w:szCs w:val="24"/>
              </w:rPr>
              <w:t xml:space="preserve"> </w:t>
            </w:r>
            <w:r w:rsidRPr="00E23146">
              <w:rPr>
                <w:rFonts w:asciiTheme="majorBidi" w:eastAsia="Times New Roman" w:hAnsiTheme="majorBidi" w:cstheme="majorBidi"/>
                <w:b/>
                <w:bCs/>
                <w:sz w:val="24"/>
                <w:szCs w:val="24"/>
              </w:rPr>
              <w:t>D</w:t>
            </w:r>
            <w:r w:rsidR="00C05291" w:rsidRPr="00782721">
              <w:rPr>
                <w:rFonts w:asciiTheme="majorBidi" w:eastAsia="Times New Roman" w:hAnsiTheme="majorBidi" w:cstheme="majorBidi"/>
                <w:b/>
                <w:bCs/>
                <w:sz w:val="24"/>
                <w:szCs w:val="24"/>
              </w:rPr>
              <w:t>ays</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Count</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180</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Mean</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2.76</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2.82</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3.11</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2.92</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Std. Dev.</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0.25</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0.33</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0.44</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0.42</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Min</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2.08</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1.76</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2.03</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1.64</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25th Percentile</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2.60</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2.66</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2.76</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2.66</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Median</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2.78</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2.81</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3.12</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2.85</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75th Percentile</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2.93</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3.02</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3.45</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3.20</w:t>
            </w:r>
          </w:p>
        </w:tc>
      </w:tr>
      <w:tr w:rsidR="00E23146" w:rsidRPr="00E23146" w:rsidTr="00C05291">
        <w:tc>
          <w:tcPr>
            <w:tcW w:w="1663"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lastRenderedPageBreak/>
              <w:t>Max</w:t>
            </w:r>
          </w:p>
        </w:tc>
        <w:tc>
          <w:tcPr>
            <w:tcW w:w="1026"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3.44</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3.62</w:t>
            </w:r>
          </w:p>
        </w:tc>
        <w:tc>
          <w:tcPr>
            <w:tcW w:w="1134"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4.01</w:t>
            </w:r>
          </w:p>
        </w:tc>
        <w:tc>
          <w:tcPr>
            <w:tcW w:w="1275"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4.00</w:t>
            </w:r>
          </w:p>
        </w:tc>
      </w:tr>
      <w:bookmarkEnd w:id="2"/>
      <w:bookmarkEnd w:id="4"/>
    </w:tbl>
    <w:p w:rsidR="00E23146" w:rsidRPr="00E23146" w:rsidRDefault="00E23146" w:rsidP="00782721">
      <w:pPr>
        <w:spacing w:after="0" w:line="360" w:lineRule="auto"/>
        <w:rPr>
          <w:rFonts w:asciiTheme="majorBidi" w:eastAsia="Times New Roman" w:hAnsiTheme="majorBidi" w:cstheme="majorBidi"/>
          <w:sz w:val="24"/>
          <w:szCs w:val="24"/>
        </w:rPr>
      </w:pP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bookmarkStart w:id="5" w:name="_Hlk200046632"/>
      <w:r w:rsidRPr="00782721">
        <w:rPr>
          <w:rFonts w:asciiTheme="majorBidi" w:eastAsia="Times New Roman" w:hAnsiTheme="majorBidi" w:cstheme="majorBidi"/>
          <w:b/>
          <w:bCs/>
          <w:sz w:val="28"/>
          <w:szCs w:val="28"/>
        </w:rPr>
        <w:t>3. Exploratory Data Analysis (EDA)</w:t>
      </w:r>
      <w:r w:rsidRPr="00E23146">
        <w:rPr>
          <w:rFonts w:asciiTheme="majorBidi" w:eastAsia="Times New Roman" w:hAnsiTheme="majorBidi" w:cstheme="majorBidi"/>
          <w:sz w:val="24"/>
          <w:szCs w:val="24"/>
        </w:rPr>
        <w:br/>
        <w:t>EDA was instrumental in understanding the distribution and variability of tensile strength values:</w:t>
      </w:r>
    </w:p>
    <w:p w:rsidR="00E23146" w:rsidRPr="00E23146" w:rsidRDefault="00E23146" w:rsidP="00782721">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Histograms</w:t>
      </w:r>
      <w:r w:rsidRPr="00E23146">
        <w:rPr>
          <w:rFonts w:asciiTheme="majorBidi" w:eastAsia="Times New Roman" w:hAnsiTheme="majorBidi" w:cstheme="majorBidi"/>
          <w:sz w:val="24"/>
          <w:szCs w:val="24"/>
        </w:rPr>
        <w:t>: Tensile strength at all time points approximated a normal distribution, with the 28-day values centered around ~2.92 N/mm².</w:t>
      </w:r>
    </w:p>
    <w:p w:rsidR="00E23146" w:rsidRPr="00E23146" w:rsidRDefault="00E23146" w:rsidP="00782721">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Boxplots</w:t>
      </w:r>
      <w:r w:rsidRPr="00E23146">
        <w:rPr>
          <w:rFonts w:asciiTheme="majorBidi" w:eastAsia="Times New Roman" w:hAnsiTheme="majorBidi" w:cstheme="majorBidi"/>
          <w:sz w:val="24"/>
          <w:szCs w:val="24"/>
        </w:rPr>
        <w:t>: These visualizations revealed outliers, particularly at 21 and 28 days, indicating potential variability in the late-age measurements.</w:t>
      </w:r>
    </w:p>
    <w:p w:rsidR="00E23146" w:rsidRPr="00782721" w:rsidRDefault="00E23146" w:rsidP="00782721">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Violin Plots</w:t>
      </w:r>
      <w:r w:rsidRPr="00E23146">
        <w:rPr>
          <w:rFonts w:asciiTheme="majorBidi" w:eastAsia="Times New Roman" w:hAnsiTheme="majorBidi" w:cstheme="majorBidi"/>
          <w:sz w:val="24"/>
          <w:szCs w:val="24"/>
        </w:rPr>
        <w:t>: 28-day tensile strength was plotted by sample type to assess intra-group spread and density.</w:t>
      </w:r>
    </w:p>
    <w:p w:rsidR="006F7E6F" w:rsidRPr="00E23146" w:rsidRDefault="006F7E6F" w:rsidP="00782721">
      <w:pPr>
        <w:numPr>
          <w:ilvl w:val="0"/>
          <w:numId w:val="2"/>
        </w:numPr>
        <w:spacing w:before="100" w:beforeAutospacing="1" w:after="100" w:afterAutospacing="1" w:line="360" w:lineRule="auto"/>
        <w:rPr>
          <w:rFonts w:asciiTheme="majorBidi" w:eastAsia="Times New Roman" w:hAnsiTheme="majorBidi" w:cstheme="majorBidi"/>
          <w:sz w:val="24"/>
          <w:szCs w:val="24"/>
        </w:rPr>
      </w:pPr>
      <w:r w:rsidRPr="00782721">
        <w:rPr>
          <w:rStyle w:val="Strong"/>
          <w:rFonts w:asciiTheme="majorBidi" w:hAnsiTheme="majorBidi" w:cstheme="majorBidi"/>
          <w:sz w:val="24"/>
          <w:szCs w:val="24"/>
        </w:rPr>
        <w:t>Correlation Matrix</w:t>
      </w:r>
      <w:r w:rsidRPr="00782721">
        <w:rPr>
          <w:rFonts w:asciiTheme="majorBidi" w:hAnsiTheme="majorBidi" w:cstheme="majorBidi"/>
          <w:sz w:val="24"/>
          <w:szCs w:val="24"/>
        </w:rPr>
        <w:t>: A Pearson correlation map was generated to quantify the linear relationship between tensile strength values across all time intervals.</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i/>
          <w:iCs/>
          <w:sz w:val="24"/>
          <w:szCs w:val="24"/>
        </w:rPr>
        <w:t>Note</w:t>
      </w:r>
      <w:r w:rsidRPr="00E23146">
        <w:rPr>
          <w:rFonts w:asciiTheme="majorBidi" w:eastAsia="Times New Roman" w:hAnsiTheme="majorBidi" w:cstheme="majorBidi"/>
          <w:sz w:val="24"/>
          <w:szCs w:val="24"/>
        </w:rPr>
        <w:t>: While plots were generated for all time points (7D–28D), this report includes only 28-day visuals to maintain clarity and focus on the prediction target.</w:t>
      </w:r>
    </w:p>
    <w:bookmarkEnd w:id="5"/>
    <w:p w:rsidR="00E23146" w:rsidRPr="00782721"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Figures</w:t>
      </w:r>
      <w:r w:rsidRPr="00E23146">
        <w:rPr>
          <w:rFonts w:asciiTheme="majorBidi" w:eastAsia="Times New Roman" w:hAnsiTheme="majorBidi" w:cstheme="majorBidi"/>
          <w:sz w:val="24"/>
          <w:szCs w:val="24"/>
        </w:rPr>
        <w:t>:</w:t>
      </w:r>
    </w:p>
    <w:p w:rsidR="00E23146" w:rsidRPr="00782721"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noProof/>
          <w:sz w:val="24"/>
          <w:szCs w:val="24"/>
        </w:rPr>
        <w:lastRenderedPageBreak/>
        <w:drawing>
          <wp:inline distT="0" distB="0" distL="0" distR="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_Tensile_Strength_28DN_mm2.png"/>
                    <pic:cNvPicPr/>
                  </pic:nvPicPr>
                  <pic:blipFill>
                    <a:blip r:embed="rId5">
                      <a:extLst>
                        <a:ext uri="{28A0092B-C50C-407E-A947-70E740481C1C}">
                          <a14:useLocalDpi xmlns:a14="http://schemas.microsoft.com/office/drawing/2010/main" val="0"/>
                        </a:ext>
                      </a:extLst>
                    </a:blip>
                    <a:stretch>
                      <a:fillRect/>
                    </a:stretch>
                  </pic:blipFill>
                  <pic:spPr>
                    <a:xfrm>
                      <a:off x="0" y="0"/>
                      <a:ext cx="5486412" cy="4114809"/>
                    </a:xfrm>
                    <a:prstGeom prst="rect">
                      <a:avLst/>
                    </a:prstGeom>
                  </pic:spPr>
                </pic:pic>
              </a:graphicData>
            </a:graphic>
          </wp:inline>
        </w:drawing>
      </w:r>
      <w:bookmarkStart w:id="6" w:name="_Hlk200046668"/>
      <w:r w:rsidRPr="00782721">
        <w:rPr>
          <w:rFonts w:asciiTheme="majorBidi" w:eastAsia="Times New Roman" w:hAnsiTheme="majorBidi" w:cstheme="majorBidi"/>
          <w:b/>
          <w:bCs/>
          <w:sz w:val="24"/>
          <w:szCs w:val="24"/>
        </w:rPr>
        <w:t>Figure 1</w:t>
      </w:r>
      <w:r w:rsidRPr="00E23146">
        <w:rPr>
          <w:rFonts w:asciiTheme="majorBidi" w:eastAsia="Times New Roman" w:hAnsiTheme="majorBidi" w:cstheme="majorBidi"/>
          <w:sz w:val="24"/>
          <w:szCs w:val="24"/>
        </w:rPr>
        <w:t>: Histogram of 28-Day Tensile Strength</w:t>
      </w:r>
      <w:bookmarkEnd w:id="6"/>
    </w:p>
    <w:p w:rsidR="00E23146" w:rsidRPr="00782721"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noProof/>
          <w:sz w:val="24"/>
          <w:szCs w:val="24"/>
        </w:rPr>
        <w:drawing>
          <wp:inline distT="0" distB="0" distL="0" distR="0">
            <wp:extent cx="5166360" cy="30998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olinplot_Tensile_Strength_28DN_mm2.png"/>
                    <pic:cNvPicPr/>
                  </pic:nvPicPr>
                  <pic:blipFill>
                    <a:blip r:embed="rId6">
                      <a:extLst>
                        <a:ext uri="{28A0092B-C50C-407E-A947-70E740481C1C}">
                          <a14:useLocalDpi xmlns:a14="http://schemas.microsoft.com/office/drawing/2010/main" val="0"/>
                        </a:ext>
                      </a:extLst>
                    </a:blip>
                    <a:stretch>
                      <a:fillRect/>
                    </a:stretch>
                  </pic:blipFill>
                  <pic:spPr>
                    <a:xfrm>
                      <a:off x="0" y="0"/>
                      <a:ext cx="5170370" cy="3102222"/>
                    </a:xfrm>
                    <a:prstGeom prst="rect">
                      <a:avLst/>
                    </a:prstGeom>
                  </pic:spPr>
                </pic:pic>
              </a:graphicData>
            </a:graphic>
          </wp:inline>
        </w:drawing>
      </w:r>
      <w:bookmarkStart w:id="7" w:name="_Hlk200046693"/>
      <w:r w:rsidR="008203B3" w:rsidRPr="00782721">
        <w:rPr>
          <w:rFonts w:asciiTheme="majorBidi" w:eastAsia="Times New Roman" w:hAnsiTheme="majorBidi" w:cstheme="majorBidi"/>
          <w:b/>
          <w:bCs/>
          <w:sz w:val="24"/>
          <w:szCs w:val="24"/>
        </w:rPr>
        <w:t xml:space="preserve">           </w:t>
      </w:r>
      <w:r w:rsidRPr="00782721">
        <w:rPr>
          <w:rFonts w:asciiTheme="majorBidi" w:eastAsia="Times New Roman" w:hAnsiTheme="majorBidi" w:cstheme="majorBidi"/>
          <w:b/>
          <w:bCs/>
          <w:sz w:val="24"/>
          <w:szCs w:val="24"/>
        </w:rPr>
        <w:t>Figure 2</w:t>
      </w:r>
      <w:r w:rsidRPr="00E23146">
        <w:rPr>
          <w:rFonts w:asciiTheme="majorBidi" w:eastAsia="Times New Roman" w:hAnsiTheme="majorBidi" w:cstheme="majorBidi"/>
          <w:sz w:val="24"/>
          <w:szCs w:val="24"/>
        </w:rPr>
        <w:t>: Violin Plot of 28-Day Strength by Sample Type</w:t>
      </w:r>
      <w:bookmarkEnd w:id="7"/>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noProof/>
          <w:sz w:val="24"/>
          <w:szCs w:val="24"/>
        </w:rPr>
        <w:lastRenderedPageBreak/>
        <w:drawing>
          <wp:inline distT="0" distB="0" distL="0" distR="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_Tensile_Strength_28DN_m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6F7E6F" w:rsidRPr="00782721"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Figure 3</w:t>
      </w:r>
      <w:r w:rsidRPr="00E23146">
        <w:rPr>
          <w:rFonts w:asciiTheme="majorBidi" w:eastAsia="Times New Roman" w:hAnsiTheme="majorBidi" w:cstheme="majorBidi"/>
          <w:sz w:val="24"/>
          <w:szCs w:val="24"/>
        </w:rPr>
        <w:t>: Boxplot of 28-Day Strength (Outliers Highlighted)</w:t>
      </w:r>
    </w:p>
    <w:p w:rsidR="006F7E6F" w:rsidRPr="00E23146" w:rsidRDefault="006F7E6F"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noProof/>
          <w:sz w:val="24"/>
          <w:szCs w:val="24"/>
        </w:rPr>
        <w:drawing>
          <wp:inline distT="0" distB="0" distL="0" distR="0">
            <wp:extent cx="482346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relation Heatmap of Compressive Strength.png"/>
                    <pic:cNvPicPr/>
                  </pic:nvPicPr>
                  <pic:blipFill>
                    <a:blip r:embed="rId8">
                      <a:extLst>
                        <a:ext uri="{28A0092B-C50C-407E-A947-70E740481C1C}">
                          <a14:useLocalDpi xmlns:a14="http://schemas.microsoft.com/office/drawing/2010/main" val="0"/>
                        </a:ext>
                      </a:extLst>
                    </a:blip>
                    <a:stretch>
                      <a:fillRect/>
                    </a:stretch>
                  </pic:blipFill>
                  <pic:spPr>
                    <a:xfrm>
                      <a:off x="0" y="0"/>
                      <a:ext cx="4823996" cy="3475106"/>
                    </a:xfrm>
                    <a:prstGeom prst="rect">
                      <a:avLst/>
                    </a:prstGeom>
                  </pic:spPr>
                </pic:pic>
              </a:graphicData>
            </a:graphic>
          </wp:inline>
        </w:drawing>
      </w:r>
      <w:bookmarkStart w:id="8" w:name="_Hlk200046970"/>
      <w:r w:rsidR="008203B3" w:rsidRPr="00782721">
        <w:rPr>
          <w:rFonts w:asciiTheme="majorBidi" w:eastAsia="Times New Roman" w:hAnsiTheme="majorBidi" w:cstheme="majorBidi"/>
          <w:b/>
          <w:bCs/>
          <w:sz w:val="24"/>
          <w:szCs w:val="24"/>
        </w:rPr>
        <w:t xml:space="preserve">                                  </w:t>
      </w:r>
      <w:r w:rsidRPr="00782721">
        <w:rPr>
          <w:rFonts w:asciiTheme="majorBidi" w:eastAsia="Times New Roman" w:hAnsiTheme="majorBidi" w:cstheme="majorBidi"/>
          <w:b/>
          <w:bCs/>
          <w:sz w:val="24"/>
          <w:szCs w:val="24"/>
        </w:rPr>
        <w:t xml:space="preserve">Figure </w:t>
      </w:r>
      <w:r w:rsidRPr="00782721">
        <w:rPr>
          <w:rFonts w:asciiTheme="majorBidi" w:eastAsia="Times New Roman" w:hAnsiTheme="majorBidi" w:cstheme="majorBidi"/>
          <w:b/>
          <w:bCs/>
          <w:sz w:val="24"/>
          <w:szCs w:val="24"/>
        </w:rPr>
        <w:t>4</w:t>
      </w:r>
      <w:r w:rsidRPr="00E23146">
        <w:rPr>
          <w:rFonts w:asciiTheme="majorBidi" w:eastAsia="Times New Roman" w:hAnsiTheme="majorBidi" w:cstheme="majorBidi"/>
          <w:sz w:val="24"/>
          <w:szCs w:val="24"/>
        </w:rPr>
        <w:t xml:space="preserve">: </w:t>
      </w:r>
      <w:r w:rsidRPr="00782721">
        <w:rPr>
          <w:rFonts w:asciiTheme="majorBidi" w:hAnsiTheme="majorBidi" w:cstheme="majorBidi"/>
          <w:sz w:val="24"/>
          <w:szCs w:val="24"/>
        </w:rPr>
        <w:t>Correlation Heatmap of Tensile Strength Measurements</w:t>
      </w:r>
      <w:bookmarkEnd w:id="8"/>
    </w:p>
    <w:p w:rsidR="006F7E6F" w:rsidRPr="00782721" w:rsidRDefault="006F7E6F" w:rsidP="00782721">
      <w:pPr>
        <w:spacing w:before="100" w:beforeAutospacing="1" w:after="100" w:afterAutospacing="1" w:line="360" w:lineRule="auto"/>
        <w:rPr>
          <w:rFonts w:asciiTheme="majorBidi" w:eastAsia="Times New Roman" w:hAnsiTheme="majorBidi" w:cstheme="majorBidi"/>
          <w:b/>
          <w:bCs/>
          <w:sz w:val="28"/>
          <w:szCs w:val="28"/>
        </w:rPr>
      </w:pP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8"/>
          <w:szCs w:val="28"/>
        </w:rPr>
      </w:pPr>
      <w:r w:rsidRPr="00782721">
        <w:rPr>
          <w:rFonts w:asciiTheme="majorBidi" w:eastAsia="Times New Roman" w:hAnsiTheme="majorBidi" w:cstheme="majorBidi"/>
          <w:b/>
          <w:bCs/>
          <w:sz w:val="28"/>
          <w:szCs w:val="28"/>
        </w:rPr>
        <w:t>4. Data Preprocessing</w:t>
      </w:r>
    </w:p>
    <w:p w:rsidR="00E23146" w:rsidRPr="00782721" w:rsidRDefault="00E23146" w:rsidP="00782721">
      <w:pPr>
        <w:spacing w:before="100" w:beforeAutospacing="1" w:after="100" w:afterAutospacing="1" w:line="360" w:lineRule="auto"/>
        <w:rPr>
          <w:rFonts w:asciiTheme="majorBidi" w:eastAsia="Times New Roman" w:hAnsiTheme="majorBidi" w:cstheme="majorBidi"/>
          <w:sz w:val="24"/>
          <w:szCs w:val="24"/>
        </w:rPr>
      </w:pPr>
      <w:bookmarkStart w:id="9" w:name="_Hlk200052392"/>
      <w:r w:rsidRPr="00782721">
        <w:rPr>
          <w:rFonts w:asciiTheme="majorBidi" w:eastAsia="Times New Roman" w:hAnsiTheme="majorBidi" w:cstheme="majorBidi"/>
          <w:sz w:val="24"/>
          <w:szCs w:val="24"/>
        </w:rPr>
        <w:t>To prepare the data for modeling:</w:t>
      </w:r>
    </w:p>
    <w:p w:rsidR="00E23146" w:rsidRPr="00782721" w:rsidRDefault="00E23146" w:rsidP="00782721">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Reordering Columns</w:t>
      </w:r>
      <w:r w:rsidRPr="00782721">
        <w:rPr>
          <w:rFonts w:asciiTheme="majorBidi" w:eastAsia="Times New Roman" w:hAnsiTheme="majorBidi" w:cstheme="majorBidi"/>
          <w:sz w:val="24"/>
          <w:szCs w:val="24"/>
        </w:rPr>
        <w:t xml:space="preserve">: Columns were reordered to prioritize </w:t>
      </w:r>
      <w:r w:rsidRPr="00782721">
        <w:rPr>
          <w:rFonts w:asciiTheme="majorBidi" w:eastAsia="Times New Roman" w:hAnsiTheme="majorBidi" w:cstheme="majorBidi"/>
          <w:i/>
          <w:iCs/>
          <w:sz w:val="24"/>
          <w:szCs w:val="24"/>
        </w:rPr>
        <w:t>Sample Type</w:t>
      </w:r>
      <w:r w:rsidRPr="00782721">
        <w:rPr>
          <w:rFonts w:asciiTheme="majorBidi" w:eastAsia="Times New Roman" w:hAnsiTheme="majorBidi" w:cstheme="majorBidi"/>
          <w:sz w:val="24"/>
          <w:szCs w:val="24"/>
        </w:rPr>
        <w:t xml:space="preserve"> and group load and strength measurements.</w:t>
      </w:r>
    </w:p>
    <w:p w:rsidR="00E23146" w:rsidRPr="00782721" w:rsidRDefault="00E23146" w:rsidP="00782721">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Handling Multicollinearity</w:t>
      </w:r>
      <w:r w:rsidRPr="00782721">
        <w:rPr>
          <w:rFonts w:asciiTheme="majorBidi" w:eastAsia="Times New Roman" w:hAnsiTheme="majorBidi" w:cstheme="majorBidi"/>
          <w:sz w:val="24"/>
          <w:szCs w:val="24"/>
        </w:rPr>
        <w:t>: Tensile load and strength features showed near-perfect correlations (≈0.9999) (Kutner et al., 2005), leading to the removal of load columns to avoid multicollinearity, which can destabilize models (Hair et al., 2019).</w:t>
      </w:r>
    </w:p>
    <w:p w:rsidR="00E23146" w:rsidRPr="00782721" w:rsidRDefault="00E23146" w:rsidP="00782721">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One-Hot Encoding</w:t>
      </w:r>
      <w:r w:rsidRPr="00782721">
        <w:rPr>
          <w:rFonts w:asciiTheme="majorBidi" w:eastAsia="Times New Roman" w:hAnsiTheme="majorBidi" w:cstheme="majorBidi"/>
          <w:sz w:val="24"/>
          <w:szCs w:val="24"/>
        </w:rPr>
        <w:t xml:space="preserve">: The categorical </w:t>
      </w:r>
      <w:r w:rsidRPr="00782721">
        <w:rPr>
          <w:rFonts w:asciiTheme="majorBidi" w:eastAsia="Times New Roman" w:hAnsiTheme="majorBidi" w:cstheme="majorBidi"/>
          <w:i/>
          <w:iCs/>
          <w:sz w:val="24"/>
          <w:szCs w:val="24"/>
        </w:rPr>
        <w:t>Sample Type</w:t>
      </w:r>
      <w:r w:rsidRPr="00782721">
        <w:rPr>
          <w:rFonts w:asciiTheme="majorBidi" w:eastAsia="Times New Roman" w:hAnsiTheme="majorBidi" w:cstheme="majorBidi"/>
          <w:sz w:val="24"/>
          <w:szCs w:val="24"/>
        </w:rPr>
        <w:t xml:space="preserve"> was encoded into dummy variables (e.g., </w:t>
      </w:r>
      <w:r w:rsidRPr="00782721">
        <w:rPr>
          <w:rFonts w:asciiTheme="majorBidi" w:eastAsia="Times New Roman" w:hAnsiTheme="majorBidi" w:cstheme="majorBidi"/>
          <w:i/>
          <w:iCs/>
          <w:sz w:val="24"/>
          <w:szCs w:val="24"/>
        </w:rPr>
        <w:t xml:space="preserve">Sample </w:t>
      </w:r>
      <w:proofErr w:type="spellStart"/>
      <w:r w:rsidRPr="00782721">
        <w:rPr>
          <w:rFonts w:asciiTheme="majorBidi" w:eastAsia="Times New Roman" w:hAnsiTheme="majorBidi" w:cstheme="majorBidi"/>
          <w:i/>
          <w:iCs/>
          <w:sz w:val="24"/>
          <w:szCs w:val="24"/>
        </w:rPr>
        <w:t>Type_Control</w:t>
      </w:r>
      <w:proofErr w:type="spellEnd"/>
      <w:r w:rsidRPr="00782721">
        <w:rPr>
          <w:rFonts w:asciiTheme="majorBidi" w:eastAsia="Times New Roman" w:hAnsiTheme="majorBidi" w:cstheme="majorBidi"/>
          <w:sz w:val="24"/>
          <w:szCs w:val="24"/>
        </w:rPr>
        <w:t>).</w:t>
      </w:r>
    </w:p>
    <w:p w:rsidR="00E23146" w:rsidRPr="00782721" w:rsidRDefault="00E23146" w:rsidP="00782721">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Outlier Handling</w:t>
      </w:r>
      <w:r w:rsidRPr="00782721">
        <w:rPr>
          <w:rFonts w:asciiTheme="majorBidi" w:eastAsia="Times New Roman" w:hAnsiTheme="majorBidi" w:cstheme="majorBidi"/>
          <w:sz w:val="24"/>
          <w:szCs w:val="24"/>
        </w:rPr>
        <w:t>: Numeric features were capped using the Interquartile Range (IQR) method (1.5 × IQR bounds).</w:t>
      </w:r>
    </w:p>
    <w:p w:rsidR="00E23146" w:rsidRPr="00782721" w:rsidRDefault="00E23146" w:rsidP="00782721">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Scaling</w:t>
      </w:r>
      <w:r w:rsidRPr="00782721">
        <w:rPr>
          <w:rFonts w:asciiTheme="majorBidi" w:eastAsia="Times New Roman" w:hAnsiTheme="majorBidi" w:cstheme="majorBidi"/>
          <w:sz w:val="24"/>
          <w:szCs w:val="24"/>
        </w:rPr>
        <w:t xml:space="preserve">: Features were standardized using </w:t>
      </w:r>
      <w:proofErr w:type="spellStart"/>
      <w:r w:rsidRPr="00782721">
        <w:rPr>
          <w:rFonts w:asciiTheme="majorBidi" w:eastAsia="Times New Roman" w:hAnsiTheme="majorBidi" w:cstheme="majorBidi"/>
          <w:i/>
          <w:iCs/>
          <w:sz w:val="24"/>
          <w:szCs w:val="24"/>
        </w:rPr>
        <w:t>RobustScaler</w:t>
      </w:r>
      <w:proofErr w:type="spellEnd"/>
      <w:r w:rsidRPr="00782721">
        <w:rPr>
          <w:rFonts w:asciiTheme="majorBidi" w:eastAsia="Times New Roman" w:hAnsiTheme="majorBidi" w:cstheme="majorBidi"/>
          <w:sz w:val="24"/>
          <w:szCs w:val="24"/>
        </w:rPr>
        <w:t xml:space="preserve"> to mitigate outlier effects.</w:t>
      </w:r>
    </w:p>
    <w:p w:rsidR="00E23146" w:rsidRPr="00E23146" w:rsidRDefault="00E23146" w:rsidP="00782721">
      <w:pPr>
        <w:numPr>
          <w:ilvl w:val="0"/>
          <w:numId w:val="9"/>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Data Splitting</w:t>
      </w:r>
      <w:r w:rsidRPr="00782721">
        <w:rPr>
          <w:rFonts w:asciiTheme="majorBidi" w:eastAsia="Times New Roman" w:hAnsiTheme="majorBidi" w:cstheme="majorBidi"/>
          <w:sz w:val="24"/>
          <w:szCs w:val="24"/>
        </w:rPr>
        <w:t>: The dataset was split into 80% training (144 samples) and 20% testing (36 samples) sets, with 14 features after preprocessing.</w:t>
      </w:r>
    </w:p>
    <w:bookmarkEnd w:id="9"/>
    <w:p w:rsidR="00E23146" w:rsidRPr="00782721" w:rsidRDefault="00E23146" w:rsidP="00782721">
      <w:pPr>
        <w:spacing w:before="100" w:beforeAutospacing="1" w:after="100" w:afterAutospacing="1" w:line="360" w:lineRule="auto"/>
        <w:rPr>
          <w:rFonts w:asciiTheme="majorBidi" w:eastAsia="Times New Roman" w:hAnsiTheme="majorBidi" w:cstheme="majorBidi"/>
          <w:b/>
          <w:bCs/>
          <w:sz w:val="28"/>
          <w:szCs w:val="28"/>
        </w:rPr>
      </w:pP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8"/>
          <w:szCs w:val="28"/>
        </w:rPr>
      </w:pPr>
      <w:r w:rsidRPr="00782721">
        <w:rPr>
          <w:rFonts w:asciiTheme="majorBidi" w:eastAsia="Times New Roman" w:hAnsiTheme="majorBidi" w:cstheme="majorBidi"/>
          <w:b/>
          <w:bCs/>
          <w:sz w:val="28"/>
          <w:szCs w:val="28"/>
        </w:rPr>
        <w:t>5. Model Development: Artificial Neural Network (ANN)</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5.1 Architecture</w:t>
      </w:r>
    </w:p>
    <w:p w:rsidR="00E23146" w:rsidRPr="00E23146" w:rsidRDefault="00E23146" w:rsidP="00782721">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Input Layer: 14 features</w:t>
      </w:r>
    </w:p>
    <w:p w:rsidR="00E23146" w:rsidRPr="00E23146" w:rsidRDefault="00E23146" w:rsidP="00782721">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Hidden Layers: 2 layers × 32 neurons (</w:t>
      </w:r>
      <w:bookmarkStart w:id="10" w:name="_Hlk200052439"/>
      <w:proofErr w:type="spellStart"/>
      <w:r w:rsidRPr="00E23146">
        <w:rPr>
          <w:rFonts w:asciiTheme="majorBidi" w:eastAsia="Times New Roman" w:hAnsiTheme="majorBidi" w:cstheme="majorBidi"/>
          <w:sz w:val="24"/>
          <w:szCs w:val="24"/>
        </w:rPr>
        <w:t>ReLU</w:t>
      </w:r>
      <w:proofErr w:type="spellEnd"/>
      <w:r w:rsidRPr="00E23146">
        <w:rPr>
          <w:rFonts w:asciiTheme="majorBidi" w:eastAsia="Times New Roman" w:hAnsiTheme="majorBidi" w:cstheme="majorBidi"/>
          <w:sz w:val="24"/>
          <w:szCs w:val="24"/>
        </w:rPr>
        <w:t xml:space="preserve">), </w:t>
      </w:r>
      <w:bookmarkEnd w:id="10"/>
      <w:r w:rsidRPr="00E23146">
        <w:rPr>
          <w:rFonts w:asciiTheme="majorBidi" w:eastAsia="Times New Roman" w:hAnsiTheme="majorBidi" w:cstheme="majorBidi"/>
          <w:sz w:val="24"/>
          <w:szCs w:val="24"/>
        </w:rPr>
        <w:t>Batch Normalization, Dropout (20%)</w:t>
      </w:r>
    </w:p>
    <w:p w:rsidR="00E23146" w:rsidRPr="00E23146" w:rsidRDefault="00E23146" w:rsidP="00782721">
      <w:pPr>
        <w:numPr>
          <w:ilvl w:val="0"/>
          <w:numId w:val="5"/>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Output Layer: Single neuron with linear activation</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5.2 Training Parameters</w:t>
      </w:r>
    </w:p>
    <w:p w:rsidR="00E23146" w:rsidRPr="00E23146" w:rsidRDefault="00E23146" w:rsidP="00782721">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Loss Function: Mean Squared Error (MSE)</w:t>
      </w:r>
    </w:p>
    <w:p w:rsidR="00E23146" w:rsidRPr="00E23146" w:rsidRDefault="00E23146" w:rsidP="00782721">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Optimizer: Adam (learning rate = 0.001)</w:t>
      </w:r>
    </w:p>
    <w:p w:rsidR="00E23146" w:rsidRPr="00E23146" w:rsidRDefault="00E23146" w:rsidP="00782721">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lastRenderedPageBreak/>
        <w:t>Epochs: 200</w:t>
      </w:r>
    </w:p>
    <w:p w:rsidR="00E23146" w:rsidRPr="00E23146" w:rsidRDefault="00E23146" w:rsidP="00782721">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Batch Size: 16</w:t>
      </w:r>
    </w:p>
    <w:p w:rsidR="00E23146" w:rsidRPr="00E23146" w:rsidRDefault="00E23146" w:rsidP="00782721">
      <w:pPr>
        <w:numPr>
          <w:ilvl w:val="0"/>
          <w:numId w:val="6"/>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Validation Split: 15%</w:t>
      </w:r>
    </w:p>
    <w:p w:rsidR="00E23146" w:rsidRPr="00782721" w:rsidRDefault="00E23146" w:rsidP="00782721">
      <w:pPr>
        <w:numPr>
          <w:ilvl w:val="0"/>
          <w:numId w:val="6"/>
        </w:numPr>
        <w:spacing w:before="100" w:beforeAutospacing="1" w:after="100" w:afterAutospacing="1" w:line="360" w:lineRule="auto"/>
        <w:rPr>
          <w:rFonts w:asciiTheme="majorBidi" w:eastAsia="Times New Roman" w:hAnsiTheme="majorBidi" w:cstheme="majorBidi"/>
          <w:sz w:val="24"/>
          <w:szCs w:val="24"/>
        </w:rPr>
      </w:pPr>
      <w:proofErr w:type="spellStart"/>
      <w:r w:rsidRPr="00E23146">
        <w:rPr>
          <w:rFonts w:asciiTheme="majorBidi" w:eastAsia="Times New Roman" w:hAnsiTheme="majorBidi" w:cstheme="majorBidi"/>
          <w:sz w:val="24"/>
          <w:szCs w:val="24"/>
        </w:rPr>
        <w:t>EarlyStopping</w:t>
      </w:r>
      <w:proofErr w:type="spellEnd"/>
      <w:r w:rsidRPr="00E23146">
        <w:rPr>
          <w:rFonts w:asciiTheme="majorBidi" w:eastAsia="Times New Roman" w:hAnsiTheme="majorBidi" w:cstheme="majorBidi"/>
          <w:sz w:val="24"/>
          <w:szCs w:val="24"/>
        </w:rPr>
        <w:t>: Patience = 15</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8"/>
          <w:szCs w:val="28"/>
        </w:rPr>
      </w:pPr>
      <w:r w:rsidRPr="00782721">
        <w:rPr>
          <w:rFonts w:asciiTheme="majorBidi" w:eastAsia="Times New Roman" w:hAnsiTheme="majorBidi" w:cstheme="majorBidi"/>
          <w:b/>
          <w:bCs/>
          <w:sz w:val="28"/>
          <w:szCs w:val="28"/>
        </w:rPr>
        <w:t>6. Model Evaluation</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6.1 Performance Metrics</w:t>
      </w:r>
    </w:p>
    <w:tbl>
      <w:tblPr>
        <w:tblStyle w:val="TableGrid"/>
        <w:tblW w:w="3964" w:type="dxa"/>
        <w:tblLook w:val="04A0" w:firstRow="1" w:lastRow="0" w:firstColumn="1" w:lastColumn="0" w:noHBand="0" w:noVBand="1"/>
      </w:tblPr>
      <w:tblGrid>
        <w:gridCol w:w="1953"/>
        <w:gridCol w:w="2011"/>
      </w:tblGrid>
      <w:tr w:rsidR="00E23146" w:rsidRPr="00E23146" w:rsidTr="00E23146">
        <w:trPr>
          <w:trHeight w:val="369"/>
        </w:trPr>
        <w:tc>
          <w:tcPr>
            <w:tcW w:w="0" w:type="auto"/>
            <w:hideMark/>
          </w:tcPr>
          <w:p w:rsidR="00E23146" w:rsidRPr="00E23146" w:rsidRDefault="00E23146" w:rsidP="00782721">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Metric</w:t>
            </w:r>
          </w:p>
        </w:tc>
        <w:tc>
          <w:tcPr>
            <w:tcW w:w="2011" w:type="dxa"/>
            <w:hideMark/>
          </w:tcPr>
          <w:p w:rsidR="00E23146" w:rsidRPr="00E23146" w:rsidRDefault="00E23146" w:rsidP="00782721">
            <w:pPr>
              <w:spacing w:line="360" w:lineRule="auto"/>
              <w:jc w:val="center"/>
              <w:rPr>
                <w:rFonts w:asciiTheme="majorBidi" w:eastAsia="Times New Roman" w:hAnsiTheme="majorBidi" w:cstheme="majorBidi"/>
                <w:b/>
                <w:bCs/>
                <w:sz w:val="24"/>
                <w:szCs w:val="24"/>
              </w:rPr>
            </w:pPr>
            <w:r w:rsidRPr="00E23146">
              <w:rPr>
                <w:rFonts w:asciiTheme="majorBidi" w:eastAsia="Times New Roman" w:hAnsiTheme="majorBidi" w:cstheme="majorBidi"/>
                <w:b/>
                <w:bCs/>
                <w:sz w:val="24"/>
                <w:szCs w:val="24"/>
              </w:rPr>
              <w:t>Value</w:t>
            </w:r>
          </w:p>
        </w:tc>
      </w:tr>
      <w:tr w:rsidR="00E23146" w:rsidRPr="00E23146" w:rsidTr="00E23146">
        <w:trPr>
          <w:trHeight w:val="380"/>
        </w:trPr>
        <w:tc>
          <w:tcPr>
            <w:tcW w:w="0" w:type="auto"/>
            <w:hideMark/>
          </w:tcPr>
          <w:p w:rsidR="00E23146" w:rsidRPr="00E23146" w:rsidRDefault="00E23146" w:rsidP="00782721">
            <w:pPr>
              <w:spacing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     </w:t>
            </w:r>
            <w:r w:rsidRPr="00E23146">
              <w:rPr>
                <w:rFonts w:asciiTheme="majorBidi" w:eastAsia="Times New Roman" w:hAnsiTheme="majorBidi" w:cstheme="majorBidi"/>
                <w:sz w:val="24"/>
                <w:szCs w:val="24"/>
              </w:rPr>
              <w:t>MSE</w:t>
            </w:r>
          </w:p>
        </w:tc>
        <w:tc>
          <w:tcPr>
            <w:tcW w:w="2011"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      </w:t>
            </w:r>
            <w:r w:rsidR="00FC5A7E" w:rsidRPr="007A4950">
              <w:rPr>
                <w:rFonts w:asciiTheme="majorBidi" w:eastAsia="Times New Roman" w:hAnsiTheme="majorBidi" w:cstheme="majorBidi"/>
                <w:sz w:val="24"/>
                <w:szCs w:val="24"/>
              </w:rPr>
              <w:t>0.</w:t>
            </w:r>
            <w:r w:rsidR="00FC5A7E" w:rsidRPr="00782721">
              <w:rPr>
                <w:rFonts w:asciiTheme="majorBidi" w:eastAsia="Times New Roman" w:hAnsiTheme="majorBidi" w:cstheme="majorBidi"/>
                <w:sz w:val="24"/>
                <w:szCs w:val="24"/>
              </w:rPr>
              <w:t>3</w:t>
            </w:r>
            <w:r w:rsidR="00FC5A7E" w:rsidRPr="007A4950">
              <w:rPr>
                <w:rFonts w:asciiTheme="majorBidi" w:eastAsia="Times New Roman" w:hAnsiTheme="majorBidi" w:cstheme="majorBidi"/>
                <w:sz w:val="24"/>
                <w:szCs w:val="24"/>
              </w:rPr>
              <w:t>855</w:t>
            </w:r>
          </w:p>
        </w:tc>
      </w:tr>
      <w:tr w:rsidR="00E23146" w:rsidRPr="00E23146" w:rsidTr="00E23146">
        <w:trPr>
          <w:trHeight w:val="369"/>
        </w:trPr>
        <w:tc>
          <w:tcPr>
            <w:tcW w:w="0" w:type="auto"/>
            <w:hideMark/>
          </w:tcPr>
          <w:p w:rsidR="00E23146" w:rsidRPr="00E23146" w:rsidRDefault="00E23146" w:rsidP="00782721">
            <w:pPr>
              <w:spacing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    </w:t>
            </w:r>
            <w:r w:rsidRPr="00E23146">
              <w:rPr>
                <w:rFonts w:asciiTheme="majorBidi" w:eastAsia="Times New Roman" w:hAnsiTheme="majorBidi" w:cstheme="majorBidi"/>
                <w:sz w:val="24"/>
                <w:szCs w:val="24"/>
              </w:rPr>
              <w:t>R² Score</w:t>
            </w:r>
          </w:p>
        </w:tc>
        <w:tc>
          <w:tcPr>
            <w:tcW w:w="2011" w:type="dxa"/>
            <w:hideMark/>
          </w:tcPr>
          <w:p w:rsidR="00E23146" w:rsidRPr="00E23146" w:rsidRDefault="00E23146" w:rsidP="00782721">
            <w:pPr>
              <w:spacing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     </w:t>
            </w:r>
            <w:r w:rsidR="00FC5A7E" w:rsidRPr="00782721">
              <w:rPr>
                <w:rFonts w:asciiTheme="majorBidi" w:eastAsia="Times New Roman" w:hAnsiTheme="majorBidi" w:cstheme="majorBidi"/>
                <w:sz w:val="24"/>
                <w:szCs w:val="24"/>
              </w:rPr>
              <w:t>0.</w:t>
            </w:r>
            <w:r w:rsidR="00FC5A7E" w:rsidRPr="007A4950">
              <w:rPr>
                <w:rFonts w:asciiTheme="majorBidi" w:eastAsia="Times New Roman" w:hAnsiTheme="majorBidi" w:cstheme="majorBidi"/>
                <w:sz w:val="24"/>
                <w:szCs w:val="24"/>
              </w:rPr>
              <w:t>8</w:t>
            </w:r>
            <w:r w:rsidR="00FC5A7E" w:rsidRPr="00782721">
              <w:rPr>
                <w:rFonts w:asciiTheme="majorBidi" w:eastAsia="Times New Roman" w:hAnsiTheme="majorBidi" w:cstheme="majorBidi"/>
                <w:sz w:val="24"/>
                <w:szCs w:val="24"/>
              </w:rPr>
              <w:t>7</w:t>
            </w:r>
            <w:r w:rsidR="00FC5A7E" w:rsidRPr="007A4950">
              <w:rPr>
                <w:rFonts w:asciiTheme="majorBidi" w:eastAsia="Times New Roman" w:hAnsiTheme="majorBidi" w:cstheme="majorBidi"/>
                <w:sz w:val="24"/>
                <w:szCs w:val="24"/>
              </w:rPr>
              <w:t>85</w:t>
            </w:r>
          </w:p>
        </w:tc>
      </w:tr>
    </w:tbl>
    <w:p w:rsidR="00FC5A7E" w:rsidRPr="00782721" w:rsidRDefault="00FC5A7E" w:rsidP="00782721">
      <w:pPr>
        <w:spacing w:before="100" w:beforeAutospacing="1" w:after="100" w:afterAutospacing="1" w:line="360" w:lineRule="auto"/>
        <w:rPr>
          <w:rFonts w:asciiTheme="majorBidi" w:eastAsia="Times New Roman" w:hAnsiTheme="majorBidi" w:cstheme="majorBidi"/>
          <w:sz w:val="24"/>
          <w:szCs w:val="24"/>
        </w:rPr>
      </w:pPr>
      <w:r w:rsidRPr="007A4950">
        <w:rPr>
          <w:rFonts w:asciiTheme="majorBidi" w:eastAsia="Times New Roman" w:hAnsiTheme="majorBidi" w:cstheme="majorBidi"/>
          <w:sz w:val="24"/>
          <w:szCs w:val="24"/>
        </w:rPr>
        <w:t xml:space="preserve">This indicates that approximately </w:t>
      </w:r>
      <w:r w:rsidRPr="00782721">
        <w:rPr>
          <w:rFonts w:asciiTheme="majorBidi" w:eastAsia="Times New Roman" w:hAnsiTheme="majorBidi" w:cstheme="majorBidi"/>
          <w:sz w:val="24"/>
          <w:szCs w:val="24"/>
        </w:rPr>
        <w:t>88</w:t>
      </w:r>
      <w:r w:rsidRPr="007A4950">
        <w:rPr>
          <w:rFonts w:asciiTheme="majorBidi" w:eastAsia="Times New Roman" w:hAnsiTheme="majorBidi" w:cstheme="majorBidi"/>
          <w:sz w:val="24"/>
          <w:szCs w:val="24"/>
        </w:rPr>
        <w:t>% of the variance in 28-day compressive strength is explained by the model.</w:t>
      </w:r>
      <w:bookmarkStart w:id="11" w:name="_Hlk200052743"/>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6.2 Feature Importance</w:t>
      </w:r>
      <w:r w:rsidRPr="00E23146">
        <w:rPr>
          <w:rFonts w:asciiTheme="majorBidi" w:eastAsia="Times New Roman" w:hAnsiTheme="majorBidi" w:cstheme="majorBidi"/>
          <w:sz w:val="24"/>
          <w:szCs w:val="24"/>
        </w:rPr>
        <w:br/>
        <w:t>Permutation-based feature importance identified 21-day tensile strength as the most influential predictor. Earlier time points and sample type features also contributed but to a lesser extent.</w:t>
      </w:r>
    </w:p>
    <w:bookmarkEnd w:id="11"/>
    <w:p w:rsidR="00E23146" w:rsidRPr="00782721" w:rsidRDefault="00E23146" w:rsidP="00782721">
      <w:pPr>
        <w:spacing w:before="100" w:beforeAutospacing="1" w:after="100" w:afterAutospacing="1" w:line="360" w:lineRule="auto"/>
        <w:rPr>
          <w:rFonts w:asciiTheme="majorBidi" w:eastAsia="Times New Roman" w:hAnsiTheme="majorBidi" w:cstheme="majorBidi"/>
          <w:b/>
          <w:bCs/>
          <w:sz w:val="24"/>
          <w:szCs w:val="24"/>
        </w:rPr>
      </w:pPr>
      <w:r w:rsidRPr="00782721">
        <w:rPr>
          <w:rFonts w:asciiTheme="majorBidi" w:eastAsia="Times New Roman" w:hAnsiTheme="majorBidi" w:cstheme="majorBidi"/>
          <w:b/>
          <w:bCs/>
          <w:noProof/>
          <w:sz w:val="24"/>
          <w:szCs w:val="24"/>
        </w:rPr>
        <w:drawing>
          <wp:inline distT="0" distB="0" distL="0" distR="0">
            <wp:extent cx="4556760" cy="2849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_feature_importance.png"/>
                    <pic:cNvPicPr/>
                  </pic:nvPicPr>
                  <pic:blipFill>
                    <a:blip r:embed="rId9">
                      <a:extLst>
                        <a:ext uri="{28A0092B-C50C-407E-A947-70E740481C1C}">
                          <a14:useLocalDpi xmlns:a14="http://schemas.microsoft.com/office/drawing/2010/main" val="0"/>
                        </a:ext>
                      </a:extLst>
                    </a:blip>
                    <a:stretch>
                      <a:fillRect/>
                    </a:stretch>
                  </pic:blipFill>
                  <pic:spPr>
                    <a:xfrm>
                      <a:off x="0" y="0"/>
                      <a:ext cx="4574908" cy="2861230"/>
                    </a:xfrm>
                    <a:prstGeom prst="rect">
                      <a:avLst/>
                    </a:prstGeom>
                  </pic:spPr>
                </pic:pic>
              </a:graphicData>
            </a:graphic>
          </wp:inline>
        </w:drawing>
      </w:r>
    </w:p>
    <w:p w:rsidR="00E23146" w:rsidRPr="00E23146" w:rsidRDefault="00E23146" w:rsidP="00782721">
      <w:pPr>
        <w:spacing w:before="100" w:beforeAutospacing="1" w:after="100" w:afterAutospacing="1" w:line="360" w:lineRule="auto"/>
        <w:rPr>
          <w:rFonts w:asciiTheme="majorBidi" w:eastAsia="Times New Roman" w:hAnsiTheme="majorBidi" w:cstheme="majorBidi"/>
          <w:b/>
          <w:bCs/>
          <w:sz w:val="24"/>
          <w:szCs w:val="24"/>
        </w:rPr>
      </w:pPr>
      <w:r w:rsidRPr="00782721">
        <w:rPr>
          <w:rFonts w:asciiTheme="majorBidi" w:eastAsia="Times New Roman" w:hAnsiTheme="majorBidi" w:cstheme="majorBidi"/>
          <w:b/>
          <w:bCs/>
          <w:sz w:val="24"/>
          <w:szCs w:val="24"/>
        </w:rPr>
        <w:t>Figure 5</w:t>
      </w:r>
      <w:r w:rsidRPr="00E23146">
        <w:rPr>
          <w:rFonts w:asciiTheme="majorBidi" w:eastAsia="Times New Roman" w:hAnsiTheme="majorBidi" w:cstheme="majorBidi"/>
          <w:sz w:val="24"/>
          <w:szCs w:val="24"/>
        </w:rPr>
        <w:t>: Feature Importance Bar Chart</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8"/>
          <w:szCs w:val="28"/>
        </w:rPr>
      </w:pPr>
      <w:r w:rsidRPr="00782721">
        <w:rPr>
          <w:rFonts w:asciiTheme="majorBidi" w:eastAsia="Times New Roman" w:hAnsiTheme="majorBidi" w:cstheme="majorBidi"/>
          <w:b/>
          <w:bCs/>
          <w:sz w:val="28"/>
          <w:szCs w:val="28"/>
        </w:rPr>
        <w:lastRenderedPageBreak/>
        <w:t>7. Interpretation and Insights</w:t>
      </w:r>
    </w:p>
    <w:p w:rsidR="00FC5A7E" w:rsidRPr="00782721" w:rsidRDefault="00FC5A7E" w:rsidP="00782721">
      <w:pPr>
        <w:pStyle w:val="NormalWeb"/>
        <w:numPr>
          <w:ilvl w:val="0"/>
          <w:numId w:val="11"/>
        </w:numPr>
        <w:spacing w:line="360" w:lineRule="auto"/>
        <w:rPr>
          <w:rFonts w:asciiTheme="majorBidi" w:hAnsiTheme="majorBidi" w:cstheme="majorBidi"/>
        </w:rPr>
      </w:pPr>
      <w:r w:rsidRPr="00782721">
        <w:rPr>
          <w:rStyle w:val="Strong"/>
          <w:rFonts w:asciiTheme="majorBidi" w:hAnsiTheme="majorBidi" w:cstheme="majorBidi"/>
        </w:rPr>
        <w:t>High R² Value (0.8785):</w:t>
      </w:r>
      <w:r w:rsidRPr="00782721">
        <w:rPr>
          <w:rFonts w:asciiTheme="majorBidi" w:hAnsiTheme="majorBidi" w:cstheme="majorBidi"/>
        </w:rPr>
        <w:t xml:space="preserve"> The model demonstrates strong explanatory power, indicating that approximately 87.85% of the variance in the 28-day compressive strength is accounted for by the input features. This suggests a reliable fit between the model and the observed data.</w:t>
      </w:r>
    </w:p>
    <w:p w:rsidR="00FC5A7E" w:rsidRPr="00782721" w:rsidRDefault="00FC5A7E" w:rsidP="00782721">
      <w:pPr>
        <w:pStyle w:val="NormalWeb"/>
        <w:numPr>
          <w:ilvl w:val="0"/>
          <w:numId w:val="11"/>
        </w:numPr>
        <w:spacing w:line="360" w:lineRule="auto"/>
        <w:rPr>
          <w:rFonts w:asciiTheme="majorBidi" w:hAnsiTheme="majorBidi" w:cstheme="majorBidi"/>
        </w:rPr>
      </w:pPr>
      <w:r w:rsidRPr="00782721">
        <w:rPr>
          <w:rStyle w:val="Strong"/>
          <w:rFonts w:asciiTheme="majorBidi" w:hAnsiTheme="majorBidi" w:cstheme="majorBidi"/>
        </w:rPr>
        <w:t>Low MSE (0.3855):</w:t>
      </w:r>
      <w:r w:rsidRPr="00782721">
        <w:rPr>
          <w:rFonts w:asciiTheme="majorBidi" w:hAnsiTheme="majorBidi" w:cstheme="majorBidi"/>
        </w:rPr>
        <w:t xml:space="preserve"> The mean squared error indicates a relatively low average squared difference between the predicted and actual compressive strength values. This reflects a good level of prediction accuracy.</w:t>
      </w:r>
    </w:p>
    <w:p w:rsidR="00FC5A7E" w:rsidRPr="00782721" w:rsidRDefault="00FC5A7E" w:rsidP="00782721">
      <w:pPr>
        <w:pStyle w:val="NormalWeb"/>
        <w:numPr>
          <w:ilvl w:val="0"/>
          <w:numId w:val="11"/>
        </w:numPr>
        <w:spacing w:line="360" w:lineRule="auto"/>
        <w:rPr>
          <w:rFonts w:asciiTheme="majorBidi" w:hAnsiTheme="majorBidi" w:cstheme="majorBidi"/>
        </w:rPr>
      </w:pPr>
      <w:r w:rsidRPr="00782721">
        <w:rPr>
          <w:rStyle w:val="Strong"/>
          <w:rFonts w:asciiTheme="majorBidi" w:hAnsiTheme="majorBidi" w:cstheme="majorBidi"/>
        </w:rPr>
        <w:t>Target Value Distribution:</w:t>
      </w:r>
      <w:r w:rsidRPr="00782721">
        <w:rPr>
          <w:rFonts w:asciiTheme="majorBidi" w:hAnsiTheme="majorBidi" w:cstheme="majorBidi"/>
        </w:rPr>
        <w:t xml:space="preserve"> Although the model performs well, it is important to note that the target variable (compressive strength) falls within a moderately narrow range. This can cause small absolute errors to have a larger proportional impact, which may affect model sensitivity.</w:t>
      </w:r>
    </w:p>
    <w:p w:rsidR="00E23146" w:rsidRPr="00E23146" w:rsidRDefault="00E23146" w:rsidP="00782721">
      <w:pPr>
        <w:spacing w:after="0" w:line="360" w:lineRule="auto"/>
        <w:rPr>
          <w:rFonts w:asciiTheme="majorBidi" w:eastAsia="Times New Roman" w:hAnsiTheme="majorBidi" w:cstheme="majorBidi"/>
          <w:sz w:val="24"/>
          <w:szCs w:val="24"/>
        </w:rPr>
      </w:pP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8"/>
          <w:szCs w:val="28"/>
        </w:rPr>
        <w:t>8. Personal Reflection</w:t>
      </w:r>
      <w:r w:rsidRPr="00E23146">
        <w:rPr>
          <w:rFonts w:asciiTheme="majorBidi" w:eastAsia="Times New Roman" w:hAnsiTheme="majorBidi" w:cstheme="majorBidi"/>
          <w:sz w:val="24"/>
          <w:szCs w:val="24"/>
        </w:rPr>
        <w:br/>
        <w:t>This project reinforced the need for careful feature selection and highlighted the limitations of applying complex models to small datasets. While ANNs are powerful, their success depends on data richness and diversity. The project provided valuable experience in data preprocessing, visualization, and neural network modeling within the context of civil engineering.</w:t>
      </w:r>
    </w:p>
    <w:p w:rsidR="00E23146" w:rsidRPr="00E23146" w:rsidRDefault="00E23146" w:rsidP="00782721">
      <w:pPr>
        <w:spacing w:after="0" w:line="360" w:lineRule="auto"/>
        <w:rPr>
          <w:rFonts w:asciiTheme="majorBidi" w:eastAsia="Times New Roman" w:hAnsiTheme="majorBidi" w:cstheme="majorBidi"/>
          <w:sz w:val="24"/>
          <w:szCs w:val="24"/>
        </w:rPr>
      </w:pPr>
    </w:p>
    <w:p w:rsidR="00FC5A7E" w:rsidRPr="00782721" w:rsidRDefault="00E23146" w:rsidP="00782721">
      <w:pPr>
        <w:pStyle w:val="NormalWeb"/>
        <w:spacing w:line="360" w:lineRule="auto"/>
        <w:rPr>
          <w:rFonts w:asciiTheme="majorBidi" w:hAnsiTheme="majorBidi" w:cstheme="majorBidi"/>
        </w:rPr>
      </w:pPr>
      <w:r w:rsidRPr="00782721">
        <w:rPr>
          <w:rFonts w:asciiTheme="majorBidi" w:hAnsiTheme="majorBidi" w:cstheme="majorBidi"/>
          <w:b/>
          <w:bCs/>
          <w:sz w:val="28"/>
          <w:szCs w:val="28"/>
        </w:rPr>
        <w:t>9. Conclusion and Recommendations</w:t>
      </w:r>
      <w:r w:rsidRPr="00E23146">
        <w:rPr>
          <w:rFonts w:asciiTheme="majorBidi" w:hAnsiTheme="majorBidi" w:cstheme="majorBidi"/>
        </w:rPr>
        <w:br/>
      </w:r>
      <w:r w:rsidR="00FC5A7E" w:rsidRPr="00782721">
        <w:rPr>
          <w:rFonts w:asciiTheme="majorBidi" w:hAnsiTheme="majorBidi" w:cstheme="majorBidi"/>
        </w:rPr>
        <w:t>The artificial neural network (ANN) model developed to predict 28-day compressive strength demonstrated strong predictive performance, with a high coefficient of determination (R² = 0.8785) and a low mean squared error (MSE = 0.3855). These metrics indicate that the model effectively captures the relationship between the input features and the target variable, making it a valuable tool for preliminary strength estimation.</w:t>
      </w:r>
    </w:p>
    <w:p w:rsidR="00FC5A7E" w:rsidRPr="00782721" w:rsidRDefault="00FC5A7E" w:rsidP="00782721">
      <w:pPr>
        <w:pStyle w:val="NormalWeb"/>
        <w:spacing w:line="360" w:lineRule="auto"/>
        <w:rPr>
          <w:rFonts w:asciiTheme="majorBidi" w:hAnsiTheme="majorBidi" w:cstheme="majorBidi"/>
        </w:rPr>
      </w:pPr>
      <w:r w:rsidRPr="00782721">
        <w:rPr>
          <w:rFonts w:asciiTheme="majorBidi" w:hAnsiTheme="majorBidi" w:cstheme="majorBidi"/>
        </w:rPr>
        <w:t xml:space="preserve">Despite the promising results, the model's generalizability could be improved by incorporating additional influential variables such as environmental conditions (e.g., temperature, humidity) </w:t>
      </w:r>
      <w:r w:rsidRPr="00782721">
        <w:rPr>
          <w:rFonts w:asciiTheme="majorBidi" w:hAnsiTheme="majorBidi" w:cstheme="majorBidi"/>
        </w:rPr>
        <w:lastRenderedPageBreak/>
        <w:t>and material-specific properties. Future work should consider expanding the dataset and applying cross-validation or ensemble methods to further validate and enhance model robustness.</w:t>
      </w:r>
    </w:p>
    <w:p w:rsidR="00E23146" w:rsidRPr="00E23146" w:rsidRDefault="00FC5A7E" w:rsidP="00782721">
      <w:pPr>
        <w:pStyle w:val="NormalWeb"/>
        <w:spacing w:line="360" w:lineRule="auto"/>
        <w:rPr>
          <w:rFonts w:asciiTheme="majorBidi" w:hAnsiTheme="majorBidi" w:cstheme="majorBidi"/>
        </w:rPr>
      </w:pPr>
      <w:r w:rsidRPr="00782721">
        <w:rPr>
          <w:rFonts w:asciiTheme="majorBidi" w:hAnsiTheme="majorBidi" w:cstheme="majorBidi"/>
        </w:rPr>
        <w:t>Overall, this ANN model provides a solid foundation for predicting compressive strength and can be refined and extended in subsequent studies for more comprehensive applications in concrete mix design and quality control.</w:t>
      </w:r>
    </w:p>
    <w:p w:rsidR="00E23146" w:rsidRPr="00E23146" w:rsidRDefault="00E23146" w:rsidP="00782721">
      <w:p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b/>
          <w:bCs/>
          <w:sz w:val="24"/>
          <w:szCs w:val="24"/>
        </w:rPr>
        <w:t>Recommendations</w:t>
      </w:r>
      <w:r w:rsidRPr="00E23146">
        <w:rPr>
          <w:rFonts w:asciiTheme="majorBidi" w:eastAsia="Times New Roman" w:hAnsiTheme="majorBidi" w:cstheme="majorBidi"/>
          <w:sz w:val="24"/>
          <w:szCs w:val="24"/>
        </w:rPr>
        <w:t>:</w:t>
      </w:r>
    </w:p>
    <w:p w:rsidR="00E23146" w:rsidRPr="00E23146" w:rsidRDefault="00E23146" w:rsidP="00782721">
      <w:pPr>
        <w:numPr>
          <w:ilvl w:val="0"/>
          <w:numId w:val="8"/>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Include environmental and material properties (e.g., humidity, curing conditions)</w:t>
      </w:r>
    </w:p>
    <w:p w:rsidR="00E23146" w:rsidRPr="00E23146" w:rsidRDefault="00E23146" w:rsidP="00782721">
      <w:pPr>
        <w:numPr>
          <w:ilvl w:val="0"/>
          <w:numId w:val="8"/>
        </w:numPr>
        <w:spacing w:before="100" w:beforeAutospacing="1" w:after="100" w:afterAutospacing="1" w:line="360" w:lineRule="auto"/>
        <w:rPr>
          <w:rFonts w:asciiTheme="majorBidi" w:eastAsia="Times New Roman" w:hAnsiTheme="majorBidi" w:cstheme="majorBidi"/>
          <w:sz w:val="24"/>
          <w:szCs w:val="24"/>
        </w:rPr>
      </w:pPr>
      <w:bookmarkStart w:id="12" w:name="_GoBack"/>
      <w:r w:rsidRPr="00E23146">
        <w:rPr>
          <w:rFonts w:asciiTheme="majorBidi" w:eastAsia="Times New Roman" w:hAnsiTheme="majorBidi" w:cstheme="majorBidi"/>
          <w:sz w:val="24"/>
          <w:szCs w:val="24"/>
        </w:rPr>
        <w:t>Try simpler models like Random Forest or Gradient Boosting</w:t>
      </w:r>
    </w:p>
    <w:bookmarkEnd w:id="12"/>
    <w:p w:rsidR="00E23146" w:rsidRPr="00782721" w:rsidRDefault="00E23146" w:rsidP="00782721">
      <w:pPr>
        <w:numPr>
          <w:ilvl w:val="0"/>
          <w:numId w:val="8"/>
        </w:numPr>
        <w:spacing w:before="100" w:beforeAutospacing="1" w:after="100" w:afterAutospacing="1" w:line="360" w:lineRule="auto"/>
        <w:rPr>
          <w:rFonts w:asciiTheme="majorBidi" w:eastAsia="Times New Roman" w:hAnsiTheme="majorBidi" w:cstheme="majorBidi"/>
          <w:sz w:val="24"/>
          <w:szCs w:val="24"/>
        </w:rPr>
      </w:pPr>
      <w:r w:rsidRPr="00E23146">
        <w:rPr>
          <w:rFonts w:asciiTheme="majorBidi" w:eastAsia="Times New Roman" w:hAnsiTheme="majorBidi" w:cstheme="majorBidi"/>
          <w:sz w:val="24"/>
          <w:szCs w:val="24"/>
        </w:rPr>
        <w:t>Expand dataset for better generalizability</w:t>
      </w:r>
    </w:p>
    <w:p w:rsidR="006F7E6F" w:rsidRPr="00782721" w:rsidRDefault="00E23146" w:rsidP="00782721">
      <w:pPr>
        <w:spacing w:before="100" w:beforeAutospacing="1" w:after="100" w:afterAutospacing="1" w:line="360" w:lineRule="auto"/>
        <w:rPr>
          <w:rFonts w:asciiTheme="majorBidi" w:eastAsia="Times New Roman" w:hAnsiTheme="majorBidi" w:cstheme="majorBidi"/>
          <w:b/>
          <w:bCs/>
          <w:sz w:val="28"/>
          <w:szCs w:val="28"/>
        </w:rPr>
      </w:pPr>
      <w:r w:rsidRPr="00782721">
        <w:rPr>
          <w:rFonts w:asciiTheme="majorBidi" w:eastAsia="Times New Roman" w:hAnsiTheme="majorBidi" w:cstheme="majorBidi"/>
          <w:b/>
          <w:bCs/>
          <w:sz w:val="28"/>
          <w:szCs w:val="28"/>
        </w:rPr>
        <w:t>References</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b/>
          <w:bCs/>
          <w:sz w:val="28"/>
          <w:szCs w:val="28"/>
        </w:rPr>
      </w:pPr>
      <w:r w:rsidRPr="00782721">
        <w:rPr>
          <w:rFonts w:asciiTheme="majorBidi" w:eastAsia="Times New Roman" w:hAnsiTheme="majorBidi" w:cstheme="majorBidi"/>
          <w:sz w:val="24"/>
          <w:szCs w:val="24"/>
        </w:rPr>
        <w:t xml:space="preserve">Ashby, M. F., &amp; Jones, D. R. H. (2018). </w:t>
      </w:r>
      <w:r w:rsidRPr="00782721">
        <w:rPr>
          <w:rFonts w:asciiTheme="majorBidi" w:eastAsia="Times New Roman" w:hAnsiTheme="majorBidi" w:cstheme="majorBidi"/>
          <w:i/>
          <w:iCs/>
          <w:sz w:val="24"/>
          <w:szCs w:val="24"/>
        </w:rPr>
        <w:t>Engineering materials 1: An introduction to properties, applications, and design</w:t>
      </w:r>
      <w:r w:rsidRPr="00782721">
        <w:rPr>
          <w:rFonts w:asciiTheme="majorBidi" w:eastAsia="Times New Roman" w:hAnsiTheme="majorBidi" w:cstheme="majorBidi"/>
          <w:sz w:val="24"/>
          <w:szCs w:val="24"/>
        </w:rPr>
        <w:t xml:space="preserve"> (5th ed.). Butterworth-Heinemann.</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proofErr w:type="spellStart"/>
      <w:r w:rsidRPr="00782721">
        <w:rPr>
          <w:rFonts w:asciiTheme="majorBidi" w:eastAsia="Times New Roman" w:hAnsiTheme="majorBidi" w:cstheme="majorBidi"/>
          <w:sz w:val="24"/>
          <w:szCs w:val="24"/>
        </w:rPr>
        <w:t>Breiman</w:t>
      </w:r>
      <w:proofErr w:type="spellEnd"/>
      <w:r w:rsidRPr="00782721">
        <w:rPr>
          <w:rFonts w:asciiTheme="majorBidi" w:eastAsia="Times New Roman" w:hAnsiTheme="majorBidi" w:cstheme="majorBidi"/>
          <w:sz w:val="24"/>
          <w:szCs w:val="24"/>
        </w:rPr>
        <w:t xml:space="preserve">, L. (2001). Random forests. </w:t>
      </w:r>
      <w:r w:rsidRPr="00782721">
        <w:rPr>
          <w:rFonts w:asciiTheme="majorBidi" w:eastAsia="Times New Roman" w:hAnsiTheme="majorBidi" w:cstheme="majorBidi"/>
          <w:i/>
          <w:iCs/>
          <w:sz w:val="24"/>
          <w:szCs w:val="24"/>
        </w:rPr>
        <w:t>Machine Learning, 45</w:t>
      </w:r>
      <w:r w:rsidRPr="00782721">
        <w:rPr>
          <w:rFonts w:asciiTheme="majorBidi" w:eastAsia="Times New Roman" w:hAnsiTheme="majorBidi" w:cstheme="majorBidi"/>
          <w:sz w:val="24"/>
          <w:szCs w:val="24"/>
        </w:rPr>
        <w:t xml:space="preserve">(1), 5–32. </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proofErr w:type="spellStart"/>
      <w:r w:rsidRPr="00782721">
        <w:rPr>
          <w:rFonts w:asciiTheme="majorBidi" w:eastAsia="Times New Roman" w:hAnsiTheme="majorBidi" w:cstheme="majorBidi"/>
          <w:sz w:val="24"/>
          <w:szCs w:val="24"/>
        </w:rPr>
        <w:t>Chollet</w:t>
      </w:r>
      <w:proofErr w:type="spellEnd"/>
      <w:r w:rsidRPr="00782721">
        <w:rPr>
          <w:rFonts w:asciiTheme="majorBidi" w:eastAsia="Times New Roman" w:hAnsiTheme="majorBidi" w:cstheme="majorBidi"/>
          <w:sz w:val="24"/>
          <w:szCs w:val="24"/>
        </w:rPr>
        <w:t xml:space="preserve">, F. (2015). </w:t>
      </w:r>
      <w:proofErr w:type="spellStart"/>
      <w:r w:rsidRPr="00782721">
        <w:rPr>
          <w:rFonts w:asciiTheme="majorBidi" w:eastAsia="Times New Roman" w:hAnsiTheme="majorBidi" w:cstheme="majorBidi"/>
          <w:i/>
          <w:iCs/>
          <w:sz w:val="24"/>
          <w:szCs w:val="24"/>
        </w:rPr>
        <w:t>Keras</w:t>
      </w:r>
      <w:proofErr w:type="spellEnd"/>
      <w:r w:rsidRPr="00782721">
        <w:rPr>
          <w:rFonts w:asciiTheme="majorBidi" w:eastAsia="Times New Roman" w:hAnsiTheme="majorBidi" w:cstheme="majorBidi"/>
          <w:i/>
          <w:iCs/>
          <w:sz w:val="24"/>
          <w:szCs w:val="24"/>
        </w:rPr>
        <w:t>: Deep learning library for Theano and TensorFlow</w:t>
      </w:r>
      <w:r w:rsidRPr="00782721">
        <w:rPr>
          <w:rFonts w:asciiTheme="majorBidi" w:eastAsia="Times New Roman" w:hAnsiTheme="majorBidi" w:cstheme="majorBidi"/>
          <w:sz w:val="24"/>
          <w:szCs w:val="24"/>
        </w:rPr>
        <w:t xml:space="preserve">. </w:t>
      </w:r>
      <w:hyperlink r:id="rId10" w:history="1">
        <w:r w:rsidRPr="00782721">
          <w:rPr>
            <w:rFonts w:asciiTheme="majorBidi" w:eastAsia="Times New Roman" w:hAnsiTheme="majorBidi" w:cstheme="majorBidi"/>
            <w:color w:val="0000FF"/>
            <w:sz w:val="24"/>
            <w:szCs w:val="24"/>
            <w:u w:val="single"/>
          </w:rPr>
          <w:t>https://keras.io</w:t>
        </w:r>
      </w:hyperlink>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Cohen, J. (1988). </w:t>
      </w:r>
      <w:r w:rsidRPr="00782721">
        <w:rPr>
          <w:rFonts w:asciiTheme="majorBidi" w:eastAsia="Times New Roman" w:hAnsiTheme="majorBidi" w:cstheme="majorBidi"/>
          <w:i/>
          <w:iCs/>
          <w:sz w:val="24"/>
          <w:szCs w:val="24"/>
        </w:rPr>
        <w:t>Statistical power analysis for the behavioral sciences</w:t>
      </w:r>
      <w:r w:rsidRPr="00782721">
        <w:rPr>
          <w:rFonts w:asciiTheme="majorBidi" w:eastAsia="Times New Roman" w:hAnsiTheme="majorBidi" w:cstheme="majorBidi"/>
          <w:sz w:val="24"/>
          <w:szCs w:val="24"/>
        </w:rPr>
        <w:t xml:space="preserve"> (2nd ed.). Lawrence Erlbaum Associates.</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proofErr w:type="spellStart"/>
      <w:r w:rsidRPr="00782721">
        <w:rPr>
          <w:rFonts w:asciiTheme="majorBidi" w:eastAsia="Times New Roman" w:hAnsiTheme="majorBidi" w:cstheme="majorBidi"/>
          <w:sz w:val="24"/>
          <w:szCs w:val="24"/>
        </w:rPr>
        <w:t>Géron</w:t>
      </w:r>
      <w:proofErr w:type="spellEnd"/>
      <w:r w:rsidRPr="00782721">
        <w:rPr>
          <w:rFonts w:asciiTheme="majorBidi" w:eastAsia="Times New Roman" w:hAnsiTheme="majorBidi" w:cstheme="majorBidi"/>
          <w:sz w:val="24"/>
          <w:szCs w:val="24"/>
        </w:rPr>
        <w:t xml:space="preserve">, A. (2019). </w:t>
      </w:r>
      <w:r w:rsidRPr="00782721">
        <w:rPr>
          <w:rFonts w:asciiTheme="majorBidi" w:eastAsia="Times New Roman" w:hAnsiTheme="majorBidi" w:cstheme="majorBidi"/>
          <w:i/>
          <w:iCs/>
          <w:sz w:val="24"/>
          <w:szCs w:val="24"/>
        </w:rPr>
        <w:t xml:space="preserve">Hands-on machine learning with </w:t>
      </w:r>
      <w:proofErr w:type="spellStart"/>
      <w:r w:rsidRPr="00782721">
        <w:rPr>
          <w:rFonts w:asciiTheme="majorBidi" w:eastAsia="Times New Roman" w:hAnsiTheme="majorBidi" w:cstheme="majorBidi"/>
          <w:i/>
          <w:iCs/>
          <w:sz w:val="24"/>
          <w:szCs w:val="24"/>
        </w:rPr>
        <w:t>Scikit</w:t>
      </w:r>
      <w:proofErr w:type="spellEnd"/>
      <w:r w:rsidRPr="00782721">
        <w:rPr>
          <w:rFonts w:asciiTheme="majorBidi" w:eastAsia="Times New Roman" w:hAnsiTheme="majorBidi" w:cstheme="majorBidi"/>
          <w:i/>
          <w:iCs/>
          <w:sz w:val="24"/>
          <w:szCs w:val="24"/>
        </w:rPr>
        <w:t xml:space="preserve">-Learn, </w:t>
      </w:r>
      <w:proofErr w:type="spellStart"/>
      <w:r w:rsidRPr="00782721">
        <w:rPr>
          <w:rFonts w:asciiTheme="majorBidi" w:eastAsia="Times New Roman" w:hAnsiTheme="majorBidi" w:cstheme="majorBidi"/>
          <w:i/>
          <w:iCs/>
          <w:sz w:val="24"/>
          <w:szCs w:val="24"/>
        </w:rPr>
        <w:t>Keras</w:t>
      </w:r>
      <w:proofErr w:type="spellEnd"/>
      <w:r w:rsidRPr="00782721">
        <w:rPr>
          <w:rFonts w:asciiTheme="majorBidi" w:eastAsia="Times New Roman" w:hAnsiTheme="majorBidi" w:cstheme="majorBidi"/>
          <w:i/>
          <w:iCs/>
          <w:sz w:val="24"/>
          <w:szCs w:val="24"/>
        </w:rPr>
        <w:t>, and TensorFlow</w:t>
      </w:r>
      <w:r w:rsidRPr="00782721">
        <w:rPr>
          <w:rFonts w:asciiTheme="majorBidi" w:eastAsia="Times New Roman" w:hAnsiTheme="majorBidi" w:cstheme="majorBidi"/>
          <w:sz w:val="24"/>
          <w:szCs w:val="24"/>
        </w:rPr>
        <w:t xml:space="preserve"> (2nd ed.). O'Reilly Media.</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Goodfellow, I., </w:t>
      </w:r>
      <w:proofErr w:type="spellStart"/>
      <w:r w:rsidRPr="00782721">
        <w:rPr>
          <w:rFonts w:asciiTheme="majorBidi" w:eastAsia="Times New Roman" w:hAnsiTheme="majorBidi" w:cstheme="majorBidi"/>
          <w:sz w:val="24"/>
          <w:szCs w:val="24"/>
        </w:rPr>
        <w:t>Bengio</w:t>
      </w:r>
      <w:proofErr w:type="spellEnd"/>
      <w:r w:rsidRPr="00782721">
        <w:rPr>
          <w:rFonts w:asciiTheme="majorBidi" w:eastAsia="Times New Roman" w:hAnsiTheme="majorBidi" w:cstheme="majorBidi"/>
          <w:sz w:val="24"/>
          <w:szCs w:val="24"/>
        </w:rPr>
        <w:t xml:space="preserve">, Y., &amp; Courville, A. (2016). </w:t>
      </w:r>
      <w:r w:rsidRPr="00782721">
        <w:rPr>
          <w:rFonts w:asciiTheme="majorBidi" w:eastAsia="Times New Roman" w:hAnsiTheme="majorBidi" w:cstheme="majorBidi"/>
          <w:i/>
          <w:iCs/>
          <w:sz w:val="24"/>
          <w:szCs w:val="24"/>
        </w:rPr>
        <w:t>Deep learning</w:t>
      </w:r>
      <w:r w:rsidRPr="00782721">
        <w:rPr>
          <w:rFonts w:asciiTheme="majorBidi" w:eastAsia="Times New Roman" w:hAnsiTheme="majorBidi" w:cstheme="majorBidi"/>
          <w:sz w:val="24"/>
          <w:szCs w:val="24"/>
        </w:rPr>
        <w:t>. MIT Press.</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Hair, J. F., Black, W. C., </w:t>
      </w:r>
      <w:proofErr w:type="spellStart"/>
      <w:r w:rsidRPr="00782721">
        <w:rPr>
          <w:rFonts w:asciiTheme="majorBidi" w:eastAsia="Times New Roman" w:hAnsiTheme="majorBidi" w:cstheme="majorBidi"/>
          <w:sz w:val="24"/>
          <w:szCs w:val="24"/>
        </w:rPr>
        <w:t>Babin</w:t>
      </w:r>
      <w:proofErr w:type="spellEnd"/>
      <w:r w:rsidRPr="00782721">
        <w:rPr>
          <w:rFonts w:asciiTheme="majorBidi" w:eastAsia="Times New Roman" w:hAnsiTheme="majorBidi" w:cstheme="majorBidi"/>
          <w:sz w:val="24"/>
          <w:szCs w:val="24"/>
        </w:rPr>
        <w:t xml:space="preserve">, B. J., &amp; Anderson, R. E. (2019). </w:t>
      </w:r>
      <w:r w:rsidRPr="00782721">
        <w:rPr>
          <w:rFonts w:asciiTheme="majorBidi" w:eastAsia="Times New Roman" w:hAnsiTheme="majorBidi" w:cstheme="majorBidi"/>
          <w:i/>
          <w:iCs/>
          <w:sz w:val="24"/>
          <w:szCs w:val="24"/>
        </w:rPr>
        <w:t>Multivariate data analysis</w:t>
      </w:r>
      <w:r w:rsidRPr="00782721">
        <w:rPr>
          <w:rFonts w:asciiTheme="majorBidi" w:eastAsia="Times New Roman" w:hAnsiTheme="majorBidi" w:cstheme="majorBidi"/>
          <w:sz w:val="24"/>
          <w:szCs w:val="24"/>
        </w:rPr>
        <w:t xml:space="preserve"> (8th ed.). Cengage Learning.</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Hastie, T., </w:t>
      </w:r>
      <w:proofErr w:type="spellStart"/>
      <w:r w:rsidRPr="00782721">
        <w:rPr>
          <w:rFonts w:asciiTheme="majorBidi" w:eastAsia="Times New Roman" w:hAnsiTheme="majorBidi" w:cstheme="majorBidi"/>
          <w:sz w:val="24"/>
          <w:szCs w:val="24"/>
        </w:rPr>
        <w:t>Tibshirani</w:t>
      </w:r>
      <w:proofErr w:type="spellEnd"/>
      <w:r w:rsidRPr="00782721">
        <w:rPr>
          <w:rFonts w:asciiTheme="majorBidi" w:eastAsia="Times New Roman" w:hAnsiTheme="majorBidi" w:cstheme="majorBidi"/>
          <w:sz w:val="24"/>
          <w:szCs w:val="24"/>
        </w:rPr>
        <w:t xml:space="preserve">, R., &amp; Friedman, J. (2009). </w:t>
      </w:r>
      <w:r w:rsidRPr="00782721">
        <w:rPr>
          <w:rFonts w:asciiTheme="majorBidi" w:eastAsia="Times New Roman" w:hAnsiTheme="majorBidi" w:cstheme="majorBidi"/>
          <w:i/>
          <w:iCs/>
          <w:sz w:val="24"/>
          <w:szCs w:val="24"/>
        </w:rPr>
        <w:t>The elements of statistical learning</w:t>
      </w:r>
      <w:r w:rsidRPr="00782721">
        <w:rPr>
          <w:rFonts w:asciiTheme="majorBidi" w:eastAsia="Times New Roman" w:hAnsiTheme="majorBidi" w:cstheme="majorBidi"/>
          <w:sz w:val="24"/>
          <w:szCs w:val="24"/>
        </w:rPr>
        <w:t xml:space="preserve"> (2nd ed.). Springer. </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proofErr w:type="spellStart"/>
      <w:r w:rsidRPr="00782721">
        <w:rPr>
          <w:rFonts w:asciiTheme="majorBidi" w:eastAsia="Times New Roman" w:hAnsiTheme="majorBidi" w:cstheme="majorBidi"/>
          <w:sz w:val="24"/>
          <w:szCs w:val="24"/>
        </w:rPr>
        <w:t>Kohavi</w:t>
      </w:r>
      <w:proofErr w:type="spellEnd"/>
      <w:r w:rsidRPr="00782721">
        <w:rPr>
          <w:rFonts w:asciiTheme="majorBidi" w:eastAsia="Times New Roman" w:hAnsiTheme="majorBidi" w:cstheme="majorBidi"/>
          <w:sz w:val="24"/>
          <w:szCs w:val="24"/>
        </w:rPr>
        <w:t xml:space="preserve">, R. (1995). A study of cross-validation and bootstrap for accuracy estimation and model selection. </w:t>
      </w:r>
      <w:r w:rsidRPr="00782721">
        <w:rPr>
          <w:rFonts w:asciiTheme="majorBidi" w:eastAsia="Times New Roman" w:hAnsiTheme="majorBidi" w:cstheme="majorBidi"/>
          <w:i/>
          <w:iCs/>
          <w:sz w:val="24"/>
          <w:szCs w:val="24"/>
        </w:rPr>
        <w:t>IJCAI</w:t>
      </w:r>
      <w:r w:rsidRPr="00782721">
        <w:rPr>
          <w:rFonts w:asciiTheme="majorBidi" w:eastAsia="Times New Roman" w:hAnsiTheme="majorBidi" w:cstheme="majorBidi"/>
          <w:sz w:val="24"/>
          <w:szCs w:val="24"/>
        </w:rPr>
        <w:t xml:space="preserve">, </w:t>
      </w:r>
      <w:r w:rsidRPr="00782721">
        <w:rPr>
          <w:rFonts w:asciiTheme="majorBidi" w:eastAsia="Times New Roman" w:hAnsiTheme="majorBidi" w:cstheme="majorBidi"/>
          <w:i/>
          <w:iCs/>
          <w:sz w:val="24"/>
          <w:szCs w:val="24"/>
        </w:rPr>
        <w:t>14</w:t>
      </w:r>
      <w:r w:rsidRPr="00782721">
        <w:rPr>
          <w:rFonts w:asciiTheme="majorBidi" w:eastAsia="Times New Roman" w:hAnsiTheme="majorBidi" w:cstheme="majorBidi"/>
          <w:sz w:val="24"/>
          <w:szCs w:val="24"/>
        </w:rPr>
        <w:t>(2), 1137–1145.</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Kuhn, M., &amp; Johnson, K. (2013). </w:t>
      </w:r>
      <w:r w:rsidRPr="00782721">
        <w:rPr>
          <w:rFonts w:asciiTheme="majorBidi" w:eastAsia="Times New Roman" w:hAnsiTheme="majorBidi" w:cstheme="majorBidi"/>
          <w:i/>
          <w:iCs/>
          <w:sz w:val="24"/>
          <w:szCs w:val="24"/>
        </w:rPr>
        <w:t>Applied predictive modeling</w:t>
      </w:r>
      <w:r w:rsidRPr="00782721">
        <w:rPr>
          <w:rFonts w:asciiTheme="majorBidi" w:eastAsia="Times New Roman" w:hAnsiTheme="majorBidi" w:cstheme="majorBidi"/>
          <w:sz w:val="24"/>
          <w:szCs w:val="24"/>
        </w:rPr>
        <w:t>. Springer.</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lastRenderedPageBreak/>
        <w:t xml:space="preserve">Kutner, M. H., </w:t>
      </w:r>
      <w:proofErr w:type="spellStart"/>
      <w:r w:rsidRPr="00782721">
        <w:rPr>
          <w:rFonts w:asciiTheme="majorBidi" w:eastAsia="Times New Roman" w:hAnsiTheme="majorBidi" w:cstheme="majorBidi"/>
          <w:sz w:val="24"/>
          <w:szCs w:val="24"/>
        </w:rPr>
        <w:t>Nachtsheim</w:t>
      </w:r>
      <w:proofErr w:type="spellEnd"/>
      <w:r w:rsidRPr="00782721">
        <w:rPr>
          <w:rFonts w:asciiTheme="majorBidi" w:eastAsia="Times New Roman" w:hAnsiTheme="majorBidi" w:cstheme="majorBidi"/>
          <w:sz w:val="24"/>
          <w:szCs w:val="24"/>
        </w:rPr>
        <w:t xml:space="preserve">, C. J., </w:t>
      </w:r>
      <w:proofErr w:type="spellStart"/>
      <w:r w:rsidRPr="00782721">
        <w:rPr>
          <w:rFonts w:asciiTheme="majorBidi" w:eastAsia="Times New Roman" w:hAnsiTheme="majorBidi" w:cstheme="majorBidi"/>
          <w:sz w:val="24"/>
          <w:szCs w:val="24"/>
        </w:rPr>
        <w:t>Neter</w:t>
      </w:r>
      <w:proofErr w:type="spellEnd"/>
      <w:r w:rsidRPr="00782721">
        <w:rPr>
          <w:rFonts w:asciiTheme="majorBidi" w:eastAsia="Times New Roman" w:hAnsiTheme="majorBidi" w:cstheme="majorBidi"/>
          <w:sz w:val="24"/>
          <w:szCs w:val="24"/>
        </w:rPr>
        <w:t xml:space="preserve">, J., &amp; Li, W. (2005). </w:t>
      </w:r>
      <w:r w:rsidRPr="00782721">
        <w:rPr>
          <w:rFonts w:asciiTheme="majorBidi" w:eastAsia="Times New Roman" w:hAnsiTheme="majorBidi" w:cstheme="majorBidi"/>
          <w:i/>
          <w:iCs/>
          <w:sz w:val="24"/>
          <w:szCs w:val="24"/>
        </w:rPr>
        <w:t>Applied linear statistical models</w:t>
      </w:r>
      <w:r w:rsidRPr="00782721">
        <w:rPr>
          <w:rFonts w:asciiTheme="majorBidi" w:eastAsia="Times New Roman" w:hAnsiTheme="majorBidi" w:cstheme="majorBidi"/>
          <w:sz w:val="24"/>
          <w:szCs w:val="24"/>
        </w:rPr>
        <w:t xml:space="preserve"> (5th ed.). McGraw-Hill.</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Montgomery, D. C., &amp; </w:t>
      </w:r>
      <w:proofErr w:type="spellStart"/>
      <w:r w:rsidRPr="00782721">
        <w:rPr>
          <w:rFonts w:asciiTheme="majorBidi" w:eastAsia="Times New Roman" w:hAnsiTheme="majorBidi" w:cstheme="majorBidi"/>
          <w:sz w:val="24"/>
          <w:szCs w:val="24"/>
        </w:rPr>
        <w:t>Runger</w:t>
      </w:r>
      <w:proofErr w:type="spellEnd"/>
      <w:r w:rsidRPr="00782721">
        <w:rPr>
          <w:rFonts w:asciiTheme="majorBidi" w:eastAsia="Times New Roman" w:hAnsiTheme="majorBidi" w:cstheme="majorBidi"/>
          <w:sz w:val="24"/>
          <w:szCs w:val="24"/>
        </w:rPr>
        <w:t xml:space="preserve">, G. C. (2012). </w:t>
      </w:r>
      <w:r w:rsidRPr="00782721">
        <w:rPr>
          <w:rFonts w:asciiTheme="majorBidi" w:eastAsia="Times New Roman" w:hAnsiTheme="majorBidi" w:cstheme="majorBidi"/>
          <w:i/>
          <w:iCs/>
          <w:sz w:val="24"/>
          <w:szCs w:val="24"/>
        </w:rPr>
        <w:t>Applied statistics and probability for engineers</w:t>
      </w:r>
      <w:r w:rsidRPr="00782721">
        <w:rPr>
          <w:rFonts w:asciiTheme="majorBidi" w:eastAsia="Times New Roman" w:hAnsiTheme="majorBidi" w:cstheme="majorBidi"/>
          <w:sz w:val="24"/>
          <w:szCs w:val="24"/>
        </w:rPr>
        <w:t xml:space="preserve"> (5th ed.). Wiley.</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proofErr w:type="spellStart"/>
      <w:r w:rsidRPr="00782721">
        <w:rPr>
          <w:rFonts w:asciiTheme="majorBidi" w:eastAsia="Times New Roman" w:hAnsiTheme="majorBidi" w:cstheme="majorBidi"/>
          <w:sz w:val="24"/>
          <w:szCs w:val="24"/>
        </w:rPr>
        <w:t>Pedregosa</w:t>
      </w:r>
      <w:proofErr w:type="spellEnd"/>
      <w:r w:rsidRPr="00782721">
        <w:rPr>
          <w:rFonts w:asciiTheme="majorBidi" w:eastAsia="Times New Roman" w:hAnsiTheme="majorBidi" w:cstheme="majorBidi"/>
          <w:sz w:val="24"/>
          <w:szCs w:val="24"/>
        </w:rPr>
        <w:t xml:space="preserve">, F., </w:t>
      </w:r>
      <w:proofErr w:type="spellStart"/>
      <w:r w:rsidRPr="00782721">
        <w:rPr>
          <w:rFonts w:asciiTheme="majorBidi" w:eastAsia="Times New Roman" w:hAnsiTheme="majorBidi" w:cstheme="majorBidi"/>
          <w:sz w:val="24"/>
          <w:szCs w:val="24"/>
        </w:rPr>
        <w:t>Varoquaux</w:t>
      </w:r>
      <w:proofErr w:type="spellEnd"/>
      <w:r w:rsidRPr="00782721">
        <w:rPr>
          <w:rFonts w:asciiTheme="majorBidi" w:eastAsia="Times New Roman" w:hAnsiTheme="majorBidi" w:cstheme="majorBidi"/>
          <w:sz w:val="24"/>
          <w:szCs w:val="24"/>
        </w:rPr>
        <w:t xml:space="preserve">, G., </w:t>
      </w:r>
      <w:proofErr w:type="spellStart"/>
      <w:r w:rsidRPr="00782721">
        <w:rPr>
          <w:rFonts w:asciiTheme="majorBidi" w:eastAsia="Times New Roman" w:hAnsiTheme="majorBidi" w:cstheme="majorBidi"/>
          <w:sz w:val="24"/>
          <w:szCs w:val="24"/>
        </w:rPr>
        <w:t>Gramfort</w:t>
      </w:r>
      <w:proofErr w:type="spellEnd"/>
      <w:r w:rsidRPr="00782721">
        <w:rPr>
          <w:rFonts w:asciiTheme="majorBidi" w:eastAsia="Times New Roman" w:hAnsiTheme="majorBidi" w:cstheme="majorBidi"/>
          <w:sz w:val="24"/>
          <w:szCs w:val="24"/>
        </w:rPr>
        <w:t xml:space="preserve">, A., Michel, V., </w:t>
      </w:r>
      <w:proofErr w:type="spellStart"/>
      <w:r w:rsidRPr="00782721">
        <w:rPr>
          <w:rFonts w:asciiTheme="majorBidi" w:eastAsia="Times New Roman" w:hAnsiTheme="majorBidi" w:cstheme="majorBidi"/>
          <w:sz w:val="24"/>
          <w:szCs w:val="24"/>
        </w:rPr>
        <w:t>Thirion</w:t>
      </w:r>
      <w:proofErr w:type="spellEnd"/>
      <w:r w:rsidRPr="00782721">
        <w:rPr>
          <w:rFonts w:asciiTheme="majorBidi" w:eastAsia="Times New Roman" w:hAnsiTheme="majorBidi" w:cstheme="majorBidi"/>
          <w:sz w:val="24"/>
          <w:szCs w:val="24"/>
        </w:rPr>
        <w:t xml:space="preserve">, B., Grisel, O., ... &amp; </w:t>
      </w:r>
      <w:proofErr w:type="spellStart"/>
      <w:r w:rsidRPr="00782721">
        <w:rPr>
          <w:rFonts w:asciiTheme="majorBidi" w:eastAsia="Times New Roman" w:hAnsiTheme="majorBidi" w:cstheme="majorBidi"/>
          <w:sz w:val="24"/>
          <w:szCs w:val="24"/>
        </w:rPr>
        <w:t>Duchesnay</w:t>
      </w:r>
      <w:proofErr w:type="spellEnd"/>
      <w:r w:rsidRPr="00782721">
        <w:rPr>
          <w:rFonts w:asciiTheme="majorBidi" w:eastAsia="Times New Roman" w:hAnsiTheme="majorBidi" w:cstheme="majorBidi"/>
          <w:sz w:val="24"/>
          <w:szCs w:val="24"/>
        </w:rPr>
        <w:t xml:space="preserve">, É. (2011). </w:t>
      </w:r>
      <w:proofErr w:type="spellStart"/>
      <w:r w:rsidRPr="00782721">
        <w:rPr>
          <w:rFonts w:asciiTheme="majorBidi" w:eastAsia="Times New Roman" w:hAnsiTheme="majorBidi" w:cstheme="majorBidi"/>
          <w:sz w:val="24"/>
          <w:szCs w:val="24"/>
        </w:rPr>
        <w:t>Scikit</w:t>
      </w:r>
      <w:proofErr w:type="spellEnd"/>
      <w:r w:rsidRPr="00782721">
        <w:rPr>
          <w:rFonts w:asciiTheme="majorBidi" w:eastAsia="Times New Roman" w:hAnsiTheme="majorBidi" w:cstheme="majorBidi"/>
          <w:sz w:val="24"/>
          <w:szCs w:val="24"/>
        </w:rPr>
        <w:t xml:space="preserve">-learn: Machine learning in Python. </w:t>
      </w:r>
      <w:r w:rsidRPr="00782721">
        <w:rPr>
          <w:rFonts w:asciiTheme="majorBidi" w:eastAsia="Times New Roman" w:hAnsiTheme="majorBidi" w:cstheme="majorBidi"/>
          <w:i/>
          <w:iCs/>
          <w:sz w:val="24"/>
          <w:szCs w:val="24"/>
        </w:rPr>
        <w:t>Journal of Machine Learning Research, 12</w:t>
      </w:r>
      <w:r w:rsidRPr="00782721">
        <w:rPr>
          <w:rFonts w:asciiTheme="majorBidi" w:eastAsia="Times New Roman" w:hAnsiTheme="majorBidi" w:cstheme="majorBidi"/>
          <w:sz w:val="24"/>
          <w:szCs w:val="24"/>
        </w:rPr>
        <w:t>, 2825–2830.</w:t>
      </w:r>
    </w:p>
    <w:p w:rsidR="00E23146" w:rsidRPr="00782721" w:rsidRDefault="00E23146" w:rsidP="00782721">
      <w:pPr>
        <w:pStyle w:val="ListParagraph"/>
        <w:numPr>
          <w:ilvl w:val="0"/>
          <w:numId w:val="10"/>
        </w:numPr>
        <w:spacing w:before="100" w:beforeAutospacing="1" w:after="100" w:afterAutospacing="1" w:line="360" w:lineRule="auto"/>
        <w:rPr>
          <w:rFonts w:asciiTheme="majorBidi" w:eastAsia="Times New Roman" w:hAnsiTheme="majorBidi" w:cstheme="majorBidi"/>
          <w:sz w:val="24"/>
          <w:szCs w:val="24"/>
        </w:rPr>
      </w:pPr>
      <w:r w:rsidRPr="00782721">
        <w:rPr>
          <w:rFonts w:asciiTheme="majorBidi" w:eastAsia="Times New Roman" w:hAnsiTheme="majorBidi" w:cstheme="majorBidi"/>
          <w:sz w:val="24"/>
          <w:szCs w:val="24"/>
        </w:rPr>
        <w:t xml:space="preserve">Tukey, J. W. (1977). </w:t>
      </w:r>
      <w:r w:rsidRPr="00782721">
        <w:rPr>
          <w:rFonts w:asciiTheme="majorBidi" w:eastAsia="Times New Roman" w:hAnsiTheme="majorBidi" w:cstheme="majorBidi"/>
          <w:i/>
          <w:iCs/>
          <w:sz w:val="24"/>
          <w:szCs w:val="24"/>
        </w:rPr>
        <w:t>Exploratory data analysis</w:t>
      </w:r>
      <w:r w:rsidRPr="00782721">
        <w:rPr>
          <w:rFonts w:asciiTheme="majorBidi" w:eastAsia="Times New Roman" w:hAnsiTheme="majorBidi" w:cstheme="majorBidi"/>
          <w:sz w:val="24"/>
          <w:szCs w:val="24"/>
        </w:rPr>
        <w:t>. Addison-Wesley.</w:t>
      </w:r>
    </w:p>
    <w:p w:rsidR="008B51C1" w:rsidRPr="00782721" w:rsidRDefault="008B51C1" w:rsidP="00782721">
      <w:pPr>
        <w:spacing w:line="360" w:lineRule="auto"/>
        <w:rPr>
          <w:rFonts w:asciiTheme="majorBidi" w:hAnsiTheme="majorBidi" w:cstheme="majorBidi"/>
        </w:rPr>
      </w:pPr>
    </w:p>
    <w:sectPr w:rsidR="008B51C1" w:rsidRPr="0078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05A7"/>
    <w:multiLevelType w:val="multilevel"/>
    <w:tmpl w:val="20F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668F"/>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951D9"/>
    <w:multiLevelType w:val="multilevel"/>
    <w:tmpl w:val="6A3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81C96"/>
    <w:multiLevelType w:val="multilevel"/>
    <w:tmpl w:val="B2A8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C05FF"/>
    <w:multiLevelType w:val="multilevel"/>
    <w:tmpl w:val="779A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D2347"/>
    <w:multiLevelType w:val="multilevel"/>
    <w:tmpl w:val="4A28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A7AC2"/>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D3734"/>
    <w:multiLevelType w:val="multilevel"/>
    <w:tmpl w:val="280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E16E6D"/>
    <w:multiLevelType w:val="multilevel"/>
    <w:tmpl w:val="24C2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D737F"/>
    <w:multiLevelType w:val="multilevel"/>
    <w:tmpl w:val="53D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43799"/>
    <w:multiLevelType w:val="multilevel"/>
    <w:tmpl w:val="3E9E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4"/>
  </w:num>
  <w:num w:numId="5">
    <w:abstractNumId w:val="2"/>
  </w:num>
  <w:num w:numId="6">
    <w:abstractNumId w:val="7"/>
  </w:num>
  <w:num w:numId="7">
    <w:abstractNumId w:val="8"/>
  </w:num>
  <w:num w:numId="8">
    <w:abstractNumId w:val="1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46"/>
    <w:rsid w:val="000D1369"/>
    <w:rsid w:val="005E6F1F"/>
    <w:rsid w:val="006F7E6F"/>
    <w:rsid w:val="00782721"/>
    <w:rsid w:val="008203B3"/>
    <w:rsid w:val="008B51C1"/>
    <w:rsid w:val="009B57F8"/>
    <w:rsid w:val="00C05291"/>
    <w:rsid w:val="00E23146"/>
    <w:rsid w:val="00FC5A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5F42"/>
  <w15:chartTrackingRefBased/>
  <w15:docId w15:val="{9D3B5932-68C7-455E-9B22-11163FBD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146"/>
    <w:rPr>
      <w:b/>
      <w:bCs/>
    </w:rPr>
  </w:style>
  <w:style w:type="character" w:styleId="Emphasis">
    <w:name w:val="Emphasis"/>
    <w:basedOn w:val="DefaultParagraphFont"/>
    <w:uiPriority w:val="20"/>
    <w:qFormat/>
    <w:rsid w:val="00E23146"/>
    <w:rPr>
      <w:i/>
      <w:iCs/>
    </w:rPr>
  </w:style>
  <w:style w:type="character" w:styleId="Hyperlink">
    <w:name w:val="Hyperlink"/>
    <w:basedOn w:val="DefaultParagraphFont"/>
    <w:uiPriority w:val="99"/>
    <w:semiHidden/>
    <w:unhideWhenUsed/>
    <w:rsid w:val="00E23146"/>
    <w:rPr>
      <w:color w:val="0000FF"/>
      <w:u w:val="single"/>
    </w:rPr>
  </w:style>
  <w:style w:type="table" w:styleId="TableGrid">
    <w:name w:val="Table Grid"/>
    <w:basedOn w:val="TableNormal"/>
    <w:uiPriority w:val="39"/>
    <w:rsid w:val="00E23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7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859162">
      <w:bodyDiv w:val="1"/>
      <w:marLeft w:val="0"/>
      <w:marRight w:val="0"/>
      <w:marTop w:val="0"/>
      <w:marBottom w:val="0"/>
      <w:divBdr>
        <w:top w:val="none" w:sz="0" w:space="0" w:color="auto"/>
        <w:left w:val="none" w:sz="0" w:space="0" w:color="auto"/>
        <w:bottom w:val="none" w:sz="0" w:space="0" w:color="auto"/>
        <w:right w:val="none" w:sz="0" w:space="0" w:color="auto"/>
      </w:divBdr>
    </w:div>
    <w:div w:id="841431041">
      <w:bodyDiv w:val="1"/>
      <w:marLeft w:val="0"/>
      <w:marRight w:val="0"/>
      <w:marTop w:val="0"/>
      <w:marBottom w:val="0"/>
      <w:divBdr>
        <w:top w:val="none" w:sz="0" w:space="0" w:color="auto"/>
        <w:left w:val="none" w:sz="0" w:space="0" w:color="auto"/>
        <w:bottom w:val="none" w:sz="0" w:space="0" w:color="auto"/>
        <w:right w:val="none" w:sz="0" w:space="0" w:color="auto"/>
      </w:divBdr>
    </w:div>
    <w:div w:id="186686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2025-06-05T16:58:00Z</dcterms:created>
  <dcterms:modified xsi:type="dcterms:W3CDTF">2025-06-05T21:07:00Z</dcterms:modified>
</cp:coreProperties>
</file>