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0D1B3D"/>
          <w:sz w:val="64"/>
          <w:szCs w:val="64"/>
        </w:rPr>
        <w:t xml:space="preserve">OPT</w:t>
      </w:r>
    </w:p>
    <w:p>
      <w:pPr>
        <w:spacing w:after="100" w:before="200"/>
        <w:jc w:val="center"/>
      </w:pPr>
      <w:r>
        <w:rPr>
          <w:b/>
          <w:bCs/>
          <w:color w:val="2563EB"/>
          <w:sz w:val="34"/>
          <w:szCs w:val="34"/>
        </w:rPr>
        <w:t xml:space="preserve">Propuesta de Arquitectura y Tecnología para la Migración</w:t>
      </w:r>
    </w:p>
    <w:p>
      <w:pPr>
        <w:spacing w:after="800"/>
        <w:jc w:val="center"/>
      </w:pPr>
      <w:r>
        <w:rPr>
          <w:i/>
          <w:iCs/>
          <w:color w:val="444444"/>
          <w:sz w:val="24"/>
          <w:szCs w:val="24"/>
        </w:rPr>
        <w:t xml:space="preserve">Análisis del sistema legado y recomendaciones para el nuevo desarrollo</w:t>
      </w:r>
    </w:p>
    <w:p>
      <w:pPr>
        <w:spacing w:after="1200"/>
      </w:pPr>
    </w:p>
    <w:p>
      <w:pPr>
        <w:spacing w:after="80"/>
        <w:jc w:val="center"/>
      </w:pPr>
      <w:r>
        <w:rPr>
          <w:sz w:val="21"/>
          <w:szCs w:val="21"/>
        </w:rPr>
        <w:t xml:space="preserve">Sistema de gestión de ópticas — OPT</w:t>
      </w:r>
    </w:p>
    <w:p>
      <w:pPr>
        <w:spacing w:after="80"/>
        <w:jc w:val="center"/>
      </w:pPr>
      <w:r>
        <w:rPr>
          <w:sz w:val="21"/>
          <w:szCs w:val="21"/>
        </w:rPr>
        <w:t xml:space="preserve">Base de datos legada de referencia: db_a25cfd_opt2 (SQL Server, entorno local)</w:t>
      </w:r>
    </w:p>
    <w:p>
      <w:pPr>
        <w:spacing w:after="80"/>
        <w:jc w:val="center"/>
      </w:pPr>
      <w:r>
        <w:rPr>
          <w:sz w:val="21"/>
          <w:szCs w:val="21"/>
        </w:rPr>
        <w:t xml:space="preserve">Documento de trabajo — sin generación de código</w:t>
      </w:r>
    </w:p>
    <w:p>
      <w:pPr>
        <w:spacing w:after="80"/>
        <w:jc w:val="center"/>
      </w:pPr>
      <w:r>
        <w:rPr>
          <w:sz w:val="21"/>
          <w:szCs w:val="21"/>
        </w:rPr>
        <w:t xml:space="preserve">Agosto 2026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1. Resumen ejecutivo</w:t>
      </w:r>
    </w:p>
    <w:p>
      <w:pPr>
        <w:spacing w:after="160" w:line="276"/>
      </w:pPr>
      <w:r>
        <w:rPr>
          <w:sz w:val="21"/>
          <w:szCs w:val="21"/>
        </w:rPr>
        <w:t xml:space="preserve">Este documento presenta el análisis del sistema legado OPT (carpeta old/) y una propuesta inicial de arquitectura de trabajo, stack tecnológico y mejoras de base de datos para el nuevo desarrollo. El análisis fue realizado exclusivamente sobre el código fuente y los scripts de base de datos existentes; no se modificó ningún archivo del sistema legado.</w:t>
      </w:r>
    </w:p>
    <w:p>
      <w:pPr>
        <w:spacing w:after="160" w:line="276"/>
      </w:pPr>
      <w:r>
        <w:rPr>
          <w:sz w:val="21"/>
          <w:szCs w:val="21"/>
        </w:rPr>
        <w:t xml:space="preserve">OPT es una aplicación de gestión de ópticas construida en ASP.NET MVC 5 sobre .NET Framework 4.8, con Entity Framework 6 (Database First), jQuery/Bootstrap en el frontend y SQL Server como motor de base de datos. Es una aplicación monolítica, de sesión en servidor, sin separación entre lógica de negocio y capa de presentación, y sin mecanismos modernos de seguridad (contraseñas en texto plano, credenciales de servicios externos sin cifrar).</w:t>
      </w:r>
    </w:p>
    <w:p>
      <w:pPr>
        <w:spacing w:after="160" w:line="276"/>
      </w:pPr>
      <w:r>
        <w:rPr>
          <w:b/>
          <w:bCs/>
          <w:sz w:val="21"/>
          <w:szCs w:val="21"/>
        </w:rPr>
        <w:t xml:space="preserve">Recomendación central: </w:t>
      </w:r>
      <w:r>
        <w:rPr>
          <w:sz w:val="21"/>
          <w:szCs w:val="21"/>
        </w:rPr>
        <w:t xml:space="preserve">migrar el backend a .NET (Core/8+) expuesto como API REST, y evaluar entre Angular y Blazor para el frontend. Ambas opciones son viables técnicamente; la recomendación de este documento se inclina por </w:t>
      </w:r>
    </w:p>
    <w:p>
      <w:pPr>
        <w:spacing w:after="160" w:line="276"/>
      </w:pPr>
      <w:r>
        <w:rPr>
          <w:sz w:val="21"/>
          <w:szCs w:val="21"/>
        </w:rPr>
        <w:t xml:space="preserve">Angular, aunque se documentan ambas alternativas con sus ventajas y riesgos para que el equipo decida con criterio informado (sección 6.2).</w:t>
      </w:r>
    </w:p>
    <w:p>
      <w:pPr>
        <w:spacing w:after="160" w:line="276"/>
      </w:pPr>
      <w:r>
        <w:rPr>
          <w:sz w:val="21"/>
          <w:szCs w:val="21"/>
        </w:rPr>
        <w:t xml:space="preserve">En paralelo, se identificaron riesgos relevantes en la base de datos legada — claves primarias sobre datos de negocio (RUT), ausencia de auditoría y borrado lógico, credenciales en texto plano, campos calculados denominados sin control de consistencia y tablas temporales dejadas en el esquema de producción — que se detallan y se abordan con una propuesta de mejora en la sección 7.</w:t>
      </w:r>
    </w:p>
    <w:p>
      <w:pPr>
        <w:pStyle w:val="Heading1"/>
        <w:spacing w:after="200" w:before="400"/>
      </w:pPr>
      <w:r>
        <w:t xml:space="preserve">2. Alcance y metodología del análisis</w:t>
      </w:r>
    </w:p>
    <w:p>
      <w:pPr>
        <w:spacing w:after="160" w:line="276"/>
      </w:pPr>
      <w:r>
        <w:rPr>
          <w:sz w:val="21"/>
          <w:szCs w:val="21"/>
        </w:rPr>
        <w:t xml:space="preserve">El análisis cubrió los siguientes artefactos, todos dentro de old/:</w:t>
      </w:r>
    </w:p>
    <w:p>
      <w:pPr>
        <w:pStyle w:val="ListParagraph"/>
        <w:numPr>
          <w:ilvl w:val="0"/>
          <w:numId w:val="2"/>
        </w:numPr>
        <w:spacing w:after="100" w:line="276"/>
      </w:pPr>
      <w:r>
        <w:rPr>
          <w:sz w:val="21"/>
          <w:szCs w:val="21"/>
        </w:rPr>
        <w:t xml:space="preserve">Código fuente .NET en Fuente/OPT.Web (proyecto MVC), Fuente/OPT.Dato (capa de acceso a datos) y Fuente/OPT.Entidad (entidades y DTOs).</w:t>
      </w:r>
    </w:p>
    <w:p>
      <w:pPr>
        <w:pStyle w:val="ListParagraph"/>
        <w:numPr>
          <w:ilvl w:val="0"/>
          <w:numId w:val="2"/>
        </w:numPr>
        <w:spacing w:after="100" w:line="276"/>
      </w:pPr>
      <w:r>
        <w:rPr>
          <w:sz w:val="21"/>
          <w:szCs w:val="21"/>
        </w:rPr>
        <w:t xml:space="preserve">Configuración de la aplicación (Web.config, packages.config, csproj) para identificar versiones de framework y dependencias.</w:t>
      </w:r>
    </w:p>
    <w:p>
      <w:pPr>
        <w:pStyle w:val="ListParagraph"/>
        <w:numPr>
          <w:ilvl w:val="0"/>
          <w:numId w:val="2"/>
        </w:numPr>
        <w:spacing w:after="100" w:line="276"/>
      </w:pPr>
      <w:r>
        <w:rPr>
          <w:sz w:val="21"/>
          <w:szCs w:val="21"/>
        </w:rPr>
        <w:t xml:space="preserve">Scripts de base de datos BD/Create_Table.sql y BD/Create_Procedure.sql, que definen el esquema completo (tablas, claves, restricciones y procedimientos almacenados) de la base db_a25cfd_opt2.</w:t>
      </w:r>
    </w:p>
    <w:p>
      <w:pPr>
        <w:pStyle w:val="ListParagraph"/>
        <w:numPr>
          <w:ilvl w:val="0"/>
          <w:numId w:val="2"/>
        </w:numPr>
        <w:spacing w:after="100" w:line="276"/>
      </w:pPr>
      <w:r>
        <w:rPr>
          <w:sz w:val="21"/>
          <w:szCs w:val="21"/>
        </w:rPr>
        <w:t xml:space="preserve">Una muestra representativa de controladores y clases de acceso a datos (login, órdenes de trabajo, atributos de autorización) para caracterizar los patrones de codificación y los riesgos de seguridad.</w:t>
      </w:r>
    </w:p>
    <w:p>
      <w:pPr>
        <w:spacing w:after="160" w:line="276"/>
      </w:pPr>
      <w:r>
        <w:rPr>
          <w:sz w:val="21"/>
          <w:szCs w:val="21"/>
        </w:rPr>
        <w:t xml:space="preserve">No se ejecutó la aplicación ni se conectó a ninguna base de datos; el análisis es estático, basado en lectura de código y scripts. No se realizó ningún cambio sobre old/, conforme a lo solicitado.</w:t>
      </w:r>
    </w:p>
    <w:p>
      <w:pPr>
        <w:pStyle w:val="Heading1"/>
        <w:spacing w:after="200" w:before="400"/>
      </w:pPr>
      <w:r>
        <w:t xml:space="preserve">3. Análisis del sistema legado</w:t>
      </w:r>
    </w:p>
    <w:p>
      <w:pPr>
        <w:pStyle w:val="Heading2"/>
        <w:spacing w:after="150" w:before="300"/>
      </w:pPr>
      <w:r>
        <w:t xml:space="preserve">3.1 Arquitectura actual</w:t>
      </w:r>
    </w:p>
    <w:p>
      <w:pPr>
        <w:spacing w:after="160" w:line="276"/>
      </w:pPr>
      <w:r>
        <w:rPr>
          <w:sz w:val="21"/>
          <w:szCs w:val="21"/>
        </w:rPr>
        <w:t xml:space="preserve">La solución Fuente/OPT.sln está compuesta por tres proyectos:</w:t>
      </w:r>
    </w:p>
    <w:p>
      <w:pPr>
        <w:pStyle w:val="ListParagraph"/>
        <w:numPr>
          <w:ilvl w:val="0"/>
          <w:numId w:val="2"/>
        </w:numPr>
        <w:spacing w:after="100" w:line="276"/>
      </w:pPr>
      <w:r>
        <w:rPr>
          <w:sz w:val="21"/>
          <w:szCs w:val="21"/>
        </w:rPr>
        <w:t xml:space="preserve">OPT.Web — aplicación ASP.NET MVC 5 (.NET Framework 4.7/4.8), organizada en Areas de Visual Studio: Administrar, Anamnesis, Clientes, Empresas, Flujo, Imprimir, OrdenTrabajo, Productos y Reportes, además de controladores raíz (Home, Login, Util).</w:t>
      </w:r>
    </w:p>
    <w:p>
      <w:pPr>
        <w:pStyle w:val="ListParagraph"/>
        <w:numPr>
          <w:ilvl w:val="0"/>
          <w:numId w:val="2"/>
        </w:numPr>
        <w:spacing w:after="100" w:line="276"/>
      </w:pPr>
      <w:r>
        <w:rPr>
          <w:sz w:val="21"/>
          <w:szCs w:val="21"/>
        </w:rPr>
        <w:t xml:space="preserve">OPT.Dato — capa de acceso a datos: un modelo Entity Framework 6 Database First (ModelOptica.edmx) y un conjunto de clases *DAL (una por entidad, p. ej. OPT_UsuarioDAL, OPT_OrdenDeTrabajoDAL) que envuelven consultas LINQ to Entities.</w:t>
      </w:r>
    </w:p>
    <w:p>
      <w:pPr>
        <w:pStyle w:val="ListParagraph"/>
        <w:numPr>
          <w:ilvl w:val="0"/>
          <w:numId w:val="2"/>
        </w:numPr>
        <w:spacing w:after="100" w:line="276"/>
      </w:pPr>
      <w:r>
        <w:rPr>
          <w:sz w:val="21"/>
          <w:szCs w:val="21"/>
        </w:rPr>
        <w:t xml:space="preserve">OPT.Entidad — clases POCO generadas desde el EDMX más DTOs de request/response definidos a mano por módulo.</w:t>
      </w:r>
    </w:p>
    <w:p>
      <w:pPr>
        <w:spacing w:after="160" w:line="276"/>
      </w:pPr>
      <w:r>
        <w:rPr>
          <w:sz w:val="21"/>
          <w:szCs w:val="21"/>
        </w:rPr>
        <w:t xml:space="preserve">Cada Area replica el mismo patrón: Controllers delgados en apariencia pero con lógica de negocio embebida (cálculos, validaciones, orquestación de varias DAL), Models con DTOs de entrada/salida específicos por acción, vistas Razor (.cshtml) con parciales para modales, y JavaScript por módulo que maneja el DOM directamente con jQuery. La generación de reportes usa Microsoft ReportViewer (.rdlc) renderizado del lado servidor, y varias Areas incluyen DataSets tipados (.xsd/.xsc) como artefacto adicional de esa tecnología de reportes.</w:t>
      </w:r>
    </w:p>
    <w:p>
      <w:pPr>
        <w:spacing w:after="160" w:line="276"/>
      </w:pPr>
      <w:r>
        <w:rPr>
          <w:sz w:val="21"/>
          <w:szCs w:val="21"/>
        </w:rPr>
        <w:t xml:space="preserve">El frontend depende de jQuery 3.3.1, Bootstrap (con bootstrap-datepicker), DataTables, Chosen (selects mejorados), SweetAlert para diálogos, PagedList para paginación server-side y Morris para gráficos. Toda la interacción es de tipo servidor-vista con actualizaciones parciales vía AJAX y HTML devuelto desde el servidor (PartialViewResult), no una API de datos consumida por un cliente independiente.</w:t>
      </w:r>
    </w:p>
    <w:p>
      <w:pPr>
        <w:pStyle w:val="Heading2"/>
        <w:spacing w:after="150" w:before="300"/>
      </w:pPr>
      <w:r>
        <w:t xml:space="preserve">3.2 Patrones y calidad de código observados</w:t>
      </w:r>
    </w:p>
    <w:p>
      <w:pPr>
        <w:pStyle w:val="ListParagraph"/>
        <w:numPr>
          <w:ilvl w:val="0"/>
          <w:numId w:val="2"/>
        </w:numPr>
        <w:spacing w:after="100" w:line="276"/>
      </w:pPr>
      <w:r>
        <w:rPr>
          <w:sz w:val="21"/>
          <w:szCs w:val="21"/>
        </w:rPr>
        <w:t xml:space="preserve">Controladores con lógica de negocio: los controladores instancian directamente varias clases DAL, arman los DTO de respuesta y ejecutan cálculos de negocio (p. ej. armado del detalle de una Orden de Trabajo en IngresoController), sin una capa de aplicación o de servicios intermedia.</w:t>
      </w:r>
    </w:p>
    <w:p>
      <w:pPr>
        <w:pStyle w:val="ListParagraph"/>
        <w:numPr>
          <w:ilvl w:val="0"/>
          <w:numId w:val="2"/>
        </w:numPr>
        <w:spacing w:after="100" w:line="276"/>
      </w:pPr>
      <w:r>
        <w:rPr>
          <w:sz w:val="21"/>
          <w:szCs w:val="21"/>
        </w:rPr>
        <w:t xml:space="preserve">Manejo de errores por captura y relanzamiento (catch (Exception ex) { ...; throw ex; }), lo que descarta el stack trace original y complica el diagnóstico en producción; no existe un middleware central de manejo de excepciones.</w:t>
      </w:r>
    </w:p>
    <w:p>
      <w:pPr>
        <w:pStyle w:val="ListParagraph"/>
        <w:numPr>
          <w:ilvl w:val="0"/>
          <w:numId w:val="2"/>
        </w:numPr>
        <w:spacing w:after="100" w:line="276"/>
      </w:pPr>
      <w:r>
        <w:rPr>
          <w:sz w:val="21"/>
          <w:szCs w:val="21"/>
        </w:rPr>
        <w:t xml:space="preserve">Autenticación por FormsAuthentication + Session de ASP.NET (sessionState mode="InProc"), lo que ata la sesión a un único proceso de servidor: no permite balanceo de carga horizontal sin sesiones pegajosas (sticky sessions) ni escalamiento sin estado.</w:t>
      </w:r>
    </w:p>
    <w:p>
      <w:pPr>
        <w:pStyle w:val="ListParagraph"/>
        <w:numPr>
          <w:ilvl w:val="0"/>
          <w:numId w:val="2"/>
        </w:numPr>
        <w:spacing w:after="100" w:line="276"/>
      </w:pPr>
      <w:r>
        <w:rPr>
          <w:sz w:val="21"/>
          <w:szCs w:val="21"/>
        </w:rPr>
        <w:t xml:space="preserve">Acceso a datos vía Entity Framework 6 Database First: el modelo se genera desde la base de datos existente, lo que acopla fuertemente el código a la forma actual del esquema y dificulta versionar cambios de forma controlada (no hay Migrations).</w:t>
      </w:r>
    </w:p>
    <w:p>
      <w:pPr>
        <w:pStyle w:val="ListParagraph"/>
        <w:numPr>
          <w:ilvl w:val="0"/>
          <w:numId w:val="2"/>
        </w:numPr>
        <w:spacing w:after="100" w:line="276"/>
      </w:pPr>
      <w:r>
        <w:rPr>
          <w:sz w:val="21"/>
          <w:szCs w:val="21"/>
        </w:rPr>
        <w:t xml:space="preserve">Ausencia de pruebas automatizadas: no se identificó ningún proyecto de test unitario o de integración en la solución.</w:t>
      </w:r>
    </w:p>
    <w:p>
      <w:pPr>
        <w:pStyle w:val="ListParagraph"/>
        <w:numPr>
          <w:ilvl w:val="0"/>
          <w:numId w:val="2"/>
        </w:numPr>
        <w:spacing w:after="100" w:line="276"/>
      </w:pPr>
      <w:r>
        <w:rPr>
          <w:sz w:val="21"/>
          <w:szCs w:val="21"/>
        </w:rPr>
        <w:t xml:space="preserve">Duplicación de patrones de UI: cada módulo reimplementa manualmente el patrón de listado + modal crear/editar + validación jQuery, sin componentización ni reutilización estructurada.</w:t>
      </w:r>
    </w:p>
    <w:p>
      <w:pPr>
        <w:pStyle w:val="Heading2"/>
        <w:spacing w:after="150" w:before="300"/>
      </w:pPr>
      <w:r>
        <w:t xml:space="preserve">3.3 Hallazgos de seguridad</w:t>
      </w:r>
    </w:p>
    <w:p>
      <w:pPr>
        <w:pBdr>
          <w:left w:val="single" w:color="B91C1C" w:sz="24" w:space="8"/>
        </w:pBdr>
        <w:shd w:fill="FDEDED" w:val="clear"/>
        <w:spacing w:after="200" w:before="120"/>
      </w:pPr>
      <w:r>
        <w:rPr>
          <w:b/>
          <w:bCs/>
          <w:color w:val="B91C1C"/>
          <w:sz w:val="21"/>
          <w:szCs w:val="21"/>
        </w:rPr>
        <w:t xml:space="preserve">Crítico —  </w:t>
      </w:r>
      <w:r>
        <w:rPr>
          <w:sz w:val="21"/>
          <w:szCs w:val="21"/>
        </w:rPr>
        <w:t xml:space="preserve">las contraseñas de usuario se almacenan y comparan en texto plano. La columna OPT_Usuario.Clave es varchar(15) (sin margen para un hash) y el login ejecuta una comparación directa A.Clave == pClave contra la base de datos. La función "Recuperar contraseña" reenvía la clave original por correo electrónico, lo que confirma que nunca estuvo cifrada ni hasheada.</w:t>
      </w:r>
    </w:p>
    <w:p>
      <w:pPr>
        <w:pBdr>
          <w:left w:val="single" w:color="B91C1C" w:sz="24" w:space="8"/>
        </w:pBdr>
        <w:shd w:fill="FDEDED" w:val="clear"/>
        <w:spacing w:after="200" w:before="120"/>
      </w:pPr>
      <w:r>
        <w:rPr>
          <w:b/>
          <w:bCs/>
          <w:color w:val="B91C1C"/>
          <w:sz w:val="21"/>
          <w:szCs w:val="21"/>
        </w:rPr>
        <w:t xml:space="preserve">Crítico —  </w:t>
      </w:r>
      <w:r>
        <w:rPr>
          <w:sz w:val="21"/>
          <w:szCs w:val="21"/>
        </w:rPr>
        <w:t xml:space="preserve">las credenciales de base de datos y de servicios externos están en texto plano dentro de Web.config, incluido en el repositorio: usuario/clave de SQL Server (sa/123456 en el entorno de ejemplo), clave de la cuenta de correo SMTP y credenciales de la integración con Defontana. La tabla OPT_Defontana además persiste usuario y clave de esa integración sin cifrar en la propia base de datos.</w:t>
      </w:r>
    </w:p>
    <w:p>
      <w:pPr>
        <w:pBdr>
          <w:left w:val="single" w:color="B91C1C" w:sz="24" w:space="8"/>
        </w:pBdr>
        <w:shd w:fill="FDEDED" w:val="clear"/>
        <w:spacing w:after="200" w:before="120"/>
      </w:pPr>
      <w:r>
        <w:rPr>
          <w:b/>
          <w:bCs/>
          <w:color w:val="B91C1C"/>
          <w:sz w:val="21"/>
          <w:szCs w:val="21"/>
        </w:rPr>
        <w:t xml:space="preserve">Alto —  </w:t>
      </w:r>
      <w:r>
        <w:rPr>
          <w:sz w:val="21"/>
          <w:szCs w:val="21"/>
        </w:rPr>
        <w:t xml:space="preserve">el borrado de registros es físico (DELETE) en toda la aplicación (p. ej. OPT_UsuarioDAL.Eliminar), sin posibilidad de auditoría ni recuperación, y sin registro de quién eliminó qué ni cuándo.</w:t>
      </w:r>
    </w:p>
    <w:p>
      <w:pPr>
        <w:pBdr>
          <w:left w:val="single" w:color="B91C1C" w:sz="24" w:space="8"/>
        </w:pBdr>
        <w:shd w:fill="FDEDED" w:val="clear"/>
        <w:spacing w:after="200" w:before="120"/>
      </w:pPr>
      <w:r>
        <w:rPr>
          <w:b/>
          <w:bCs/>
          <w:color w:val="B91C1C"/>
          <w:sz w:val="21"/>
          <w:szCs w:val="21"/>
        </w:rPr>
        <w:t xml:space="preserve">Medio —  </w:t>
      </w:r>
      <w:r>
        <w:rPr>
          <w:sz w:val="21"/>
          <w:szCs w:val="21"/>
        </w:rPr>
        <w:t xml:space="preserve">el atributo de autorización personalizado (AuthorizeUserAttribute) sólo valida la sesión para peticiones no-AJAX; las peticiones AJAX no autenticadas no son rechazadas explícitamente por ese filtro, lo que puede dejar endpoints AJAX menos protegidos que las vistas completas si algún controlador omite el filtro adicional Autenticado.</w:t>
      </w:r>
    </w:p>
    <w:p>
      <w:pPr>
        <w:pBdr>
          <w:left w:val="single" w:color="B91C1C" w:sz="24" w:space="8"/>
        </w:pBdr>
        <w:shd w:fill="FDEDED" w:val="clear"/>
        <w:spacing w:after="200" w:before="120"/>
      </w:pPr>
      <w:r>
        <w:rPr>
          <w:b/>
          <w:bCs/>
          <w:color w:val="B91C1C"/>
          <w:sz w:val="21"/>
          <w:szCs w:val="21"/>
        </w:rPr>
        <w:t xml:space="preserve">Medio —  </w:t>
      </w:r>
      <w:r>
        <w:rPr>
          <w:sz w:val="21"/>
          <w:szCs w:val="21"/>
        </w:rPr>
        <w:t xml:space="preserve">no hay separación de configuración por entorno más allá de Web.Debug.config/Web.Release.config con transformaciones XML, y las cadenas de conexión de ejemplo (producción y desarrollo) conviven comentadas en el mismo archivo, con contraseñas reales expuestas en el control de versiones.</w:t>
      </w:r>
    </w:p>
    <w:p>
      <w:pPr>
        <w:spacing w:after="160" w:line="276"/>
      </w:pPr>
      <w:r>
        <w:rPr>
          <w:sz w:val="21"/>
          <w:szCs w:val="21"/>
        </w:rPr>
        <w:t xml:space="preserve">Estos hallazgos no son una crítica al equipo original — son típicos de aplicaciones de más de ocho años construidas antes de que ciertos estándares (hashing de contraseñas, gestión de secretos, HTTPS estricto, auditoría) fueran práctica exigida — pero son bloqueantes para cualquier despliegue moderno y deben resolverse en el nuevo desarrollo desde el diseño, no como parche posterior.</w:t>
      </w:r>
    </w:p>
    <w:p>
      <w:pPr>
        <w:pStyle w:val="Heading1"/>
        <w:spacing w:after="200" w:before="400"/>
      </w:pPr>
      <w:r>
        <w:t xml:space="preserve">4. Análisis de la base de datos legada</w:t>
      </w:r>
    </w:p>
    <w:p>
      <w:pPr>
        <w:pStyle w:val="Heading2"/>
        <w:spacing w:after="150" w:before="300"/>
      </w:pPr>
      <w:r>
        <w:t xml:space="preserve">4.1 Modelo de datos</w:t>
      </w:r>
    </w:p>
    <w:p>
      <w:pPr>
        <w:spacing w:after="160" w:line="276"/>
      </w:pPr>
      <w:r>
        <w:rPr>
          <w:sz w:val="21"/>
          <w:szCs w:val="21"/>
        </w:rPr>
        <w:t xml:space="preserve">La base db_a25cfd_opt2 (SQL Server) contiene 27 tablas bajo el prefijo OPT_, organizadas en cinco dominios funcionales:</w:t>
      </w:r>
    </w:p>
    <w:p>
      <w:pPr>
        <w:pStyle w:val="ListParagraph"/>
        <w:numPr>
          <w:ilvl w:val="0"/>
          <w:numId w:val="2"/>
        </w:numPr>
        <w:spacing w:after="100" w:line="276"/>
      </w:pPr>
      <w:r>
        <w:rPr>
          <w:sz w:val="21"/>
          <w:szCs w:val="21"/>
        </w:rPr>
        <w:t xml:space="preserve">Identidad y organización: OPT_Usuario, OPT_Rol, OPT_Empresa, OPT_Sucursal, OPT_EmpresaSucursal, OPT_UsuarioSucursal.</w:t>
      </w:r>
    </w:p>
    <w:p>
      <w:pPr>
        <w:pStyle w:val="ListParagraph"/>
        <w:numPr>
          <w:ilvl w:val="0"/>
          <w:numId w:val="2"/>
        </w:numPr>
        <w:spacing w:after="100" w:line="276"/>
      </w:pPr>
      <w:r>
        <w:rPr>
          <w:sz w:val="21"/>
          <w:szCs w:val="21"/>
        </w:rPr>
        <w:t xml:space="preserve">Clientes y atención clínica: OPT_Cliente, OPT_Comuna, OPT_Region, OPT_Anamnesis, OPT_Atencion, OPT_RecetaCristales.</w:t>
      </w:r>
    </w:p>
    <w:p>
      <w:pPr>
        <w:pStyle w:val="ListParagraph"/>
        <w:numPr>
          <w:ilvl w:val="0"/>
          <w:numId w:val="2"/>
        </w:numPr>
        <w:spacing w:after="100" w:line="276"/>
      </w:pPr>
      <w:r>
        <w:rPr>
          <w:sz w:val="21"/>
          <w:szCs w:val="21"/>
        </w:rPr>
        <w:t xml:space="preserve">Orden de trabajo (núcleo comercial): OPT_OrdenDeTrabajo, OPT_OrdenDeTrabajoDetalle, OPT_Abono, OPT_Pago, OPT_Cuota, OPT_CuotaTEMP, OPT_BitacoraOT, OPT_EstadoOT, OPT_FormaPago, OPT_PaqueteCristales, OPT_PaqueteCristalesDetalle.</w:t>
      </w:r>
    </w:p>
    <w:p>
      <w:pPr>
        <w:pStyle w:val="ListParagraph"/>
        <w:numPr>
          <w:ilvl w:val="0"/>
          <w:numId w:val="2"/>
        </w:numPr>
        <w:spacing w:after="100" w:line="276"/>
      </w:pPr>
      <w:r>
        <w:rPr>
          <w:sz w:val="21"/>
          <w:szCs w:val="21"/>
        </w:rPr>
        <w:t xml:space="preserve">Inventario: OPT_Producto, OPT_ProductoTemp, OPT_ProductoSucursal, OPT_ProductoDocumento, OPT_ProductoIngresoEgreso, OPT_TipoDocumento, OPT_RegularizaProducto, OPT_NotaTraslado, OPT_NotaTrasladoDetalle.</w:t>
      </w:r>
    </w:p>
    <w:p>
      <w:pPr>
        <w:pStyle w:val="ListParagraph"/>
        <w:numPr>
          <w:ilvl w:val="0"/>
          <w:numId w:val="2"/>
        </w:numPr>
        <w:spacing w:after="100" w:line="276"/>
      </w:pPr>
      <w:r>
        <w:rPr>
          <w:sz w:val="21"/>
          <w:szCs w:val="21"/>
        </w:rPr>
        <w:t xml:space="preserve">Integraciones: OPT_Defontana (credenciales de la integración contable).</w:t>
      </w:r>
    </w:p>
    <w:p>
      <w:pPr>
        <w:spacing w:after="160" w:line="276"/>
      </w:pPr>
      <w:r>
        <w:rPr>
          <w:sz w:val="21"/>
          <w:szCs w:val="21"/>
        </w:rPr>
        <w:t xml:space="preserve">El esquema usa bigint IDENTITY como clave primaria en la mayoría de las tablas transaccionales, e int IDENTITY en catálogos. Las relaciones están declaradas con FOREIGN KEY explícitas (verificadas: 30 restricciones de clave foránea en el script), aunque varias no tienen nombre propio (generadas automáticamente por SQL Server, p. ej. FK__OPT_Cuota__Estad__778AC167), señal de cambios de esquema hechos directamente en el motor sin disciplina de scripting versionado.</w:t>
      </w:r>
    </w:p>
    <w:p>
      <w:pPr>
        <w:spacing w:after="160" w:line="276"/>
      </w:pPr>
      <w:r>
        <w:rPr>
          <w:sz w:val="21"/>
          <w:szCs w:val="21"/>
        </w:rPr>
        <w:t xml:space="preserve">Se identificaron 18 procedimientos almacenados, la mayoría de tipo reporte (rpt_ClienteLista, rpt_ConsolidadoAnual, rpt_OrdenTrabajoHistorial, rptVentaDiaria, etc.) más un pequeño grupo de lógica de negocio embebida en base de datos: SP_OTActualizaStock y SP_OTEliminar, que indican que parte de las reglas de negocio de inventario y anulación de órdenes vive en la base de datos y no en la aplicación.</w:t>
      </w:r>
    </w:p>
    <w:p>
      <w:pPr>
        <w:pStyle w:val="Heading2"/>
        <w:spacing w:after="150" w:before="300"/>
      </w:pPr>
      <w:r>
        <w:t xml:space="preserve">4.2 Hallazgos y riesgos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00"/>
        <w:gridCol w:w="3800"/>
        <w:gridCol w:w="2900"/>
      </w:tblGrid>
      <w:tr>
        <w:trPr>
          <w:tblHeader/>
        </w:trPr>
        <w:tc>
          <w:tcPr>
            <w:tcW w:type="dxa" w:w="3300"/>
            <w:shd w:fill="0D1B3D" w:val="clear"/>
            <w:tcMar>
              <w:top w:type="dxa" w:w="80"/>
              <w:left w:type="dxa" w:w="100"/>
              <w:bottom w:type="dxa" w:w="80"/>
              <w:right w:type="dxa" w:w="100"/>
            </w:tcMar>
          </w:tcPr>
          <w:p>
            <w:pPr>
              <w:jc w:val="left"/>
            </w:pPr>
            <w:r>
              <w:rPr>
                <w:b/>
                <w:bCs/>
                <w:color w:val="FFFFFF"/>
                <w:sz w:val="19"/>
                <w:szCs w:val="19"/>
              </w:rPr>
              <w:t xml:space="preserve">Hallazgo</w:t>
            </w:r>
          </w:p>
        </w:tc>
        <w:tc>
          <w:tcPr>
            <w:tcW w:type="dxa" w:w="3800"/>
            <w:shd w:fill="0D1B3D" w:val="clear"/>
            <w:tcMar>
              <w:top w:type="dxa" w:w="80"/>
              <w:left w:type="dxa" w:w="100"/>
              <w:bottom w:type="dxa" w:w="80"/>
              <w:right w:type="dxa" w:w="100"/>
            </w:tcMar>
          </w:tcPr>
          <w:p>
            <w:pPr>
              <w:jc w:val="left"/>
            </w:pPr>
            <w:r>
              <w:rPr>
                <w:b/>
                <w:bCs/>
                <w:color w:val="FFFFFF"/>
                <w:sz w:val="19"/>
                <w:szCs w:val="19"/>
              </w:rPr>
              <w:t xml:space="preserve">Detalle</w:t>
            </w:r>
          </w:p>
        </w:tc>
        <w:tc>
          <w:tcPr>
            <w:tcW w:type="dxa" w:w="2900"/>
            <w:shd w:fill="0D1B3D" w:val="clear"/>
            <w:tcMar>
              <w:top w:type="dxa" w:w="80"/>
              <w:left w:type="dxa" w:w="100"/>
              <w:bottom w:type="dxa" w:w="80"/>
              <w:right w:type="dxa" w:w="100"/>
            </w:tcMar>
          </w:tcPr>
          <w:p>
            <w:pPr>
              <w:jc w:val="left"/>
            </w:pPr>
            <w:r>
              <w:rPr>
                <w:b/>
                <w:bCs/>
                <w:color w:val="FFFFFF"/>
                <w:sz w:val="19"/>
                <w:szCs w:val="19"/>
              </w:rPr>
              <w:t xml:space="preserve">Riesgo</w:t>
            </w:r>
          </w:p>
        </w:tc>
      </w:tr>
      <w:tr>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Claves primarias sobre datos de negocio</w:t>
            </w:r>
          </w:p>
        </w:tc>
        <w:tc>
          <w:tcPr>
            <w:tcW w:type="dxa" w:w="3800"/>
            <w:shd w:fill="FFFFFF" w:val="clear"/>
            <w:tcMar>
              <w:top w:type="dxa" w:w="80"/>
              <w:left w:type="dxa" w:w="100"/>
              <w:bottom w:type="dxa" w:w="80"/>
              <w:right w:type="dxa" w:w="100"/>
            </w:tcMar>
          </w:tcPr>
          <w:p>
            <w:pPr>
              <w:jc w:val="left"/>
            </w:pPr>
            <w:r>
              <w:rPr>
                <w:b w:val="false"/>
                <w:bCs w:val="false"/>
                <w:color w:val="000000"/>
                <w:sz w:val="19"/>
                <w:szCs w:val="19"/>
              </w:rPr>
              <w:t xml:space="preserve">OPT_Cliente y OPT_Usuario usan RutCliente / RutUsuario (varchar) como PK, propagado como FK en más de 10 tablas dependientes.</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Un RUT corregido o un tipo de documento distinto (extranjero, pasaporte) rompe la identidad del registro; no hay forma de corregir un dato mal ingresado sin actualizar en cascada.</w:t>
            </w:r>
          </w:p>
        </w:tc>
      </w:tr>
      <w:tr>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Generación de ID fuera de la base</w:t>
            </w:r>
          </w:p>
        </w:tc>
        <w:tc>
          <w:tcPr>
            <w:tcW w:type="dxa" w:w="3800"/>
            <w:shd w:fill="F3F6FA" w:val="clear"/>
            <w:tcMar>
              <w:top w:type="dxa" w:w="80"/>
              <w:left w:type="dxa" w:w="100"/>
              <w:bottom w:type="dxa" w:w="80"/>
              <w:right w:type="dxa" w:w="100"/>
            </w:tcMar>
          </w:tcPr>
          <w:p>
            <w:pPr>
              <w:jc w:val="left"/>
            </w:pPr>
            <w:r>
              <w:rPr>
                <w:b w:val="false"/>
                <w:bCs w:val="false"/>
                <w:color w:val="000000"/>
                <w:sz w:val="19"/>
                <w:szCs w:val="19"/>
              </w:rPr>
              <w:t xml:space="preserve">OPT_OrdenDeTrabajo.idOT es bigint NOT NULL pero no es IDENTITY: el número de OT se genera en la aplicación.</w:t>
            </w:r>
          </w:p>
        </w:tc>
        <w:tc>
          <w:tcPr>
            <w:tcW w:type="dxa" w:w="2900"/>
            <w:shd w:fill="F3F6FA" w:val="clear"/>
            <w:tcMar>
              <w:top w:type="dxa" w:w="80"/>
              <w:left w:type="dxa" w:w="100"/>
              <w:bottom w:type="dxa" w:w="80"/>
              <w:right w:type="dxa" w:w="100"/>
            </w:tcMar>
          </w:tcPr>
          <w:p>
            <w:pPr>
              <w:jc w:val="left"/>
            </w:pPr>
            <w:r>
              <w:rPr>
                <w:b w:val="false"/>
                <w:bCs w:val="false"/>
                <w:color w:val="000000"/>
                <w:sz w:val="19"/>
                <w:szCs w:val="19"/>
              </w:rPr>
              <w:t xml:space="preserve">Riesgo de colisión o de saltos bajo concurrencia si dos procesos calculan el siguiente número en paralelo.</w:t>
            </w:r>
          </w:p>
        </w:tc>
      </w:tr>
      <w:tr>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Credenciales en texto plano</w:t>
            </w:r>
          </w:p>
        </w:tc>
        <w:tc>
          <w:tcPr>
            <w:tcW w:type="dxa" w:w="3800"/>
            <w:shd w:fill="FFFFFF" w:val="clear"/>
            <w:tcMar>
              <w:top w:type="dxa" w:w="80"/>
              <w:left w:type="dxa" w:w="100"/>
              <w:bottom w:type="dxa" w:w="80"/>
              <w:right w:type="dxa" w:w="100"/>
            </w:tcMar>
          </w:tcPr>
          <w:p>
            <w:pPr>
              <w:jc w:val="left"/>
            </w:pPr>
            <w:r>
              <w:rPr>
                <w:b w:val="false"/>
                <w:bCs w:val="false"/>
                <w:color w:val="000000"/>
                <w:sz w:val="19"/>
                <w:szCs w:val="19"/>
              </w:rPr>
              <w:t xml:space="preserve">OPT_Usuario.Clave (máx. 15 caracteres) y OPT_Defontana.Clave sin cifrar.</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Cualquier acceso de lectura a la base (backup, exportación, fuga) expone credenciales de usuarios y de la integración contable.</w:t>
            </w:r>
          </w:p>
        </w:tc>
      </w:tr>
      <w:tr>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Sin auditoría</w:t>
            </w:r>
          </w:p>
        </w:tc>
        <w:tc>
          <w:tcPr>
            <w:tcW w:type="dxa" w:w="3800"/>
            <w:shd w:fill="F3F6FA" w:val="clear"/>
            <w:tcMar>
              <w:top w:type="dxa" w:w="80"/>
              <w:left w:type="dxa" w:w="100"/>
              <w:bottom w:type="dxa" w:w="80"/>
              <w:right w:type="dxa" w:w="100"/>
            </w:tcMar>
          </w:tcPr>
          <w:p>
            <w:pPr>
              <w:jc w:val="left"/>
            </w:pPr>
            <w:r>
              <w:rPr>
                <w:b w:val="false"/>
                <w:bCs w:val="false"/>
                <w:color w:val="000000"/>
                <w:sz w:val="19"/>
                <w:szCs w:val="19"/>
              </w:rPr>
              <w:t xml:space="preserve">Ninguna tabla tiene CreatedAt/UpdatedAt/CreatedBy/UpdatedBy.</w:t>
            </w:r>
          </w:p>
        </w:tc>
        <w:tc>
          <w:tcPr>
            <w:tcW w:type="dxa" w:w="2900"/>
            <w:shd w:fill="F3F6FA" w:val="clear"/>
            <w:tcMar>
              <w:top w:type="dxa" w:w="80"/>
              <w:left w:type="dxa" w:w="100"/>
              <w:bottom w:type="dxa" w:w="80"/>
              <w:right w:type="dxa" w:w="100"/>
            </w:tcMar>
          </w:tcPr>
          <w:p>
            <w:pPr>
              <w:jc w:val="left"/>
            </w:pPr>
            <w:r>
              <w:rPr>
                <w:b w:val="false"/>
                <w:bCs w:val="false"/>
                <w:color w:val="000000"/>
                <w:sz w:val="19"/>
                <w:szCs w:val="19"/>
              </w:rPr>
              <w:t xml:space="preserve">Imposible reconstruir quién hizo un cambio y cuándo, requisito habitual en sistemas clínicos/comerciales.</w:t>
            </w:r>
          </w:p>
        </w:tc>
      </w:tr>
      <w:tr>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Sin borrado lógico</w:t>
            </w:r>
          </w:p>
        </w:tc>
        <w:tc>
          <w:tcPr>
            <w:tcW w:type="dxa" w:w="3800"/>
            <w:shd w:fill="FFFFFF" w:val="clear"/>
            <w:tcMar>
              <w:top w:type="dxa" w:w="80"/>
              <w:left w:type="dxa" w:w="100"/>
              <w:bottom w:type="dxa" w:w="80"/>
              <w:right w:type="dxa" w:w="100"/>
            </w:tcMar>
          </w:tcPr>
          <w:p>
            <w:pPr>
              <w:jc w:val="left"/>
            </w:pPr>
            <w:r>
              <w:rPr>
                <w:b w:val="false"/>
                <w:bCs w:val="false"/>
                <w:color w:val="000000"/>
                <w:sz w:val="19"/>
                <w:szCs w:val="19"/>
              </w:rPr>
              <w:t xml:space="preserve">No existe columna de tipo IsDeleted/Activo en las tablas revisadas; el código elimina físicamente.</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Pérdida irreversible de datos históricos (clientes, productos, usuarios).</w:t>
            </w:r>
          </w:p>
        </w:tc>
      </w:tr>
      <w:tr>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Campos calculados persistidos sin control</w:t>
            </w:r>
          </w:p>
        </w:tc>
        <w:tc>
          <w:tcPr>
            <w:tcW w:type="dxa" w:w="3800"/>
            <w:shd w:fill="F3F6FA" w:val="clear"/>
            <w:tcMar>
              <w:top w:type="dxa" w:w="80"/>
              <w:left w:type="dxa" w:w="100"/>
              <w:bottom w:type="dxa" w:w="80"/>
              <w:right w:type="dxa" w:w="100"/>
            </w:tcMar>
          </w:tcPr>
          <w:p>
            <w:pPr>
              <w:jc w:val="left"/>
            </w:pPr>
            <w:r>
              <w:rPr>
                <w:b w:val="false"/>
                <w:bCs w:val="false"/>
                <w:color w:val="000000"/>
                <w:sz w:val="19"/>
                <w:szCs w:val="19"/>
              </w:rPr>
              <w:t xml:space="preserve">OPT_OrdenDeTrabajo almacena Precio, Abono y Saldo como columnas independientes (Saldo = Precio - Abono).</w:t>
            </w:r>
          </w:p>
        </w:tc>
        <w:tc>
          <w:tcPr>
            <w:tcW w:type="dxa" w:w="2900"/>
            <w:shd w:fill="F3F6FA" w:val="clear"/>
            <w:tcMar>
              <w:top w:type="dxa" w:w="80"/>
              <w:left w:type="dxa" w:w="100"/>
              <w:bottom w:type="dxa" w:w="80"/>
              <w:right w:type="dxa" w:w="100"/>
            </w:tcMar>
          </w:tcPr>
          <w:p>
            <w:pPr>
              <w:jc w:val="left"/>
            </w:pPr>
            <w:r>
              <w:rPr>
                <w:b w:val="false"/>
                <w:bCs w:val="false"/>
                <w:color w:val="000000"/>
                <w:sz w:val="19"/>
                <w:szCs w:val="19"/>
              </w:rPr>
              <w:t xml:space="preserve">Riesgo de inconsistencia si un abono se registra sin recalcular el saldo, o si dos procesos actualizan en paralelo.</w:t>
            </w:r>
          </w:p>
        </w:tc>
      </w:tr>
      <w:tr>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Denormalización de catálogos</w:t>
            </w:r>
          </w:p>
        </w:tc>
        <w:tc>
          <w:tcPr>
            <w:tcW w:type="dxa" w:w="3800"/>
            <w:shd w:fill="FFFFFF" w:val="clear"/>
            <w:tcMar>
              <w:top w:type="dxa" w:w="80"/>
              <w:left w:type="dxa" w:w="100"/>
              <w:bottom w:type="dxa" w:w="80"/>
              <w:right w:type="dxa" w:w="100"/>
            </w:tcMar>
          </w:tcPr>
          <w:p>
            <w:pPr>
              <w:jc w:val="left"/>
            </w:pPr>
            <w:r>
              <w:rPr>
                <w:b w:val="false"/>
                <w:bCs w:val="false"/>
                <w:color w:val="000000"/>
                <w:sz w:val="19"/>
                <w:szCs w:val="19"/>
              </w:rPr>
              <w:t xml:space="preserve">Campos como EstadoPago, TipoPago, FormaAbono se guardan como varchar libre en vez de referenciar OPT_FormaPago/OPT_EstadoOT.</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Valores inconsistentes o mal tipeados sin que la base los rechace; los reportes deben normalizar texto en tiempo de consulta.</w:t>
            </w:r>
          </w:p>
        </w:tc>
      </w:tr>
      <w:tr>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Tablas temporales en producción</w:t>
            </w:r>
          </w:p>
        </w:tc>
        <w:tc>
          <w:tcPr>
            <w:tcW w:type="dxa" w:w="3800"/>
            <w:shd w:fill="F3F6FA" w:val="clear"/>
            <w:tcMar>
              <w:top w:type="dxa" w:w="80"/>
              <w:left w:type="dxa" w:w="100"/>
              <w:bottom w:type="dxa" w:w="80"/>
              <w:right w:type="dxa" w:w="100"/>
            </w:tcMar>
          </w:tcPr>
          <w:p>
            <w:pPr>
              <w:jc w:val="left"/>
            </w:pPr>
            <w:r>
              <w:rPr>
                <w:b w:val="false"/>
                <w:bCs w:val="false"/>
                <w:color w:val="000000"/>
                <w:sz w:val="19"/>
                <w:szCs w:val="19"/>
              </w:rPr>
              <w:t xml:space="preserve">OPT_CuotaTEMP y OPT_ProductoTemp existen en el esquema principal, sin PK definida en el primer caso.</w:t>
            </w:r>
          </w:p>
        </w:tc>
        <w:tc>
          <w:tcPr>
            <w:tcW w:type="dxa" w:w="2900"/>
            <w:shd w:fill="F3F6FA" w:val="clear"/>
            <w:tcMar>
              <w:top w:type="dxa" w:w="80"/>
              <w:left w:type="dxa" w:w="100"/>
              <w:bottom w:type="dxa" w:w="80"/>
              <w:right w:type="dxa" w:w="100"/>
            </w:tcMar>
          </w:tcPr>
          <w:p>
            <w:pPr>
              <w:jc w:val="left"/>
            </w:pPr>
            <w:r>
              <w:rPr>
                <w:b w:val="false"/>
                <w:bCs w:val="false"/>
                <w:color w:val="000000"/>
                <w:sz w:val="19"/>
                <w:szCs w:val="19"/>
              </w:rPr>
              <w:t xml:space="preserve">Indican procesos batch o migraciones ad-hoc no formalizados; aumentan la superficie del modelo sin aportar integridad.</w:t>
            </w:r>
          </w:p>
        </w:tc>
      </w:tr>
      <w:tr>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Lógica de negocio en procedimientos almacenados</w:t>
            </w:r>
          </w:p>
        </w:tc>
        <w:tc>
          <w:tcPr>
            <w:tcW w:type="dxa" w:w="3800"/>
            <w:shd w:fill="FFFFFF" w:val="clear"/>
            <w:tcMar>
              <w:top w:type="dxa" w:w="80"/>
              <w:left w:type="dxa" w:w="100"/>
              <w:bottom w:type="dxa" w:w="80"/>
              <w:right w:type="dxa" w:w="100"/>
            </w:tcMar>
          </w:tcPr>
          <w:p>
            <w:pPr>
              <w:jc w:val="left"/>
            </w:pPr>
            <w:r>
              <w:rPr>
                <w:b w:val="false"/>
                <w:bCs w:val="false"/>
                <w:color w:val="000000"/>
                <w:sz w:val="19"/>
                <w:szCs w:val="19"/>
              </w:rPr>
              <w:t xml:space="preserve">SP_OTActualizaStock, SP_OTEliminar concentran reglas de inventario y anulación de OT en T-SQL.</w:t>
            </w:r>
          </w:p>
        </w:tc>
        <w:tc>
          <w:tcPr>
            <w:tcW w:type="dxa" w:w="2900"/>
            <w:shd w:fill="FFFFFF" w:val="clear"/>
            <w:tcMar>
              <w:top w:type="dxa" w:w="80"/>
              <w:left w:type="dxa" w:w="100"/>
              <w:bottom w:type="dxa" w:w="80"/>
              <w:right w:type="dxa" w:w="100"/>
            </w:tcMar>
          </w:tcPr>
          <w:p>
            <w:pPr>
              <w:jc w:val="left"/>
            </w:pPr>
            <w:r>
              <w:rPr>
                <w:b w:val="false"/>
                <w:bCs w:val="false"/>
                <w:color w:val="000000"/>
                <w:sz w:val="19"/>
                <w:szCs w:val="19"/>
              </w:rPr>
              <w:t xml:space="preserve">La regla de negocio queda fuera del control de versiones de la aplicación y es más difícil de testear.</w:t>
            </w:r>
          </w:p>
        </w:tc>
      </w:tr>
      <w:tr>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Índices no explícitos sobre FKs</w:t>
            </w:r>
          </w:p>
        </w:tc>
        <w:tc>
          <w:tcPr>
            <w:tcW w:type="dxa" w:w="3800"/>
            <w:shd w:fill="F3F6FA" w:val="clear"/>
            <w:tcMar>
              <w:top w:type="dxa" w:w="80"/>
              <w:left w:type="dxa" w:w="100"/>
              <w:bottom w:type="dxa" w:w="80"/>
              <w:right w:type="dxa" w:w="100"/>
            </w:tcMar>
          </w:tcPr>
          <w:p>
            <w:pPr>
              <w:jc w:val="left"/>
            </w:pPr>
            <w:r>
              <w:rPr>
                <w:b w:val="false"/>
                <w:bCs w:val="false"/>
                <w:color w:val="000000"/>
                <w:sz w:val="19"/>
                <w:szCs w:val="19"/>
              </w:rPr>
              <w:t xml:space="preserve">SQL Server no crea índice automático sobre columnas FK; el script sólo define PK/UNIQUE explícitas (Codigo en OPT_Producto).</w:t>
            </w:r>
          </w:p>
        </w:tc>
        <w:tc>
          <w:tcPr>
            <w:tcW w:type="dxa" w:w="2900"/>
            <w:shd w:fill="F3F6FA" w:val="clear"/>
            <w:tcMar>
              <w:top w:type="dxa" w:w="80"/>
              <w:left w:type="dxa" w:w="100"/>
              <w:bottom w:type="dxa" w:w="80"/>
              <w:right w:type="dxa" w:w="100"/>
            </w:tcMar>
          </w:tcPr>
          <w:p>
            <w:pPr>
              <w:jc w:val="left"/>
            </w:pPr>
            <w:r>
              <w:rPr>
                <w:b w:val="false"/>
                <w:bCs w:val="false"/>
                <w:color w:val="000000"/>
                <w:sz w:val="19"/>
                <w:szCs w:val="19"/>
              </w:rPr>
              <w:t xml:space="preserve">Consultas frecuentes por RutCliente o idOT en tablas grandes (Atencion, RecetaCristales, Pago) pueden degradar sin índices secundarios.</w:t>
            </w:r>
          </w:p>
        </w:tc>
      </w:tr>
    </w:tbl>
    <w:p>
      <w:pPr>
        <w:spacing w:after="160"/>
      </w:pPr>
    </w:p>
    <w:p>
      <w:pPr>
        <w:spacing w:after="160" w:line="276"/>
      </w:pPr>
      <w:r>
        <w:rPr>
          <w:sz w:val="21"/>
          <w:szCs w:val="21"/>
        </w:rPr>
        <w:t xml:space="preserve">En conjunto, estos hallazgos describen un modelo de datos funcionalmente completo y coherente para el dominio de negocio, pero diseñado con las convenciones de hace más de ocho años: sin identificadores sintéticos neutrales, sin trazabilidad de cambios, sin separación entre credenciales y datos de negocio. Ninguno de estos problemas es inusual para un sistema de esa antigüedad, y todos son abordables con un rediseño incremental (sección 7).</w:t>
      </w:r>
    </w:p>
    <w:p>
      <w:pPr>
        <w:pStyle w:val="Heading1"/>
        <w:spacing w:after="200" w:before="400"/>
      </w:pPr>
      <w:r>
        <w:t xml:space="preserve">5. Arquitectura propuesta</w:t>
      </w:r>
    </w:p>
    <w:p>
      <w:pPr>
        <w:pStyle w:val="Heading2"/>
        <w:spacing w:after="150" w:before="300"/>
      </w:pPr>
      <w:r>
        <w:t xml:space="preserve">5.1 Visión general por capas</w:t>
      </w:r>
    </w:p>
    <w:p>
      <w:pPr>
        <w:spacing w:after="160" w:line="276"/>
      </w:pPr>
      <w:r>
        <w:rPr>
          <w:sz w:val="21"/>
          <w:szCs w:val="21"/>
        </w:rPr>
        <w:t xml:space="preserve">Se propone reemplazar el monolito MVC por una arquitectura de backend API + frontend SPA desacoplados, comunicados por HTTP/JSON y autenticación basada en tokens. La organización interna del backend sigue el principio de Clean Architecture / arquitectura en capas, con dependencias apuntando siempre hacia el dominio:</w:t>
      </w:r>
    </w:p>
    <w:p>
      <w:pPr>
        <w:pStyle w:val="ListParagraph"/>
        <w:numPr>
          <w:ilvl w:val="0"/>
          <w:numId w:val="2"/>
        </w:numPr>
        <w:spacing w:after="100" w:line="276"/>
      </w:pPr>
      <w:r>
        <w:rPr>
          <w:sz w:val="21"/>
          <w:szCs w:val="21"/>
        </w:rPr>
        <w:t xml:space="preserve">Dominio (Domain): entidades de negocio y reglas invariantes, sin dependencias externas.</w:t>
      </w:r>
    </w:p>
    <w:p>
      <w:pPr>
        <w:pStyle w:val="ListParagraph"/>
        <w:numPr>
          <w:ilvl w:val="0"/>
          <w:numId w:val="2"/>
        </w:numPr>
        <w:spacing w:after="100" w:line="276"/>
      </w:pPr>
      <w:r>
        <w:rPr>
          <w:sz w:val="21"/>
          <w:szCs w:val="21"/>
        </w:rPr>
        <w:t xml:space="preserve">Aplicación (Application): casos de uso, orquestación de reglas de negocio, validación de entrada, interfaces de repositorio (sin implementación concreta).</w:t>
      </w:r>
    </w:p>
    <w:p>
      <w:pPr>
        <w:pStyle w:val="ListParagraph"/>
        <w:numPr>
          <w:ilvl w:val="0"/>
          <w:numId w:val="2"/>
        </w:numPr>
        <w:spacing w:after="100" w:line="276"/>
      </w:pPr>
      <w:r>
        <w:rPr>
          <w:sz w:val="21"/>
          <w:szCs w:val="21"/>
        </w:rPr>
        <w:t xml:space="preserve">Infraestructura (Infrastructure): implementación de acceso a datos (Entity Framework Core), integraciones externas (Defontana, correo), autenticación.</w:t>
      </w:r>
    </w:p>
    <w:p>
      <w:pPr>
        <w:pStyle w:val="ListParagraph"/>
        <w:numPr>
          <w:ilvl w:val="0"/>
          <w:numId w:val="2"/>
        </w:numPr>
        <w:spacing w:after="100" w:line="276"/>
      </w:pPr>
      <w:r>
        <w:rPr>
          <w:sz w:val="21"/>
          <w:szCs w:val="21"/>
        </w:rPr>
        <w:t xml:space="preserve">API (Presentation): controladores delgados que traducen HTTP a casos de uso y devuelven DTOs; sin lógica de negocio.</w:t>
      </w:r>
    </w:p>
    <w:p>
      <w:pPr>
        <w:pStyle w:val="ListParagraph"/>
        <w:numPr>
          <w:ilvl w:val="0"/>
          <w:numId w:val="2"/>
        </w:numPr>
        <w:spacing w:after="100" w:line="276"/>
      </w:pPr>
      <w:r>
        <w:rPr>
          <w:sz w:val="21"/>
          <w:szCs w:val="21"/>
        </w:rPr>
        <w:t xml:space="preserve">Frontend (SPA): consume exclusivamente la API vía HTTP, sin acceso directo a base de datos ni lógica de negocio crítica del lado cliente.</w:t>
      </w:r>
    </w:p>
    <w:p>
      <w:pPr>
        <w:spacing w:after="160" w:line="276"/>
      </w:pPr>
      <w:r>
        <w:rPr>
          <w:sz w:val="21"/>
          <w:szCs w:val="21"/>
        </w:rPr>
        <w:t xml:space="preserve">Esta separación resuelve directamente los problemas observados en el legado: controladores delgados, lógica de negocio testeable de forma aislada, y una capa de infraestructura reemplazable (por ejemplo, para cambiar el proveedor de correo o el motor de reportes) sin tocar las reglas de negocio.</w:t>
      </w:r>
    </w:p>
    <w:p>
      <w:pPr>
        <w:pStyle w:val="Heading2"/>
        <w:spacing w:after="150" w:before="300"/>
      </w:pPr>
      <w:r>
        <w:t xml:space="preserve">5.2 Arquitectura de trabajo</w:t>
      </w:r>
    </w:p>
    <w:p>
      <w:pPr>
        <w:pStyle w:val="Heading3"/>
        <w:spacing w:after="120" w:before="240"/>
      </w:pPr>
      <w:r>
        <w:t xml:space="preserve">Entornos</w:t>
      </w:r>
    </w:p>
    <w:p>
      <w:pPr>
        <w:spacing w:after="160" w:line="276"/>
      </w:pPr>
      <w:r>
        <w:rPr>
          <w:sz w:val="21"/>
          <w:szCs w:val="21"/>
        </w:rPr>
        <w:t xml:space="preserve">Se recomienda mantener al menos tres entornos con configuración y bases de datos independientes: Desarrollo (local, por cada desarrollador), Pruebas/QA (compartido, para validación funcional antes de producción) y Producción. Los secretos (cadenas de conexión, claves de API, credenciales SMTP) deben salir del control de versiones y administrarse por variable de entorno o un gestor de secretos (por ejemplo, User Secrets en desarrollo y variables de entorno o un vault en producción), corrigiendo la práctica actual de credenciales embebidas en Web.config.</w:t>
      </w:r>
    </w:p>
    <w:p>
      <w:pPr>
        <w:pStyle w:val="Heading3"/>
        <w:spacing w:after="120" w:before="240"/>
      </w:pPr>
      <w:r>
        <w:t xml:space="preserve">Control de versiones y flujo de trabajo</w:t>
      </w:r>
    </w:p>
    <w:p>
      <w:pPr>
        <w:spacing w:after="160" w:line="276"/>
      </w:pPr>
      <w:r>
        <w:rPr>
          <w:sz w:val="21"/>
          <w:szCs w:val="21"/>
        </w:rPr>
        <w:t xml:space="preserve">Se recomienda un flujo de ramas simple (trunk-based o GitHub Flow): una rama principal siempre desplegable, ramas de feature de corta duración, y validación automática (build + pruebas) antes de integrar. Los cambios de esquema de base de datos deben viajar como scripts incrementales y versionados junto con el código, nunca como cambios manuales directos sobre el motor de base de datos — corrigiendo la práctica observada en el legado (restricciones sin nombre, señal de ediciones directas en el motor).</w:t>
      </w:r>
    </w:p>
    <w:p>
      <w:pPr>
        <w:pStyle w:val="Heading3"/>
        <w:spacing w:after="120" w:before="240"/>
      </w:pPr>
      <w:r>
        <w:t xml:space="preserve">Calidad y automatización</w:t>
      </w:r>
    </w:p>
    <w:p>
      <w:pPr>
        <w:pStyle w:val="ListParagraph"/>
        <w:numPr>
          <w:ilvl w:val="0"/>
          <w:numId w:val="2"/>
        </w:numPr>
        <w:spacing w:after="100" w:line="276"/>
      </w:pPr>
      <w:r>
        <w:rPr>
          <w:sz w:val="21"/>
          <w:szCs w:val="21"/>
        </w:rPr>
        <w:t xml:space="preserve">Integración continua: build y ejecución de pruebas automáticas en cada cambio propuesto (pull request), antes de habilitar su integración a la rama principal.</w:t>
      </w:r>
    </w:p>
    <w:p>
      <w:pPr>
        <w:pStyle w:val="ListParagraph"/>
        <w:numPr>
          <w:ilvl w:val="0"/>
          <w:numId w:val="2"/>
        </w:numPr>
        <w:spacing w:after="100" w:line="276"/>
      </w:pPr>
      <w:r>
        <w:rPr>
          <w:sz w:val="21"/>
          <w:szCs w:val="21"/>
        </w:rPr>
        <w:t xml:space="preserve">Pruebas automatizadas: unitarias para la capa de Aplicación (reglas de negocio) y de integración para los endpoints críticos (login, creación de orden de trabajo, movimientos de stock) — inexistentes en el sistema legado.</w:t>
      </w:r>
    </w:p>
    <w:p>
      <w:pPr>
        <w:pStyle w:val="ListParagraph"/>
        <w:numPr>
          <w:ilvl w:val="0"/>
          <w:numId w:val="2"/>
        </w:numPr>
        <w:spacing w:after="100" w:line="276"/>
      </w:pPr>
      <w:r>
        <w:rPr>
          <w:sz w:val="21"/>
          <w:szCs w:val="21"/>
        </w:rPr>
        <w:t xml:space="preserve">Documentación de API autogenerada (OpenAPI/Swagger) como contrato entre backend y frontend, y como base para pruebas de integración manuales o exploratorias.</w:t>
      </w:r>
    </w:p>
    <w:p>
      <w:pPr>
        <w:pStyle w:val="ListParagraph"/>
        <w:numPr>
          <w:ilvl w:val="0"/>
          <w:numId w:val="2"/>
        </w:numPr>
        <w:spacing w:after="100" w:line="276"/>
      </w:pPr>
      <w:r>
        <w:rPr>
          <w:sz w:val="21"/>
          <w:szCs w:val="21"/>
        </w:rPr>
        <w:t xml:space="preserve">Registro y observabilidad: logging estructurado centralizado y manejo de excepciones uniforme (middleware), reemplazando el patrón catch/throw ex disperso del legado.</w:t>
      </w:r>
    </w:p>
    <w:p>
      <w:pPr>
        <w:pStyle w:val="Heading1"/>
        <w:spacing w:after="200" w:before="400"/>
      </w:pPr>
      <w:r>
        <w:t xml:space="preserve">6. Selección de tecnología</w:t>
      </w:r>
    </w:p>
    <w:p>
      <w:pPr>
        <w:pStyle w:val="Heading2"/>
        <w:spacing w:after="150" w:before="300"/>
      </w:pPr>
      <w:r>
        <w:t xml:space="preserve">6.1 Backend: .NET (Core / 8+)</w:t>
      </w:r>
    </w:p>
    <w:p>
      <w:pPr>
        <w:spacing w:after="160" w:line="276"/>
      </w:pPr>
      <w:r>
        <w:rPr>
          <w:sz w:val="21"/>
          <w:szCs w:val="21"/>
        </w:rPr>
        <w:t xml:space="preserve">Se confirma la propuesta inicial del cliente: migrar el backend a .NET moderno (.NET 8 o superior, la versión LTS vigente al momento de iniciar el desarrollo), expuesto como API REST. Esto permite:</w:t>
      </w:r>
    </w:p>
    <w:p>
      <w:pPr>
        <w:pStyle w:val="ListParagraph"/>
        <w:numPr>
          <w:ilvl w:val="0"/>
          <w:numId w:val="2"/>
        </w:numPr>
        <w:spacing w:after="100" w:line="276"/>
      </w:pPr>
      <w:r>
        <w:rPr>
          <w:sz w:val="21"/>
          <w:szCs w:val="21"/>
        </w:rPr>
        <w:t xml:space="preserve">Independencia de Windows Server/IIS: .NET moderno corre de forma nativa en Linux, lo que amplía las opciones de hosting (contenedores, nube) y reduce costos de licenciamiento de sistema operativo.</w:t>
      </w:r>
    </w:p>
    <w:p>
      <w:pPr>
        <w:pStyle w:val="ListParagraph"/>
        <w:numPr>
          <w:ilvl w:val="0"/>
          <w:numId w:val="2"/>
        </w:numPr>
        <w:spacing w:after="100" w:line="276"/>
      </w:pPr>
      <w:r>
        <w:rPr>
          <w:sz w:val="21"/>
          <w:szCs w:val="21"/>
        </w:rPr>
        <w:t xml:space="preserve">Entity Framework Core con Migrations, reemplazando el modelo Database First del EDMX por un flujo de cambios de esquema versionado y reproducible.</w:t>
      </w:r>
    </w:p>
    <w:p>
      <w:pPr>
        <w:pStyle w:val="ListParagraph"/>
        <w:numPr>
          <w:ilvl w:val="0"/>
          <w:numId w:val="2"/>
        </w:numPr>
        <w:spacing w:after="100" w:line="276"/>
      </w:pPr>
      <w:r>
        <w:rPr>
          <w:sz w:val="21"/>
          <w:szCs w:val="21"/>
        </w:rPr>
        <w:t xml:space="preserve">Autenticación basada en tokens (JWT) en lugar de FormsAuthentication + sesión en servidor, habilitando escalamiento horizontal sin estado.</w:t>
      </w:r>
    </w:p>
    <w:p>
      <w:pPr>
        <w:pStyle w:val="ListParagraph"/>
        <w:numPr>
          <w:ilvl w:val="0"/>
          <w:numId w:val="2"/>
        </w:numPr>
        <w:spacing w:after="100" w:line="276"/>
      </w:pPr>
      <w:r>
        <w:rPr>
          <w:sz w:val="21"/>
          <w:szCs w:val="21"/>
        </w:rPr>
        <w:t xml:space="preserve">Ecosistema de pruebas maduro (xUnit/NUnit) y soporte de primera clase para contenedores (Docker) e integración continua.</w:t>
      </w:r>
    </w:p>
    <w:p>
      <w:pPr>
        <w:spacing w:after="160" w:line="276"/>
      </w:pPr>
      <w:r>
        <w:rPr>
          <w:sz w:val="21"/>
          <w:szCs w:val="21"/>
        </w:rPr>
        <w:t xml:space="preserve">El backend legado ya está en C#, lo que facilita reutilizar el conocimiento de dominio (reglas de cálculo de saldo, flujo de estados de una orden de trabajo, lógica de stock) durante la reescritura, aun cuando el código en sí deba rehacerse por completo para adoptar la nueva arquitectura en capas.</w:t>
      </w:r>
    </w:p>
    <w:p>
      <w:pPr>
        <w:pStyle w:val="Heading2"/>
        <w:spacing w:after="150" w:before="300"/>
      </w:pPr>
      <w:r>
        <w:t xml:space="preserve">6.2 Frontend: Angular vs. Blazor</w:t>
      </w:r>
    </w:p>
    <w:p>
      <w:pPr>
        <w:spacing w:after="160" w:line="276"/>
      </w:pPr>
      <w:r>
        <w:rPr>
          <w:sz w:val="21"/>
          <w:szCs w:val="21"/>
        </w:rPr>
        <w:t xml:space="preserve">La propuesta inicial deja abierta la decisión entre Angular y Blazor. Ambas son opciones sólidas y con soporte activo; la elección correcta depende más del contexto del equipo que de una superioridad técnica absoluta. A continuación se comparan en los criterios relevantes para este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0D1B3D" w:val="clear"/>
            <w:tcMar>
              <w:top w:type="dxa" w:w="80"/>
              <w:left w:type="dxa" w:w="100"/>
              <w:bottom w:type="dxa" w:w="80"/>
              <w:right w:type="dxa" w:w="100"/>
            </w:tcMar>
          </w:tcPr>
          <w:p>
            <w:pPr>
              <w:jc w:val="left"/>
            </w:pPr>
            <w:r>
              <w:rPr>
                <w:b/>
                <w:bCs/>
                <w:color w:val="FFFFFF"/>
                <w:sz w:val="19"/>
                <w:szCs w:val="19"/>
              </w:rPr>
              <w:t xml:space="preserve">Criterio</w:t>
            </w:r>
          </w:p>
        </w:tc>
        <w:tc>
          <w:tcPr>
            <w:tcW w:type="dxa" w:w="3300"/>
            <w:shd w:fill="0D1B3D" w:val="clear"/>
            <w:tcMar>
              <w:top w:type="dxa" w:w="80"/>
              <w:left w:type="dxa" w:w="100"/>
              <w:bottom w:type="dxa" w:w="80"/>
              <w:right w:type="dxa" w:w="100"/>
            </w:tcMar>
          </w:tcPr>
          <w:p>
            <w:pPr>
              <w:jc w:val="left"/>
            </w:pPr>
            <w:r>
              <w:rPr>
                <w:b/>
                <w:bCs/>
                <w:color w:val="FFFFFF"/>
                <w:sz w:val="19"/>
                <w:szCs w:val="19"/>
              </w:rPr>
              <w:t xml:space="preserve">Angular</w:t>
            </w:r>
          </w:p>
        </w:tc>
        <w:tc>
          <w:tcPr>
            <w:tcW w:type="dxa" w:w="3300"/>
            <w:shd w:fill="0D1B3D" w:val="clear"/>
            <w:tcMar>
              <w:top w:type="dxa" w:w="80"/>
              <w:left w:type="dxa" w:w="100"/>
              <w:bottom w:type="dxa" w:w="80"/>
              <w:right w:type="dxa" w:w="100"/>
            </w:tcMar>
          </w:tcPr>
          <w:p>
            <w:pPr>
              <w:jc w:val="left"/>
            </w:pPr>
            <w:r>
              <w:rPr>
                <w:b/>
                <w:bCs/>
                <w:color w:val="FFFFFF"/>
                <w:sz w:val="19"/>
                <w:szCs w:val="19"/>
              </w:rPr>
              <w:t xml:space="preserve">Blazor (WebAssembly o Server)</w:t>
            </w:r>
          </w:p>
        </w:tc>
      </w:tr>
      <w:tr>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Lenguaje</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TypeScript — distinto del backend, requiere doble contexto de lenguaje en el equipo.</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C# — mismo lenguaje que el backend; permite compartir modelos y validaciones entre ambas capas.</w:t>
            </w:r>
          </w:p>
        </w:tc>
      </w:tr>
      <w:tr>
        <w:tc>
          <w:tcPr>
            <w:tcW w:type="dxa" w:w="2400"/>
            <w:shd w:fill="F3F6FA" w:val="clear"/>
            <w:tcMar>
              <w:top w:type="dxa" w:w="80"/>
              <w:left w:type="dxa" w:w="100"/>
              <w:bottom w:type="dxa" w:w="80"/>
              <w:right w:type="dxa" w:w="100"/>
            </w:tcMar>
          </w:tcPr>
          <w:p>
            <w:pPr>
              <w:jc w:val="left"/>
            </w:pPr>
            <w:r>
              <w:rPr>
                <w:b w:val="false"/>
                <w:bCs w:val="false"/>
                <w:color w:val="000000"/>
                <w:sz w:val="19"/>
                <w:szCs w:val="19"/>
              </w:rPr>
              <w:t xml:space="preserve">Madurez del ecosistema frontend</w:t>
            </w:r>
          </w:p>
        </w:tc>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Ecosistema muy maduro: librerías de UI, gráficos, formularios, y una comunidad amplia con años de práctica en SPA complejas.</w:t>
            </w:r>
          </w:p>
        </w:tc>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Ecosistema más joven para UI compleja; menos librerías de terceros maduras específicas de Blazor (aunque puede interoperar con JS).</w:t>
            </w:r>
          </w:p>
        </w:tc>
      </w:tr>
      <w:tr>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Rendimiento inicial de carga</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Bundle JS optimizado, carga diferida (lazy loading) madura por rutas/módulos.</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Blazor WebAssembly tiene una descarga inicial más pesada (runtime .NET al navegador); Blazor Server evita eso pero requiere conexión SignalR persistente.</w:t>
            </w:r>
          </w:p>
        </w:tc>
      </w:tr>
      <w:tr>
        <w:tc>
          <w:tcPr>
            <w:tcW w:type="dxa" w:w="2400"/>
            <w:shd w:fill="F3F6FA" w:val="clear"/>
            <w:tcMar>
              <w:top w:type="dxa" w:w="80"/>
              <w:left w:type="dxa" w:w="100"/>
              <w:bottom w:type="dxa" w:w="80"/>
              <w:right w:type="dxa" w:w="100"/>
            </w:tcMar>
          </w:tcPr>
          <w:p>
            <w:pPr>
              <w:jc w:val="left"/>
            </w:pPr>
            <w:r>
              <w:rPr>
                <w:b w:val="false"/>
                <w:bCs w:val="false"/>
                <w:color w:val="000000"/>
                <w:sz w:val="19"/>
                <w:szCs w:val="19"/>
              </w:rPr>
              <w:t xml:space="preserve">Disponibilidad de perfiles en el mercado (Chile/LatAm)</w:t>
            </w:r>
          </w:p>
        </w:tc>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Alta — Angular es una de las opciones más solicitadas para SPA empresariales.</w:t>
            </w:r>
          </w:p>
        </w:tc>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Menor oferta de desarrolladores especializados en Blazor en el mercado regional, lo que puede encarecer o ralentizar la contratación.</w:t>
            </w:r>
          </w:p>
        </w:tc>
      </w:tr>
      <w:tr>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Curva de aprendizaje para el equipo actual</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Requiere aprender TypeScript/RxJS si el equipo viene de .NET puro.</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Menor curva si el equipo ya domina C#/.NET; el conocimiento se transfiere directamente.</w:t>
            </w:r>
          </w:p>
        </w:tc>
      </w:tr>
      <w:tr>
        <w:tc>
          <w:tcPr>
            <w:tcW w:type="dxa" w:w="2400"/>
            <w:shd w:fill="F3F6FA" w:val="clear"/>
            <w:tcMar>
              <w:top w:type="dxa" w:w="80"/>
              <w:left w:type="dxa" w:w="100"/>
              <w:bottom w:type="dxa" w:w="80"/>
              <w:right w:type="dxa" w:w="100"/>
            </w:tcMar>
          </w:tcPr>
          <w:p>
            <w:pPr>
              <w:jc w:val="left"/>
            </w:pPr>
            <w:r>
              <w:rPr>
                <w:b w:val="false"/>
                <w:bCs w:val="false"/>
                <w:color w:val="000000"/>
                <w:sz w:val="19"/>
                <w:szCs w:val="19"/>
              </w:rPr>
              <w:t xml:space="preserve">Reutilización de código con el backend</w:t>
            </w:r>
          </w:p>
        </w:tc>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Ninguna (lenguajes distintos); se puede compartir contratos vía OpenAPI generado.</w:t>
            </w:r>
          </w:p>
        </w:tc>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Alta con Blazor: DTOs y validaciones (p. ej. con FluentValidation) pueden compartirse literalmente entre backend y frontend.</w:t>
            </w:r>
          </w:p>
        </w:tc>
      </w:tr>
      <w:tr>
        <w:tc>
          <w:tcPr>
            <w:tcW w:type="dxa" w:w="2400"/>
            <w:shd w:fill="FFFFFF" w:val="clear"/>
            <w:tcMar>
              <w:top w:type="dxa" w:w="80"/>
              <w:left w:type="dxa" w:w="100"/>
              <w:bottom w:type="dxa" w:w="80"/>
              <w:right w:type="dxa" w:w="100"/>
            </w:tcMar>
          </w:tcPr>
          <w:p>
            <w:pPr>
              <w:jc w:val="left"/>
            </w:pPr>
            <w:r>
              <w:rPr>
                <w:b w:val="false"/>
                <w:bCs w:val="false"/>
                <w:color w:val="000000"/>
                <w:sz w:val="19"/>
                <w:szCs w:val="19"/>
              </w:rPr>
              <w:t xml:space="preserve">Aptitud para UI muy interactiva (tablas dinámicas, wizards, dashboards)</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Excelente; es el escenario típico de Angular.</w:t>
            </w:r>
          </w:p>
        </w:tc>
        <w:tc>
          <w:tcPr>
            <w:tcW w:type="dxa" w:w="3300"/>
            <w:shd w:fill="FFFFFF" w:val="clear"/>
            <w:tcMar>
              <w:top w:type="dxa" w:w="80"/>
              <w:left w:type="dxa" w:w="100"/>
              <w:bottom w:type="dxa" w:w="80"/>
              <w:right w:type="dxa" w:w="100"/>
            </w:tcMar>
          </w:tcPr>
          <w:p>
            <w:pPr>
              <w:jc w:val="left"/>
            </w:pPr>
            <w:r>
              <w:rPr>
                <w:b w:val="false"/>
                <w:bCs w:val="false"/>
                <w:color w:val="000000"/>
                <w:sz w:val="19"/>
                <w:szCs w:val="19"/>
              </w:rPr>
              <w:t xml:space="preserve">Buena, aunque con mayor esfuerzo en interoperabilidad JS para componentes muy visuales/gráficos complejos.</w:t>
            </w:r>
          </w:p>
        </w:tc>
      </w:tr>
      <w:tr>
        <w:tc>
          <w:tcPr>
            <w:tcW w:type="dxa" w:w="2400"/>
            <w:shd w:fill="F3F6FA" w:val="clear"/>
            <w:tcMar>
              <w:top w:type="dxa" w:w="80"/>
              <w:left w:type="dxa" w:w="100"/>
              <w:bottom w:type="dxa" w:w="80"/>
              <w:right w:type="dxa" w:w="100"/>
            </w:tcMar>
          </w:tcPr>
          <w:p>
            <w:pPr>
              <w:jc w:val="left"/>
            </w:pPr>
            <w:r>
              <w:rPr>
                <w:b w:val="false"/>
                <w:bCs w:val="false"/>
                <w:color w:val="000000"/>
                <w:sz w:val="19"/>
                <w:szCs w:val="19"/>
              </w:rPr>
              <w:t xml:space="preserve">Offline / despliegue como app de escritorio o móvil híbrida</w:t>
            </w:r>
          </w:p>
        </w:tc>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Posible vía herramientas del ecosistema JS (Capacitor, etc.).</w:t>
            </w:r>
          </w:p>
        </w:tc>
        <w:tc>
          <w:tcPr>
            <w:tcW w:type="dxa" w:w="3300"/>
            <w:shd w:fill="F3F6FA" w:val="clear"/>
            <w:tcMar>
              <w:top w:type="dxa" w:w="80"/>
              <w:left w:type="dxa" w:w="100"/>
              <w:bottom w:type="dxa" w:w="80"/>
              <w:right w:type="dxa" w:w="100"/>
            </w:tcMar>
          </w:tcPr>
          <w:p>
            <w:pPr>
              <w:jc w:val="left"/>
            </w:pPr>
            <w:r>
              <w:rPr>
                <w:b w:val="false"/>
                <w:bCs w:val="false"/>
                <w:color w:val="000000"/>
                <w:sz w:val="19"/>
                <w:szCs w:val="19"/>
              </w:rPr>
              <w:t xml:space="preserve">Blazor Hybrid permite MAUI/escritorio compartiendo aún más código C#, si a futuro se quisiera una app nativa.</w:t>
            </w:r>
          </w:p>
        </w:tc>
      </w:tr>
    </w:tbl>
    <w:p>
      <w:pPr>
        <w:spacing w:after="160"/>
      </w:pPr>
    </w:p>
    <w:p>
      <w:pPr>
        <w:spacing w:after="160" w:line="276"/>
      </w:pPr>
      <w:r>
        <w:rPr>
          <w:b/>
          <w:bCs/>
          <w:sz w:val="21"/>
          <w:szCs w:val="21"/>
        </w:rPr>
        <w:t xml:space="preserve">Recomendación: </w:t>
      </w:r>
      <w:r>
        <w:rPr>
          <w:sz w:val="21"/>
          <w:szCs w:val="21"/>
        </w:rPr>
        <w:t xml:space="preserve">Angular, principalmente por la madurez de su ecosistema para interfaces empresariales con muchas grillas, filtros y formularios complejos —el patrón dominante observado en el legado (listados con DataTables, modales de creación/edición, reportes)— y por la mayor disponibilidad de desarrolladores en el mercado si el equipo necesita crecer. Blazor es una alternativa razonable si el equipo de desarrollo es predominantemente C#/.NET y valora compartir modelos y validaciones con el backend por sobre la madurez del ecosistema de componentes; en ese caso, Blazor WebAssembly sería la variante recomendada por no requerir conexión persistente al servidor.</w:t>
      </w:r>
    </w:p>
    <w:p>
      <w:pPr>
        <w:spacing w:after="160" w:line="276"/>
      </w:pPr>
      <w:r>
        <w:rPr>
          <w:sz w:val="21"/>
          <w:szCs w:val="21"/>
        </w:rPr>
        <w:t xml:space="preserve">Esta decisión no es irreversible en el corto plazo si el backend se diseña correctamente como una API independiente del frontend: cualquiera de las dos tecnologías consume la misma API sin acoplarse a su implementación interna.</w:t>
      </w:r>
    </w:p>
    <w:p>
      <w:pPr>
        <w:pStyle w:val="Heading2"/>
        <w:spacing w:after="150" w:before="300"/>
      </w:pPr>
      <w:r>
        <w:t xml:space="preserve">6.3 Base de datos</w:t>
      </w:r>
    </w:p>
    <w:p>
      <w:pPr>
        <w:spacing w:after="160" w:line="276"/>
      </w:pPr>
      <w:r>
        <w:rPr>
          <w:sz w:val="21"/>
          <w:szCs w:val="21"/>
        </w:rPr>
        <w:t xml:space="preserve">Se recomienda mantener SQL Server como motor (continuidad con el conocimiento del equipo y con las herramientas de reporting existentes), pero migrando el esquema mediante Entity Framework Core Migrations o scripts SQL versionados y numerados secuencialmente, nunca mediante cambios manuales en el motor. La base legada db_a25cfd_opt2 se conserva intacta como fuente de referencia y de datos históricos a migrar; el nuevo esquema se construye desde cero aplicando las mejoras de la sección 7, y los datos existentes se trasladan mediante un proceso de migración de datos explícito y auditable (no una copia directa de tablas).</w:t>
      </w:r>
    </w:p>
    <w:p>
      <w:pPr>
        <w:pStyle w:val="Heading1"/>
        <w:spacing w:after="200" w:before="400"/>
      </w:pPr>
      <w:r>
        <w:t xml:space="preserve">7. Propuesta de mejoras de base de datos</w:t>
      </w:r>
    </w:p>
    <w:p>
      <w:pPr>
        <w:spacing w:after="160" w:line="276"/>
      </w:pPr>
      <w:r>
        <w:rPr>
          <w:sz w:val="21"/>
          <w:szCs w:val="21"/>
        </w:rPr>
        <w:t xml:space="preserve">A partir de los hallazgos de la sección 4.2, se proponen las siguientes mejoras para el nuevo esquema:</w:t>
      </w:r>
    </w:p>
    <w:p>
      <w:pPr>
        <w:pStyle w:val="Heading3"/>
        <w:spacing w:after="120" w:before="240"/>
      </w:pPr>
      <w:r>
        <w:t xml:space="preserve">7.1 Identidad de los registros</w:t>
      </w:r>
    </w:p>
    <w:p>
      <w:pPr>
        <w:pStyle w:val="ListParagraph"/>
        <w:numPr>
          <w:ilvl w:val="0"/>
          <w:numId w:val="2"/>
        </w:numPr>
        <w:spacing w:after="100" w:line="276"/>
      </w:pPr>
      <w:r>
        <w:rPr>
          <w:sz w:val="21"/>
          <w:szCs w:val="21"/>
        </w:rPr>
        <w:t xml:space="preserve">Reemplazar el RUT como clave primaria de Cliente y Usuario por un identificador sintético (por ejemplo, un identificador único), manteniendo el RUT como atributo con restricción de unicidad. Esto permite corregir datos de identificación sin romper referencias, y admite en el futuro clientes/usuarios sin RUT chileno (extranjeros, pasaporte).</w:t>
      </w:r>
    </w:p>
    <w:p>
      <w:pPr>
        <w:pStyle w:val="ListParagraph"/>
        <w:numPr>
          <w:ilvl w:val="0"/>
          <w:numId w:val="2"/>
        </w:numPr>
        <w:spacing w:after="100" w:line="276"/>
      </w:pPr>
      <w:r>
        <w:rPr>
          <w:sz w:val="21"/>
          <w:szCs w:val="21"/>
        </w:rPr>
        <w:t xml:space="preserve">Generar el número de Orden de Trabajo de forma atómica en la base de datos (identidad o secuencia), eliminando el cálculo del siguiente número desde la aplicación.</w:t>
      </w:r>
    </w:p>
    <w:p>
      <w:pPr>
        <w:pStyle w:val="Heading3"/>
        <w:spacing w:after="120" w:before="240"/>
      </w:pPr>
      <w:r>
        <w:t xml:space="preserve">7.2 Seguridad de credenciales</w:t>
      </w:r>
    </w:p>
    <w:p>
      <w:pPr>
        <w:pStyle w:val="ListParagraph"/>
        <w:numPr>
          <w:ilvl w:val="0"/>
          <w:numId w:val="2"/>
        </w:numPr>
        <w:spacing w:after="100" w:line="276"/>
      </w:pPr>
      <w:r>
        <w:rPr>
          <w:sz w:val="21"/>
          <w:szCs w:val="21"/>
        </w:rPr>
        <w:t xml:space="preserve">Almacenar contraseñas de usuario únicamente como hash con función diseñada para contraseñas (no un hash genérico), nunca en texto plano ni reversible; eliminar la función de "recuperar contraseña por correo" y reemplazarla por restablecimiento mediante enlace de un solo uso.</w:t>
      </w:r>
    </w:p>
    <w:p>
      <w:pPr>
        <w:pStyle w:val="ListParagraph"/>
        <w:numPr>
          <w:ilvl w:val="0"/>
          <w:numId w:val="2"/>
        </w:numPr>
        <w:spacing w:after="100" w:line="276"/>
      </w:pPr>
      <w:r>
        <w:rPr>
          <w:sz w:val="21"/>
          <w:szCs w:val="21"/>
        </w:rPr>
        <w:t xml:space="preserve">Sacar las credenciales de integraciones externas (Defontana, SMTP) de la base de datos y de los archivos de configuración versionados, moviéndolas a un gestor de secretos o variables de entorno protegidas.</w:t>
      </w:r>
    </w:p>
    <w:p>
      <w:pPr>
        <w:pStyle w:val="Heading3"/>
        <w:spacing w:after="120" w:before="240"/>
      </w:pPr>
      <w:r>
        <w:t xml:space="preserve">7.3 Trazabilidad</w:t>
      </w:r>
    </w:p>
    <w:p>
      <w:pPr>
        <w:pStyle w:val="ListParagraph"/>
        <w:numPr>
          <w:ilvl w:val="0"/>
          <w:numId w:val="2"/>
        </w:numPr>
        <w:spacing w:after="100" w:line="276"/>
      </w:pPr>
      <w:r>
        <w:rPr>
          <w:sz w:val="21"/>
          <w:szCs w:val="21"/>
        </w:rPr>
        <w:t xml:space="preserve">Agregar campos de auditoría estándar (creado por, fecha de creación, modificado por, fecha de modificación) a toda tabla transaccional.</w:t>
      </w:r>
    </w:p>
    <w:p>
      <w:pPr>
        <w:pStyle w:val="ListParagraph"/>
        <w:numPr>
          <w:ilvl w:val="0"/>
          <w:numId w:val="2"/>
        </w:numPr>
        <w:spacing w:after="100" w:line="276"/>
      </w:pPr>
      <w:r>
        <w:rPr>
          <w:sz w:val="21"/>
          <w:szCs w:val="21"/>
        </w:rPr>
        <w:t xml:space="preserve">Reemplazar el borrado físico por borrado lógico (marca de inactivo/eliminado) en las tablas donde la pérdida de historial sea relevante para el negocio (clientes, usuarios, productos, órdenes de trabajo); reservar el borrado físico sólo para datos verdaderamente transitorios.</w:t>
      </w:r>
    </w:p>
    <w:p>
      <w:pPr>
        <w:pStyle w:val="Heading3"/>
        <w:spacing w:after="120" w:before="240"/>
      </w:pPr>
      <w:r>
        <w:t xml:space="preserve">7.4 Integridad y normalización</w:t>
      </w:r>
    </w:p>
    <w:p>
      <w:pPr>
        <w:pStyle w:val="ListParagraph"/>
        <w:numPr>
          <w:ilvl w:val="0"/>
          <w:numId w:val="2"/>
        </w:numPr>
        <w:spacing w:after="100" w:line="276"/>
      </w:pPr>
      <w:r>
        <w:rPr>
          <w:sz w:val="21"/>
          <w:szCs w:val="21"/>
        </w:rPr>
        <w:t xml:space="preserve">Reemplazar los campos de texto libre que representan estados o categorías (EstadoPago, TipoPago, FormaAbono) por referencias a sus catálogos correspondientes, ya existentes en el modelo (OPT_FormaPago, OPT_EstadoOT) pero no utilizados de forma consistente.</w:t>
      </w:r>
    </w:p>
    <w:p>
      <w:pPr>
        <w:pStyle w:val="ListParagraph"/>
        <w:numPr>
          <w:ilvl w:val="0"/>
          <w:numId w:val="2"/>
        </w:numPr>
        <w:spacing w:after="100" w:line="276"/>
      </w:pPr>
      <w:r>
        <w:rPr>
          <w:sz w:val="21"/>
          <w:szCs w:val="21"/>
        </w:rPr>
        <w:t xml:space="preserve">Evaluar, para los montos calculados (Saldo de una orden de trabajo), si conviene calcularlos en el momento de la consulta en lugar de persistirlos, o bien mantenerlos persistidos pero recalculados siempre dentro de una misma transacción junto con el movimiento que los origina (abono, pago), nunca actualizados de forma independiente.</w:t>
      </w:r>
    </w:p>
    <w:p>
      <w:pPr>
        <w:pStyle w:val="ListParagraph"/>
        <w:numPr>
          <w:ilvl w:val="0"/>
          <w:numId w:val="2"/>
        </w:numPr>
        <w:spacing w:after="100" w:line="276"/>
      </w:pPr>
      <w:r>
        <w:rPr>
          <w:sz w:val="21"/>
          <w:szCs w:val="21"/>
        </w:rPr>
        <w:t xml:space="preserve">Retirar del esquema de producción las tablas temporales (OPT_CuotaTEMP, OPT_ProductoTemp) o, si aún cumplen una función real, formalizarlas como parte explícita de un proceso batch documentado, con su propio ciclo de vida.</w:t>
      </w:r>
    </w:p>
    <w:p>
      <w:pPr>
        <w:pStyle w:val="Heading3"/>
        <w:spacing w:after="120" w:before="240"/>
      </w:pPr>
      <w:r>
        <w:t xml:space="preserve">7.5 Rendimiento</w:t>
      </w:r>
    </w:p>
    <w:p>
      <w:pPr>
        <w:pStyle w:val="ListParagraph"/>
        <w:numPr>
          <w:ilvl w:val="0"/>
          <w:numId w:val="2"/>
        </w:numPr>
        <w:spacing w:after="100" w:line="276"/>
      </w:pPr>
      <w:r>
        <w:rPr>
          <w:sz w:val="21"/>
          <w:szCs w:val="21"/>
        </w:rPr>
        <w:t xml:space="preserve">Definir índices secundarios explícitos sobre las columnas más consultadas en filtros y joins (identificador de cliente, identificador de orden de trabajo, fechas de atención/entrega), ya que SQL Server no los crea automáticamente sobre claves foráneas.</w:t>
      </w:r>
    </w:p>
    <w:p>
      <w:pPr>
        <w:pStyle w:val="ListParagraph"/>
        <w:numPr>
          <w:ilvl w:val="0"/>
          <w:numId w:val="2"/>
        </w:numPr>
        <w:spacing w:after="100" w:line="276"/>
      </w:pPr>
      <w:r>
        <w:rPr>
          <w:sz w:val="21"/>
          <w:szCs w:val="21"/>
        </w:rPr>
        <w:t xml:space="preserve">Nombrar explícitamente todas las restricciones (PK, FK, UNIQUE, CHECK) en los scripts de creación, evitando nombres autogenerados que dificultan el mantenimiento y la lectura de los planes de ejecución.</w:t>
      </w:r>
    </w:p>
    <w:p>
      <w:pPr>
        <w:pStyle w:val="Heading3"/>
        <w:spacing w:after="120" w:before="240"/>
      </w:pPr>
      <w:r>
        <w:t xml:space="preserve">7.6 Reglas de negocio</w:t>
      </w:r>
    </w:p>
    <w:p>
      <w:pPr>
        <w:pStyle w:val="ListParagraph"/>
        <w:numPr>
          <w:ilvl w:val="0"/>
          <w:numId w:val="2"/>
        </w:numPr>
        <w:spacing w:after="100" w:line="276"/>
      </w:pPr>
      <w:r>
        <w:rPr>
          <w:sz w:val="21"/>
          <w:szCs w:val="21"/>
        </w:rPr>
        <w:t xml:space="preserve">Migrar la lógica de negocio actualmente en procedimientos almacenados (actualización de stock, anulación de órdenes de trabajo) hacia la capa de Aplicación del nuevo backend, dejando en la base de datos únicamente integridad declarativa (constraints) y, cuando sea estrictamente necesario por rendimiento, procedimientos de sólo lectura para reportes.</w:t>
      </w:r>
    </w:p>
    <w:p>
      <w:pPr>
        <w:pStyle w:val="Heading3"/>
        <w:spacing w:after="120" w:before="240"/>
      </w:pPr>
      <w:r>
        <w:t xml:space="preserve">7.7 Multi-sucursal y crecimiento futuro</w:t>
      </w:r>
    </w:p>
    <w:p>
      <w:pPr>
        <w:spacing w:after="160" w:line="276"/>
      </w:pPr>
      <w:r>
        <w:rPr>
          <w:sz w:val="21"/>
          <w:szCs w:val="21"/>
        </w:rPr>
        <w:t xml:space="preserve">El modelo legado ya contempla múltiples sucursales y empresas (OPT_Sucursal, OPT_Empresa, tablas de asignación usuario-sucursal), lo que es una buena base conceptual a preservar. Si en el futuro el negocio evoluciona hacia atender más de una óptica/cliente institucional como entidades completamente aisladas entre sí (modelo multi-cliente), esa decisión debe tomarse explícitamente al diseñar el nuevo esquema, ya que cambia el diseño de aislamiento de datos en cada tabla; no se asume aquí por no haber sido solicitada, pero se deja como pregunta abierta en la sección 9.</w:t>
      </w:r>
    </w:p>
    <w:p>
      <w:pPr>
        <w:pStyle w:val="Heading1"/>
        <w:spacing w:after="200" w:before="400"/>
      </w:pPr>
      <w:r>
        <w:t xml:space="preserve">8. Plan de migración por fases</w:t>
      </w:r>
    </w:p>
    <w:p>
      <w:pPr>
        <w:spacing w:after="160" w:line="276"/>
      </w:pPr>
      <w:r>
        <w:rPr>
          <w:sz w:val="21"/>
          <w:szCs w:val="21"/>
        </w:rPr>
        <w:t xml:space="preserve">Se propone un enfoque incremental, evitando un "big bang" que reescriba todo el sistema antes de mostrar valor: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700"/>
      </w:tblGrid>
      <w:tr>
        <w:trPr>
          <w:tblHeader/>
        </w:trPr>
        <w:tc>
          <w:tcPr>
            <w:tcW w:type="dxa" w:w="1900"/>
            <w:shd w:fill="0D1B3D" w:val="clear"/>
            <w:tcMar>
              <w:top w:type="dxa" w:w="80"/>
              <w:left w:type="dxa" w:w="100"/>
              <w:bottom w:type="dxa" w:w="80"/>
              <w:right w:type="dxa" w:w="100"/>
            </w:tcMar>
          </w:tcPr>
          <w:p>
            <w:pPr>
              <w:jc w:val="left"/>
            </w:pPr>
            <w:r>
              <w:rPr>
                <w:b/>
                <w:bCs/>
                <w:color w:val="FFFFFF"/>
                <w:sz w:val="19"/>
                <w:szCs w:val="19"/>
              </w:rPr>
              <w:t xml:space="preserve">Fase</w:t>
            </w:r>
          </w:p>
        </w:tc>
        <w:tc>
          <w:tcPr>
            <w:tcW w:type="dxa" w:w="4400"/>
            <w:shd w:fill="0D1B3D" w:val="clear"/>
            <w:tcMar>
              <w:top w:type="dxa" w:w="80"/>
              <w:left w:type="dxa" w:w="100"/>
              <w:bottom w:type="dxa" w:w="80"/>
              <w:right w:type="dxa" w:w="100"/>
            </w:tcMar>
          </w:tcPr>
          <w:p>
            <w:pPr>
              <w:jc w:val="left"/>
            </w:pPr>
            <w:r>
              <w:rPr>
                <w:b/>
                <w:bCs/>
                <w:color w:val="FFFFFF"/>
                <w:sz w:val="19"/>
                <w:szCs w:val="19"/>
              </w:rPr>
              <w:t xml:space="preserve">Objetivo</w:t>
            </w:r>
          </w:p>
        </w:tc>
        <w:tc>
          <w:tcPr>
            <w:tcW w:type="dxa" w:w="3700"/>
            <w:shd w:fill="0D1B3D" w:val="clear"/>
            <w:tcMar>
              <w:top w:type="dxa" w:w="80"/>
              <w:left w:type="dxa" w:w="100"/>
              <w:bottom w:type="dxa" w:w="80"/>
              <w:right w:type="dxa" w:w="100"/>
            </w:tcMar>
          </w:tcPr>
          <w:p>
            <w:pPr>
              <w:jc w:val="left"/>
            </w:pPr>
            <w:r>
              <w:rPr>
                <w:b/>
                <w:bCs/>
                <w:color w:val="FFFFFF"/>
                <w:sz w:val="19"/>
                <w:szCs w:val="19"/>
              </w:rPr>
              <w:t xml:space="preserve">Resultado esperado</w:t>
            </w:r>
          </w:p>
        </w:tc>
      </w:tr>
      <w:tr>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0. Fundaciones</w:t>
            </w:r>
          </w:p>
        </w:tc>
        <w:tc>
          <w:tcPr>
            <w:tcW w:type="dxa" w:w="4400"/>
            <w:shd w:fill="FFFFFF" w:val="clear"/>
            <w:tcMar>
              <w:top w:type="dxa" w:w="80"/>
              <w:left w:type="dxa" w:w="100"/>
              <w:bottom w:type="dxa" w:w="80"/>
              <w:right w:type="dxa" w:w="100"/>
            </w:tcMar>
          </w:tcPr>
          <w:p>
            <w:pPr>
              <w:jc w:val="left"/>
            </w:pPr>
            <w:r>
              <w:rPr>
                <w:b w:val="false"/>
                <w:bCs w:val="false"/>
                <w:color w:val="000000"/>
                <w:sz w:val="19"/>
                <w:szCs w:val="19"/>
              </w:rPr>
              <w:t xml:space="preserve">Definir arquitectura de solución (capas), convenciones de código, entornos, pipeline de build/pruebas y esqueleto de autenticación (JWT).</w:t>
            </w:r>
          </w:p>
        </w:tc>
        <w:tc>
          <w:tcPr>
            <w:tcW w:type="dxa" w:w="3700"/>
            <w:shd w:fill="FFFFFF" w:val="clear"/>
            <w:tcMar>
              <w:top w:type="dxa" w:w="80"/>
              <w:left w:type="dxa" w:w="100"/>
              <w:bottom w:type="dxa" w:w="80"/>
              <w:right w:type="dxa" w:w="100"/>
            </w:tcMar>
          </w:tcPr>
          <w:p>
            <w:pPr>
              <w:jc w:val="left"/>
            </w:pPr>
            <w:r>
              <w:rPr>
                <w:b w:val="false"/>
                <w:bCs w:val="false"/>
                <w:color w:val="000000"/>
                <w:sz w:val="19"/>
                <w:szCs w:val="19"/>
              </w:rPr>
              <w:t xml:space="preserve">Backend y frontend vacíos pero desplegables, con login funcionando end-to-end.</w:t>
            </w:r>
          </w:p>
        </w:tc>
      </w:tr>
      <w:tr>
        <w:tc>
          <w:tcPr>
            <w:tcW w:type="dxa" w:w="1900"/>
            <w:shd w:fill="F3F6FA" w:val="clear"/>
            <w:tcMar>
              <w:top w:type="dxa" w:w="80"/>
              <w:left w:type="dxa" w:w="100"/>
              <w:bottom w:type="dxa" w:w="80"/>
              <w:right w:type="dxa" w:w="100"/>
            </w:tcMar>
          </w:tcPr>
          <w:p>
            <w:pPr>
              <w:jc w:val="left"/>
            </w:pPr>
            <w:r>
              <w:rPr>
                <w:b w:val="false"/>
                <w:bCs w:val="false"/>
                <w:color w:val="000000"/>
                <w:sz w:val="19"/>
                <w:szCs w:val="19"/>
              </w:rPr>
              <w:t xml:space="preserve">1. Catálogos y maestros</w:t>
            </w:r>
          </w:p>
        </w:tc>
        <w:tc>
          <w:tcPr>
            <w:tcW w:type="dxa" w:w="4400"/>
            <w:shd w:fill="F3F6FA" w:val="clear"/>
            <w:tcMar>
              <w:top w:type="dxa" w:w="80"/>
              <w:left w:type="dxa" w:w="100"/>
              <w:bottom w:type="dxa" w:w="80"/>
              <w:right w:type="dxa" w:w="100"/>
            </w:tcMar>
          </w:tcPr>
          <w:p>
            <w:pPr>
              <w:jc w:val="left"/>
            </w:pPr>
            <w:r>
              <w:rPr>
                <w:b w:val="false"/>
                <w:bCs w:val="false"/>
                <w:color w:val="000000"/>
                <w:sz w:val="19"/>
                <w:szCs w:val="19"/>
              </w:rPr>
              <w:t xml:space="preserve">Migrar entidades simples y de bajo riesgo: región/comuna, sucursales, empresas, roles, usuarios.</w:t>
            </w:r>
          </w:p>
        </w:tc>
        <w:tc>
          <w:tcPr>
            <w:tcW w:type="dxa" w:w="3700"/>
            <w:shd w:fill="F3F6FA" w:val="clear"/>
            <w:tcMar>
              <w:top w:type="dxa" w:w="80"/>
              <w:left w:type="dxa" w:w="100"/>
              <w:bottom w:type="dxa" w:w="80"/>
              <w:right w:type="dxa" w:w="100"/>
            </w:tcMar>
          </w:tcPr>
          <w:p>
            <w:pPr>
              <w:jc w:val="left"/>
            </w:pPr>
            <w:r>
              <w:rPr>
                <w:b w:val="false"/>
                <w:bCs w:val="false"/>
                <w:color w:val="000000"/>
                <w:sz w:val="19"/>
                <w:szCs w:val="19"/>
              </w:rPr>
              <w:t xml:space="preserve">Módulos de administración básica operativos; primer módulo de referencia para el resto del equipo.</w:t>
            </w:r>
          </w:p>
        </w:tc>
      </w:tr>
      <w:tr>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2. Clientes y ficha clínica</w:t>
            </w:r>
          </w:p>
        </w:tc>
        <w:tc>
          <w:tcPr>
            <w:tcW w:type="dxa" w:w="4400"/>
            <w:shd w:fill="FFFFFF" w:val="clear"/>
            <w:tcMar>
              <w:top w:type="dxa" w:w="80"/>
              <w:left w:type="dxa" w:w="100"/>
              <w:bottom w:type="dxa" w:w="80"/>
              <w:right w:type="dxa" w:w="100"/>
            </w:tcMar>
          </w:tcPr>
          <w:p>
            <w:pPr>
              <w:jc w:val="left"/>
            </w:pPr>
            <w:r>
              <w:rPr>
                <w:b w:val="false"/>
                <w:bCs w:val="false"/>
                <w:color w:val="000000"/>
                <w:sz w:val="19"/>
                <w:szCs w:val="19"/>
              </w:rPr>
              <w:t xml:space="preserve">Migrar clientes, anamnesis, atención y receta de cristales.</w:t>
            </w:r>
          </w:p>
        </w:tc>
        <w:tc>
          <w:tcPr>
            <w:tcW w:type="dxa" w:w="3700"/>
            <w:shd w:fill="FFFFFF" w:val="clear"/>
            <w:tcMar>
              <w:top w:type="dxa" w:w="80"/>
              <w:left w:type="dxa" w:w="100"/>
              <w:bottom w:type="dxa" w:w="80"/>
              <w:right w:type="dxa" w:w="100"/>
            </w:tcMar>
          </w:tcPr>
          <w:p>
            <w:pPr>
              <w:jc w:val="left"/>
            </w:pPr>
            <w:r>
              <w:rPr>
                <w:b w:val="false"/>
                <w:bCs w:val="false"/>
                <w:color w:val="000000"/>
                <w:sz w:val="19"/>
                <w:szCs w:val="19"/>
              </w:rPr>
              <w:t xml:space="preserve">Flujo clínico completo disponible en el nuevo sistema.</w:t>
            </w:r>
          </w:p>
        </w:tc>
      </w:tr>
      <w:tr>
        <w:tc>
          <w:tcPr>
            <w:tcW w:type="dxa" w:w="1900"/>
            <w:shd w:fill="F3F6FA" w:val="clear"/>
            <w:tcMar>
              <w:top w:type="dxa" w:w="80"/>
              <w:left w:type="dxa" w:w="100"/>
              <w:bottom w:type="dxa" w:w="80"/>
              <w:right w:type="dxa" w:w="100"/>
            </w:tcMar>
          </w:tcPr>
          <w:p>
            <w:pPr>
              <w:jc w:val="left"/>
            </w:pPr>
            <w:r>
              <w:rPr>
                <w:b w:val="false"/>
                <w:bCs w:val="false"/>
                <w:color w:val="000000"/>
                <w:sz w:val="19"/>
                <w:szCs w:val="19"/>
              </w:rPr>
              <w:t xml:space="preserve">3. Núcleo comercial</w:t>
            </w:r>
          </w:p>
        </w:tc>
        <w:tc>
          <w:tcPr>
            <w:tcW w:type="dxa" w:w="4400"/>
            <w:shd w:fill="F3F6FA" w:val="clear"/>
            <w:tcMar>
              <w:top w:type="dxa" w:w="80"/>
              <w:left w:type="dxa" w:w="100"/>
              <w:bottom w:type="dxa" w:w="80"/>
              <w:right w:type="dxa" w:w="100"/>
            </w:tcMar>
          </w:tcPr>
          <w:p>
            <w:pPr>
              <w:jc w:val="left"/>
            </w:pPr>
            <w:r>
              <w:rPr>
                <w:b w:val="false"/>
                <w:bCs w:val="false"/>
                <w:color w:val="000000"/>
                <w:sz w:val="19"/>
                <w:szCs w:val="19"/>
              </w:rPr>
              <w:t xml:space="preserve">Migrar orden de trabajo, pagos, abonos, cuotas y su flujo de estados.</w:t>
            </w:r>
          </w:p>
        </w:tc>
        <w:tc>
          <w:tcPr>
            <w:tcW w:type="dxa" w:w="3700"/>
            <w:shd w:fill="F3F6FA" w:val="clear"/>
            <w:tcMar>
              <w:top w:type="dxa" w:w="80"/>
              <w:left w:type="dxa" w:w="100"/>
              <w:bottom w:type="dxa" w:w="80"/>
              <w:right w:type="dxa" w:w="100"/>
            </w:tcMar>
          </w:tcPr>
          <w:p>
            <w:pPr>
              <w:jc w:val="left"/>
            </w:pPr>
            <w:r>
              <w:rPr>
                <w:b w:val="false"/>
                <w:bCs w:val="false"/>
                <w:color w:val="000000"/>
                <w:sz w:val="19"/>
                <w:szCs w:val="19"/>
              </w:rPr>
              <w:t xml:space="preserve">El proceso de negocio principal (venta y seguimiento de una orden de trabajo) queda cubierto.</w:t>
            </w:r>
          </w:p>
        </w:tc>
      </w:tr>
      <w:tr>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4. Inventario</w:t>
            </w:r>
          </w:p>
        </w:tc>
        <w:tc>
          <w:tcPr>
            <w:tcW w:type="dxa" w:w="4400"/>
            <w:shd w:fill="FFFFFF" w:val="clear"/>
            <w:tcMar>
              <w:top w:type="dxa" w:w="80"/>
              <w:left w:type="dxa" w:w="100"/>
              <w:bottom w:type="dxa" w:w="80"/>
              <w:right w:type="dxa" w:w="100"/>
            </w:tcMar>
          </w:tcPr>
          <w:p>
            <w:pPr>
              <w:jc w:val="left"/>
            </w:pPr>
            <w:r>
              <w:rPr>
                <w:b w:val="false"/>
                <w:bCs w:val="false"/>
                <w:color w:val="000000"/>
                <w:sz w:val="19"/>
                <w:szCs w:val="19"/>
              </w:rPr>
              <w:t xml:space="preserve">Migrar productos, stock por sucursal, movimientos de ingreso/egreso y traslados entre sucursales.</w:t>
            </w:r>
          </w:p>
        </w:tc>
        <w:tc>
          <w:tcPr>
            <w:tcW w:type="dxa" w:w="3700"/>
            <w:shd w:fill="FFFFFF" w:val="clear"/>
            <w:tcMar>
              <w:top w:type="dxa" w:w="80"/>
              <w:left w:type="dxa" w:w="100"/>
              <w:bottom w:type="dxa" w:w="80"/>
              <w:right w:type="dxa" w:w="100"/>
            </w:tcMar>
          </w:tcPr>
          <w:p>
            <w:pPr>
              <w:jc w:val="left"/>
            </w:pPr>
            <w:r>
              <w:rPr>
                <w:b w:val="false"/>
                <w:bCs w:val="false"/>
                <w:color w:val="000000"/>
                <w:sz w:val="19"/>
                <w:szCs w:val="19"/>
              </w:rPr>
              <w:t xml:space="preserve">Control de inventario disponible en el nuevo sistema.</w:t>
            </w:r>
          </w:p>
        </w:tc>
      </w:tr>
      <w:tr>
        <w:tc>
          <w:tcPr>
            <w:tcW w:type="dxa" w:w="1900"/>
            <w:shd w:fill="F3F6FA" w:val="clear"/>
            <w:tcMar>
              <w:top w:type="dxa" w:w="80"/>
              <w:left w:type="dxa" w:w="100"/>
              <w:bottom w:type="dxa" w:w="80"/>
              <w:right w:type="dxa" w:w="100"/>
            </w:tcMar>
          </w:tcPr>
          <w:p>
            <w:pPr>
              <w:jc w:val="left"/>
            </w:pPr>
            <w:r>
              <w:rPr>
                <w:b w:val="false"/>
                <w:bCs w:val="false"/>
                <w:color w:val="000000"/>
                <w:sz w:val="19"/>
                <w:szCs w:val="19"/>
              </w:rPr>
              <w:t xml:space="preserve">5. Reportes e integraciones</w:t>
            </w:r>
          </w:p>
        </w:tc>
        <w:tc>
          <w:tcPr>
            <w:tcW w:type="dxa" w:w="4400"/>
            <w:shd w:fill="F3F6FA" w:val="clear"/>
            <w:tcMar>
              <w:top w:type="dxa" w:w="80"/>
              <w:left w:type="dxa" w:w="100"/>
              <w:bottom w:type="dxa" w:w="80"/>
              <w:right w:type="dxa" w:w="100"/>
            </w:tcMar>
          </w:tcPr>
          <w:p>
            <w:pPr>
              <w:jc w:val="left"/>
            </w:pPr>
            <w:r>
              <w:rPr>
                <w:b w:val="false"/>
                <w:bCs w:val="false"/>
                <w:color w:val="000000"/>
                <w:sz w:val="19"/>
                <w:szCs w:val="19"/>
              </w:rPr>
              <w:t xml:space="preserve">Reconstruir los reportes actualmente en ReportViewer/RDLC y la integración con Defontana con manejo seguro de credenciales.</w:t>
            </w:r>
          </w:p>
        </w:tc>
        <w:tc>
          <w:tcPr>
            <w:tcW w:type="dxa" w:w="3700"/>
            <w:shd w:fill="F3F6FA" w:val="clear"/>
            <w:tcMar>
              <w:top w:type="dxa" w:w="80"/>
              <w:left w:type="dxa" w:w="100"/>
              <w:bottom w:type="dxa" w:w="80"/>
              <w:right w:type="dxa" w:w="100"/>
            </w:tcMar>
          </w:tcPr>
          <w:p>
            <w:pPr>
              <w:jc w:val="left"/>
            </w:pPr>
            <w:r>
              <w:rPr>
                <w:b w:val="false"/>
                <w:bCs w:val="false"/>
                <w:color w:val="000000"/>
                <w:sz w:val="19"/>
                <w:szCs w:val="19"/>
              </w:rPr>
              <w:t xml:space="preserve">Paridad funcional de reportes; integración contable operando sobre el nuevo esquema de seguridad.</w:t>
            </w:r>
          </w:p>
        </w:tc>
      </w:tr>
      <w:tr>
        <w:tc>
          <w:tcPr>
            <w:tcW w:type="dxa" w:w="1900"/>
            <w:shd w:fill="FFFFFF" w:val="clear"/>
            <w:tcMar>
              <w:top w:type="dxa" w:w="80"/>
              <w:left w:type="dxa" w:w="100"/>
              <w:bottom w:type="dxa" w:w="80"/>
              <w:right w:type="dxa" w:w="100"/>
            </w:tcMar>
          </w:tcPr>
          <w:p>
            <w:pPr>
              <w:jc w:val="left"/>
            </w:pPr>
            <w:r>
              <w:rPr>
                <w:b w:val="false"/>
                <w:bCs w:val="false"/>
                <w:color w:val="000000"/>
                <w:sz w:val="19"/>
                <w:szCs w:val="19"/>
              </w:rPr>
              <w:t xml:space="preserve">6. Migración de datos y corte</w:t>
            </w:r>
          </w:p>
        </w:tc>
        <w:tc>
          <w:tcPr>
            <w:tcW w:type="dxa" w:w="4400"/>
            <w:shd w:fill="FFFFFF" w:val="clear"/>
            <w:tcMar>
              <w:top w:type="dxa" w:w="80"/>
              <w:left w:type="dxa" w:w="100"/>
              <w:bottom w:type="dxa" w:w="80"/>
              <w:right w:type="dxa" w:w="100"/>
            </w:tcMar>
          </w:tcPr>
          <w:p>
            <w:pPr>
              <w:jc w:val="left"/>
            </w:pPr>
            <w:r>
              <w:rPr>
                <w:b w:val="false"/>
                <w:bCs w:val="false"/>
                <w:color w:val="000000"/>
                <w:sz w:val="19"/>
                <w:szCs w:val="19"/>
              </w:rPr>
              <w:t xml:space="preserve">Migrar los datos históricos de db_a25cfd_opt2 al nuevo esquema, con reconciliación y periodo de convivencia si es necesario.</w:t>
            </w:r>
          </w:p>
        </w:tc>
        <w:tc>
          <w:tcPr>
            <w:tcW w:type="dxa" w:w="3700"/>
            <w:shd w:fill="FFFFFF" w:val="clear"/>
            <w:tcMar>
              <w:top w:type="dxa" w:w="80"/>
              <w:left w:type="dxa" w:w="100"/>
              <w:bottom w:type="dxa" w:w="80"/>
              <w:right w:type="dxa" w:w="100"/>
            </w:tcMar>
          </w:tcPr>
          <w:p>
            <w:pPr>
              <w:jc w:val="left"/>
            </w:pPr>
            <w:r>
              <w:rPr>
                <w:b w:val="false"/>
                <w:bCs w:val="false"/>
                <w:color w:val="000000"/>
                <w:sz w:val="19"/>
                <w:szCs w:val="19"/>
              </w:rPr>
              <w:t xml:space="preserve">Sistema legado retirado de producción; old/ queda como referencia histórica.</w:t>
            </w:r>
          </w:p>
        </w:tc>
      </w:tr>
    </w:tbl>
    <w:p>
      <w:pPr>
        <w:spacing w:after="160"/>
      </w:pPr>
    </w:p>
    <w:p>
      <w:pPr>
        <w:spacing w:after="160" w:line="276"/>
      </w:pPr>
      <w:r>
        <w:rPr>
          <w:sz w:val="21"/>
          <w:szCs w:val="21"/>
        </w:rPr>
        <w:t xml:space="preserve">Cada fase debe cerrar con el sistema nuevo en un estado usable (aunque parcial), y no con código a medio terminar: esto permite validar con usuarios reales antes de continuar y reduce el riesgo de descubrir errores de interpretación de reglas de negocio tarde en el proyecto.</w:t>
      </w:r>
    </w:p>
    <w:p>
      <w:pPr>
        <w:pStyle w:val="Heading1"/>
        <w:spacing w:after="200" w:before="400"/>
      </w:pPr>
      <w:r>
        <w:t xml:space="preserve">9. Riesgos y preguntas abiertas</w:t>
      </w:r>
    </w:p>
    <w:p>
      <w:pPr>
        <w:pStyle w:val="ListParagraph"/>
        <w:numPr>
          <w:ilvl w:val="0"/>
          <w:numId w:val="2"/>
        </w:numPr>
        <w:spacing w:after="100" w:line="276"/>
      </w:pPr>
      <w:r>
        <w:rPr>
          <w:sz w:val="21"/>
          <w:szCs w:val="21"/>
        </w:rPr>
        <w:t xml:space="preserve">¿Existen otros consumidores del sistema legado (integraciones, exportaciones, otros sistemas) además de la propia aplicación web, que dependan directamente del esquema actual de la base de datos?</w:t>
      </w:r>
    </w:p>
    <w:p>
      <w:pPr>
        <w:pStyle w:val="ListParagraph"/>
        <w:numPr>
          <w:ilvl w:val="0"/>
          <w:numId w:val="2"/>
        </w:numPr>
        <w:spacing w:after="100" w:line="276"/>
      </w:pPr>
      <w:r>
        <w:rPr>
          <w:sz w:val="21"/>
          <w:szCs w:val="21"/>
        </w:rPr>
        <w:t xml:space="preserve">¿La integración con Defontana debe mantenerse con el mismo proveedor y forma de autenticación, o es un buen momento para revisar si ofrece una alternativa más segura (OAuth, API keys rotables) que la actual (usuario/clave persistidos)?</w:t>
      </w:r>
    </w:p>
    <w:p>
      <w:pPr>
        <w:pStyle w:val="ListParagraph"/>
        <w:numPr>
          <w:ilvl w:val="0"/>
          <w:numId w:val="2"/>
        </w:numPr>
        <w:spacing w:after="100" w:line="276"/>
      </w:pPr>
      <w:r>
        <w:rPr>
          <w:sz w:val="21"/>
          <w:szCs w:val="21"/>
        </w:rPr>
        <w:t xml:space="preserve">¿Se necesita mantener acceso simultáneo al sistema legado y al nuevo durante la migración por fases (convivencia), o se planifica un corte único al final de cada fase por módulo?</w:t>
      </w:r>
    </w:p>
    <w:p>
      <w:pPr>
        <w:pStyle w:val="ListParagraph"/>
        <w:numPr>
          <w:ilvl w:val="0"/>
          <w:numId w:val="2"/>
        </w:numPr>
        <w:spacing w:after="100" w:line="276"/>
      </w:pPr>
      <w:r>
        <w:rPr>
          <w:sz w:val="21"/>
          <w:szCs w:val="21"/>
        </w:rPr>
        <w:t xml:space="preserve">¿El crecimiento del negocio contempla atender más de una óptica/cliente institucional de forma aislada (modelo multi-tenant), lo que cambiaría el diseño de aislamiento de datos del nuevo esquema (ver 7.7)?</w:t>
      </w:r>
    </w:p>
    <w:p>
      <w:pPr>
        <w:pStyle w:val="ListParagraph"/>
        <w:numPr>
          <w:ilvl w:val="0"/>
          <w:numId w:val="2"/>
        </w:numPr>
        <w:spacing w:after="100" w:line="276"/>
      </w:pPr>
      <w:r>
        <w:rPr>
          <w:sz w:val="21"/>
          <w:szCs w:val="21"/>
        </w:rPr>
        <w:t xml:space="preserve">¿Cuál es el volumen actual de datos (número de clientes, órdenes de trabajo, período histórico a conservar) para dimensionar correctamente el proceso de migración de datos de la fase 6?</w:t>
      </w:r>
    </w:p>
    <w:p>
      <w:pPr>
        <w:pStyle w:val="ListParagraph"/>
        <w:numPr>
          <w:ilvl w:val="0"/>
          <w:numId w:val="2"/>
        </w:numPr>
        <w:spacing w:after="100" w:line="276"/>
      </w:pPr>
      <w:r>
        <w:rPr>
          <w:sz w:val="21"/>
          <w:szCs w:val="21"/>
        </w:rPr>
        <w:t xml:space="preserve">¿Existen restricciones de infraestructura ya definidas (proveedor de hosting, política de licenciamiento, requisitos de cumplimiento normativo) que condicionen la elección entre Blazor Server (requiere conexión persistente) y Blazor WebAssembly o Angular (ambos SPA sin esa dependencia)?</w:t>
      </w:r>
    </w:p>
    <w:p>
      <w:pPr>
        <w:pStyle w:val="Heading1"/>
        <w:spacing w:after="200" w:before="400"/>
      </w:pPr>
      <w:r>
        <w:t xml:space="preserve">10. Próximos pasos</w:t>
      </w:r>
    </w:p>
    <w:p>
      <w:pPr>
        <w:pStyle w:val="ListParagraph"/>
        <w:numPr>
          <w:ilvl w:val="0"/>
          <w:numId w:val="2"/>
        </w:numPr>
        <w:spacing w:after="100" w:line="276"/>
      </w:pPr>
      <w:r>
        <w:rPr>
          <w:sz w:val="21"/>
          <w:szCs w:val="21"/>
        </w:rPr>
        <w:t xml:space="preserve">Validar con el equipo y el negocio los hallazgos de las secciones 3 y 4, en particular las prioridades de seguridad (contraseñas y credenciales en texto plano), que se recomienda tratar como bloqueantes antes de cualquier otro trabajo.</w:t>
      </w:r>
    </w:p>
    <w:p>
      <w:pPr>
        <w:pStyle w:val="ListParagraph"/>
        <w:numPr>
          <w:ilvl w:val="0"/>
          <w:numId w:val="2"/>
        </w:numPr>
        <w:spacing w:after="100" w:line="276"/>
      </w:pPr>
      <w:r>
        <w:rPr>
          <w:sz w:val="21"/>
          <w:szCs w:val="21"/>
        </w:rPr>
        <w:t xml:space="preserve">Resolver la decisión Angular vs. Blazor (sección 6.2) en función del perfil real del equipo de desarrollo disponible.</w:t>
      </w:r>
    </w:p>
    <w:p>
      <w:pPr>
        <w:pStyle w:val="ListParagraph"/>
        <w:numPr>
          <w:ilvl w:val="0"/>
          <w:numId w:val="2"/>
        </w:numPr>
        <w:spacing w:after="100" w:line="276"/>
      </w:pPr>
      <w:r>
        <w:rPr>
          <w:sz w:val="21"/>
          <w:szCs w:val="21"/>
        </w:rPr>
        <w:t xml:space="preserve">Acordar el detalle de la Fase 0 (fundaciones) como primer entregable técnico, incluyendo el esqueleto de arquitectura en capas y el pipeline de build/pruebas.</w:t>
      </w:r>
    </w:p>
    <w:p>
      <w:pPr>
        <w:pStyle w:val="ListParagraph"/>
        <w:numPr>
          <w:ilvl w:val="0"/>
          <w:numId w:val="2"/>
        </w:numPr>
        <w:spacing w:after="100" w:line="276"/>
      </w:pPr>
      <w:r>
        <w:rPr>
          <w:sz w:val="21"/>
          <w:szCs w:val="21"/>
        </w:rPr>
        <w:t xml:space="preserve">Responder las preguntas abiertas de la sección 9, ya que varias condicionan decisiones de diseño de la base de datos que son costosas de revertir una vez iniciado el desarrollo.</w:t>
      </w:r>
    </w:p>
    <w:p>
      <w:pPr>
        <w:spacing w:after="300"/>
      </w:pPr>
    </w:p>
    <w:p>
      <w:pPr>
        <w:spacing w:after="160" w:line="276"/>
      </w:pPr>
      <w:r>
        <w:rPr>
          <w:i/>
          <w:iCs/>
          <w:color w:val="666666"/>
          <w:sz w:val="21"/>
          <w:szCs w:val="21"/>
        </w:rPr>
        <w:t xml:space="preserve">Fin del documento. Cualquier duda sobre este análisis o sobre las recomendaciones puede plantearse para profundizar en el detalle correspondiente antes de iniciar el desarrollo.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OPT — Propuesta de Arquitectura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00"/>
      <w:outlineLvl w:val="0"/>
    </w:pPr>
    <w:rPr>
      <w:rFonts w:ascii="Calibri" w:cs="Calibri" w:eastAsia="Calibri" w:hAnsi="Calibri"/>
      <w:b/>
      <w:bCs/>
      <w:color w:val="0D1B3D"/>
      <w:sz w:val="30"/>
      <w:szCs w:val="30"/>
    </w:rPr>
  </w:style>
  <w:style w:type="paragraph" w:styleId="Heading2">
    <w:name w:val="Heading 2"/>
    <w:basedOn w:val="Normal"/>
    <w:next w:val="Normal"/>
    <w:qFormat/>
    <w:pPr>
      <w:keepNext/>
      <w:spacing w:after="150" w:before="300"/>
      <w:outlineLvl w:val="1"/>
    </w:pPr>
    <w:rPr>
      <w:rFonts w:ascii="Calibri" w:cs="Calibri" w:eastAsia="Calibri" w:hAnsi="Calibri"/>
      <w:b/>
      <w:bCs/>
      <w:color w:val="2563EB"/>
      <w:sz w:val="25"/>
      <w:szCs w:val="25"/>
    </w:rPr>
  </w:style>
  <w:style w:type="paragraph" w:styleId="Heading3">
    <w:name w:val="Heading 3"/>
    <w:basedOn w:val="Normal"/>
    <w:next w:val="Normal"/>
    <w:qFormat/>
    <w:pPr>
      <w:keepNext/>
      <w:spacing w:after="120" w:before="240"/>
      <w:outlineLvl w:val="2"/>
    </w:pPr>
    <w:rPr>
      <w:rFonts w:ascii="Calibri" w:cs="Calibri" w:eastAsia="Calibri" w:hAnsi="Calibri"/>
      <w:b/>
      <w:bCs/>
      <w:color w:val="0D1B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2026-08-19T19:15:21.209Z</dcterms:created>
  <dcterms:modified xsi:type="dcterms:W3CDTF">2026-08-19T19:15:21.219Z</dcterms:modified>
</cp:coreProperties>
</file>

<file path=docProps/custom.xml><?xml version="1.0" encoding="utf-8"?>
<Properties xmlns="http://schemas.openxmlformats.org/officeDocument/2006/custom-properties" xmlns:vt="http://schemas.openxmlformats.org/officeDocument/2006/docPropsVTypes"/>
</file>