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0"/>
          <w:szCs w:val="40"/>
        </w:rPr>
        <w:t xml:space="preserve">OPT — Módulo de Cobranza</w:t>
      </w:r>
    </w:p>
    <w:p>
      <w:pPr>
        <w:spacing w:after="40"/>
      </w:pPr>
      <w:r>
        <w:rPr>
          <w:color w:val="2E86AB"/>
          <w:sz w:val="26"/>
          <w:szCs w:val="26"/>
        </w:rPr>
        <w:t xml:space="preserve">Diagnóstico del proceso actual y propuesta funcional</w:t>
      </w:r>
    </w:p>
    <w:p>
      <w:pPr>
        <w:spacing w:after="320"/>
      </w:pPr>
      <w:r>
        <w:rPr>
          <w:i/>
          <w:iCs/>
          <w:color w:val="555555"/>
          <w:sz w:val="20"/>
          <w:szCs w:val="20"/>
        </w:rPr>
        <w:t xml:space="preserve">Preparado a partir del código del sistema legacy, del scaffold en curso del sistema nuevo (.NET 8), y de 3 planillas reales de trabajo de Cobranza: el Listado de Cuotas que imprime el sistema, y los Excel de seguimiento de los convenios NEXUS Santiago Centro y MELERO Operativo. Septiembre 2026.</w:t>
      </w:r>
    </w:p>
    <w:p>
      <w:pPr>
        <w:pStyle w:val="Heading1"/>
        <w:spacing w:after="160" w:before="360"/>
      </w:pPr>
      <w:r>
        <w:rPr>
          <w:b/>
          <w:bCs/>
          <w:color w:val="1F4E5F"/>
        </w:rPr>
        <w:t xml:space="preserve">1. Resumen ejecutivo</w:t>
      </w:r>
    </w:p>
    <w:p>
      <w:pPr>
        <w:spacing w:after="160" w:line="300"/>
      </w:pPr>
      <w:r>
        <w:t xml:space="preserve">El módulo “Deudores” del sistema legacy no se usa porque nunca resolvió el problema real de Cobranza: es de solo lectura, y el mecanismo que debería permitir pagar una cuota individual (la tabla OPT_Cuota) nunca quedó conectado a ninguna pantalla. Se revisó el código completo del área OrdenTrabajo y no existe una sola acción, en ningún controlador o vista, que actualice el estado de una cuota. El sistema genera el plan de cuotas al crear la orden y ahí se detiene: queda escrito una vez y nunca se vuelve a tocar.</w:t>
      </w:r>
    </w:p>
    <w:p>
      <w:pPr>
        <w:spacing w:after="160" w:line="300"/>
      </w:pPr>
      <w:r>
        <w:t xml:space="preserve">Cobranza resolvió esto por su cuenta, en Excel, y lo resolvió bien: imprime el reporte “Listado Cuotas” por convenio (empresa) y rango de fecha, y sobre esa base construye a mano exactamente lo que al sistema le falta: estado de pago por cuota (en verde), fecha real de cobro, número de boleta de la cuota inicial, comentarios de gestión, y una sección aparte para los trabajadores desvinculados de la empresa, con su teléfono y el resultado del cobro telefónico (pago total, pago parcial o pérdida). Esto se confirma línea por línea en los 2 Excel de convenio revisados.</w:t>
      </w:r>
    </w:p>
    <w:p>
      <w:pPr>
        <w:spacing w:after="160" w:line="300"/>
      </w:pPr>
      <w:r>
        <w:t xml:space="preserve">El sistema nuevo, en construcción sobre .NET 8, ya resolvió a nivel de dominio — aunque todavía sin pantalla — la mitad de fondo del problema: el ciclo de vida de la cuota ahora sí se cierra (PENDIENTE → PAGADA/ANULADA) y un pago se imputa automáticamente a las cuotas pendientes más antiguas. No hay que reconstruir el motor de cuotas desde cero. Lo que falta es la capa de trabajo diario: la vista pivotada por convenio, el pago de cuota en línea, la boleta por cuota, la gestión de desvinculados y un tratamiento explícito para el pago parcial — que hoy no cierra ninguna cuota.</w:t>
      </w:r>
    </w:p>
    <w:p>
      <w:pPr>
        <w:pStyle w:val="Heading1"/>
        <w:spacing w:after="160" w:before="360"/>
      </w:pPr>
      <w:r>
        <w:rPr>
          <w:b/>
          <w:bCs/>
          <w:color w:val="1F4E5F"/>
        </w:rPr>
        <w:t xml:space="preserve">2. Qué hace hoy el sistema legacy (y por qué Cobranza lo dejó de lado)</w:t>
      </w:r>
    </w:p>
    <w:p>
      <w:pPr>
        <w:pStyle w:val="Heading2"/>
        <w:spacing w:after="120" w:before="260"/>
      </w:pPr>
      <w:r>
        <w:rPr>
          <w:b/>
          <w:bCs/>
          <w:color w:val="2E86AB"/>
        </w:rPr>
        <w:t xml:space="preserve">2.1 Módulo Deudores</w:t>
      </w:r>
    </w:p>
    <w:p>
      <w:pPr>
        <w:spacing w:after="160" w:line="300"/>
      </w:pPr>
      <w:r>
        <w:t xml:space="preserve">Lista las órdenes de trabajo con saldo pendiente, agrupadas por empresa convenio, con un detalle de solo lectura (Precio / Abono / Saldo / N° cuota / Valor cuota) y un botón para imprimir ese detalle a Excel. No tiene ningún control para registrar un pago, ni de la OT completa ni de una cuota.</w:t>
      </w:r>
    </w:p>
    <w:p>
      <w:pPr>
        <w:pStyle w:val="Heading2"/>
        <w:spacing w:after="120" w:before="260"/>
      </w:pPr>
      <w:r>
        <w:rPr>
          <w:b/>
          <w:bCs/>
          <w:color w:val="2E86AB"/>
        </w:rPr>
        <w:t xml:space="preserve">2.2 La tabla de cuotas existe, pero está inactiva</w:t>
      </w:r>
    </w:p>
    <w:p>
      <w:pPr>
        <w:spacing w:after="160" w:line="300"/>
      </w:pPr>
      <w:r>
        <w:t xml:space="preserve">Al finalizar una orden con saldo pendiente, el sistema genera un plan de cuotas (OPT_Cuota: número, monto, fecha de vencimiento, estado inicial “PENDIENTE”). Se revisó cada referencia a esa tabla en el código del área OrdenTrabajo y en ningún controlador ni vista existe una acción para pagar o anular una cuota puntual: el campo Estado se escribe una sola vez y no se vuelve a modificar, y FechaPago nunca se completa. El módulo para “pagar una cuota” no es solo complejo: en la práctica no está implementado.</w:t>
      </w:r>
    </w:p>
    <w:p>
      <w:pPr>
        <w:pStyle w:val="Heading2"/>
        <w:spacing w:after="120" w:before="260"/>
      </w:pPr>
      <w:r>
        <w:rPr>
          <w:b/>
          <w:bCs/>
          <w:color w:val="2E86AB"/>
        </w:rPr>
        <w:t xml:space="preserve">2.3 Lo que sí existe para pagos</w:t>
      </w:r>
    </w:p>
    <w:p>
      <w:pPr>
        <w:pStyle w:val="ListParagraph"/>
        <w:numPr>
          <w:ilvl w:val="0"/>
          <w:numId w:val="2"/>
        </w:numPr>
        <w:spacing w:after="90" w:line="280"/>
      </w:pPr>
      <w:r>
        <w:t xml:space="preserve">Pago contra el saldo total de la OT (no contra una cuota específica), desde el listado de Orden de Trabajo.</w:t>
      </w:r>
    </w:p>
    <w:p>
      <w:pPr>
        <w:pStyle w:val="ListParagraph"/>
        <w:numPr>
          <w:ilvl w:val="0"/>
          <w:numId w:val="2"/>
        </w:numPr>
        <w:spacing w:after="90" w:line="280"/>
      </w:pPr>
      <w:r>
        <w:t xml:space="preserve">Pago masivo por carga de Excel (columnas OT + Monto), también imputado al saldo total de la OT, no a una cuota puntual.</w:t>
      </w:r>
    </w:p>
    <w:p>
      <w:pPr>
        <w:pStyle w:val="Heading2"/>
        <w:spacing w:after="120" w:before="260"/>
      </w:pPr>
      <w:r>
        <w:rPr>
          <w:b/>
          <w:bCs/>
          <w:color w:val="2E86AB"/>
        </w:rPr>
        <w:t xml:space="preserve">2.4 El reporte que Cobranza sí usa (“Listado Cuotas”)</w:t>
      </w:r>
    </w:p>
    <w:p>
      <w:pPr>
        <w:spacing w:after="160" w:line="300"/>
      </w:pPr>
      <w:r>
        <w:t xml:space="preserve">Es un reporte pivotado: una fila por OT, con una columna por cada mes de vencimiento (así lo reproducen los 2 Excel de convenio: “CUOTA MAYO 26”, “CUOTA JUNIO 26”…). Trae OT, sucursal, RUT, nombre, fecha de atención, precio, saldo, N° de cuotas y el monto de cada cuota por mes.</w:t>
      </w:r>
    </w:p>
    <w:p>
      <w:pPr>
        <w:spacing w:after="160" w:line="300"/>
      </w:pPr>
      <w:r>
        <w:rPr>
          <w:b/>
          <w:bCs/>
        </w:rPr>
        <w:t xml:space="preserve">Ausencias clave: </w:t>
      </w:r>
      <w:r>
        <w:t xml:space="preserve">no trae el estado de pago de cada cuota (por eso lo pintan a mano) ni el celular del cliente — dato que sí existe en OPT_Cliente pero el reporte no lo expone, y es justo lo que Cobranza necesita para la gestión de desvinculados.</w:t>
      </w:r>
    </w:p>
    <w:p>
      <w:pPr>
        <w:pStyle w:val="Heading2"/>
        <w:spacing w:after="120" w:before="260"/>
      </w:pPr>
      <w:r>
        <w:rPr>
          <w:b/>
          <w:bCs/>
          <w:color w:val="2E86AB"/>
        </w:rPr>
        <w:t xml:space="preserve">2.5 Nada distingue a un cliente desvinculado</w:t>
      </w:r>
    </w:p>
    <w:p>
      <w:pPr>
        <w:spacing w:after="160" w:line="300"/>
      </w:pPr>
      <w:r>
        <w:t xml:space="preserve">No existe ningún campo en Cliente ni en Empresa que marque a una persona como desvinculada de su empleador. Es información que hoy vive solo en la memoria de Cobranza y en una sección manual del Excel.</w:t>
      </w:r>
    </w:p>
    <w:p>
      <w:pPr>
        <w:pStyle w:val="Heading1"/>
        <w:spacing w:after="160" w:before="360"/>
      </w:pPr>
      <w:r>
        <w:rPr>
          <w:b/>
          <w:bCs/>
          <w:color w:val="1F4E5F"/>
        </w:rPr>
        <w:t xml:space="preserve">3. Cómo trabaja Cobranza hoy, según los 2 Excel de convenio revisados</w:t>
      </w:r>
    </w:p>
    <w:p>
      <w:pPr>
        <w:spacing w:after="160" w:line="300"/>
      </w:pPr>
      <w:r>
        <w:t xml:space="preserve">Los archivos NEXUS SANTIAGO CENTRO y MELERO OP. parten literalmente de una copia del reporte “Listado Cuotas” (la hoja se llama rptListaCuota o NÓMINA) y sobre esa base agregan, a mano, cinco cosas:</w:t>
      </w:r>
    </w:p>
    <w:p>
      <w:pPr>
        <w:pStyle w:val="ListParagraph"/>
        <w:numPr>
          <w:ilvl w:val="0"/>
          <w:numId w:val="3"/>
        </w:numPr>
        <w:spacing w:after="120" w:line="280"/>
      </w:pPr>
      <w:r>
        <w:t xml:space="preserve">Estado de pago por cuota: cada celda de monto se pinta de verde cuando esa cuota fue cobrada. Sin color = pendiente. En MELERO, ninguna celda de la columna “CUOTA AGOSTO 26” está pintada — es la cuota vigente al momento del corte.</w:t>
      </w:r>
    </w:p>
    <w:p>
      <w:pPr>
        <w:pStyle w:val="ListParagraph"/>
        <w:numPr>
          <w:ilvl w:val="0"/>
          <w:numId w:val="3"/>
        </w:numPr>
        <w:spacing w:after="120" w:line="280"/>
      </w:pPr>
      <w:r>
        <w:t xml:space="preserve">Fecha real de cobro: debajo de la fila de totales anotan la fecha en que efectivamente se terminó de cobrar cada mes (ej. la cuota de mayo se cerró el 10.06.26) — casi siempre distinta al mes de vencimiento nominal.</w:t>
      </w:r>
    </w:p>
    <w:p>
      <w:pPr>
        <w:pStyle w:val="ListParagraph"/>
        <w:numPr>
          <w:ilvl w:val="0"/>
          <w:numId w:val="3"/>
        </w:numPr>
        <w:spacing w:after="120" w:line="280"/>
      </w:pPr>
      <w:r>
        <w:t xml:space="preserve">N° de boleta de la cuota inicial: columna “BOLETA”, llenada a mano junto al primer pago (boletas 6580 y 6581 en NEXUS).</w:t>
      </w:r>
    </w:p>
    <w:p>
      <w:pPr>
        <w:pStyle w:val="ListParagraph"/>
        <w:numPr>
          <w:ilvl w:val="0"/>
          <w:numId w:val="3"/>
        </w:numPr>
        <w:spacing w:after="120" w:line="280"/>
      </w:pPr>
      <w:r>
        <w:t xml:space="preserve">Comentarios de gestión en amarillo: correcciones de nombre, aclaraciones (“SE LE CAMBIO A FOTO”, “RECTIFICACION OK”), y casos especiales fuera de la nómina — en MELERO hay una sección “PAGO AL CONTADO EN OPERATIVO” para un cliente que pagó todo de una vez con tarjeta de débito durante un operativo en terreno, con su propia fecha.</w:t>
      </w:r>
    </w:p>
    <w:p>
      <w:pPr>
        <w:pStyle w:val="ListParagraph"/>
        <w:numPr>
          <w:ilvl w:val="0"/>
          <w:numId w:val="3"/>
        </w:numPr>
        <w:spacing w:after="120" w:line="280"/>
      </w:pPr>
      <w:r>
        <w:t xml:space="preserve">Sección “DESVINCULADO – COBRAR POR ÓPTICA”: la OT del trabajador desvinculado se copia aparte con su plan de cuotas completo, se anota el o los teléfonos de contacto, y el resultado de la gestión telefónica en texto libre (en el caso real revisado: “NO QUISO LOS LENTES 22.05.26”, es decir, pérdida).</w:t>
      </w:r>
    </w:p>
    <w:p>
      <w:pPr>
        <w:spacing w:after="160" w:line="300"/>
      </w:pPr>
      <w:r>
        <w:t xml:space="preserve">Además, cada Excel trae hojas adicionales (Hoja1 / Hoja2) que son un recorte de la misma nómina filtrado a un solo mes de cuota: en la práctica, la lista de llamadas para trabajar ese mes en particular.</w:t>
      </w:r>
    </w:p>
    <w:p>
      <w:pPr>
        <w:spacing w:after="160" w:line="300"/>
      </w:pPr>
      <w:r>
        <w:t xml:space="preserve">Esto confirma lo que describes: el proceso funciona y está bien pensado, pero vive entero fuera del sistema, es manual, no deja rastro de auditoría, y depende de que nadie pierda el Excel.</w:t>
      </w:r>
    </w:p>
    <w:p>
      <w:pPr>
        <w:pStyle w:val="Heading1"/>
        <w:spacing w:after="160" w:before="360"/>
      </w:pPr>
      <w:r>
        <w:rPr>
          <w:b/>
          <w:bCs/>
          <w:color w:val="1F4E5F"/>
        </w:rPr>
        <w:t xml:space="preserve">4. Punto de partida: lo que el sistema nuevo ya resuelve</w:t>
      </w:r>
    </w:p>
    <w:p>
      <w:pPr>
        <w:spacing w:after="160" w:line="300"/>
      </w:pPr>
      <w:r>
        <w:t xml:space="preserve">El rediseño en curso (.NET 8 / Angular) ya avanzó, a nivel de dominio, justo en el punto donde el legacy fallaba:</w:t>
      </w:r>
    </w:p>
    <w:p>
      <w:pPr>
        <w:pStyle w:val="ListParagraph"/>
        <w:numPr>
          <w:ilvl w:val="0"/>
          <w:numId w:val="2"/>
        </w:numPr>
        <w:spacing w:after="90" w:line="280"/>
      </w:pPr>
      <w:r>
        <w:t xml:space="preserve">OPT_Cuota tiene un ciclo de vida real: catálogo EstadoCuota (PENDIENTE / PAGADA / ANULADA) y las operaciones OrdenDeTrabajo.PagarCuota(numero) y AnularCuota(numero) sí existen y sí cambian el estado, con resguardos (no se puede pagar una cuota anulada, no se puede anular una ya pagada).</w:t>
      </w:r>
    </w:p>
    <w:p>
      <w:pPr>
        <w:pStyle w:val="ListParagraph"/>
        <w:numPr>
          <w:ilvl w:val="0"/>
          <w:numId w:val="2"/>
        </w:numPr>
        <w:spacing w:after="90" w:line="280"/>
      </w:pPr>
      <w:r>
        <w:t xml:space="preserve">Registrar un pago (RegistrarPago) imputa automáticamente el monto a las cuotas pendientes más antiguas primero, y las marca PAGADA cuando el monto alcanza a cubrirlas completas — cierra el ciclo que en el legacy quedaba abierto para siempre.</w:t>
      </w:r>
    </w:p>
    <w:p>
      <w:pPr>
        <w:pStyle w:val="ListParagraph"/>
        <w:numPr>
          <w:ilvl w:val="0"/>
          <w:numId w:val="2"/>
        </w:numPr>
        <w:spacing w:after="90" w:line="280"/>
      </w:pPr>
      <w:r>
        <w:t xml:space="preserve">Ya existe CobranzaController (GET /api/cobranza/deudores), que reemplaza al sp_ListaDeudores del legacy: deuda vigente agrupada por empresa convenio.</w:t>
      </w:r>
    </w:p>
    <w:p>
      <w:pPr>
        <w:pStyle w:val="ListParagraph"/>
        <w:numPr>
          <w:ilvl w:val="0"/>
          <w:numId w:val="2"/>
        </w:numPr>
        <w:spacing w:after="90" w:line="280"/>
      </w:pPr>
      <w:r>
        <w:t xml:space="preserve">Cliente.Celular ya existe como dato; solo falta exponerlo donde Cobranza lo necesita.</w:t>
      </w:r>
    </w:p>
    <w:p>
      <w:pPr>
        <w:spacing w:after="160" w:line="300"/>
      </w:pPr>
      <w:r>
        <w:t xml:space="preserve">La reconstrucción no parte de cero. Falta la capa de trabajo diario — pantalla, reporte pivotado, boleta por cuota, gestión telefónica — que es exactamente lo que hoy vive en los Excel. No falta rehacer el motor de cuotas.</w:t>
      </w:r>
    </w:p>
    <w:p>
      <w:pPr>
        <w:pStyle w:val="Heading1"/>
        <w:spacing w:after="160" w:before="360"/>
      </w:pPr>
      <w:r>
        <w:rPr>
          <w:b/>
          <w:bCs/>
          <w:color w:val="1F4E5F"/>
        </w:rPr>
        <w:t xml:space="preserve">5. Brechas frente al proceso real de Cobranza</w:t>
      </w:r>
    </w:p>
    <w:p>
      <w:pPr>
        <w:spacing w:after="160" w:line="300"/>
      </w:pPr>
      <w:r>
        <w:t xml:space="preserve">Comparando el dominio ya construido contra lo que los 3 Excel muestran que Cobranza realmente necesita: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shd w:fill="1F4E5F" w:val="clear"/>
            <w:tcMar>
              <w:top w:type="dxa" w:w="80"/>
              <w:left w:type="dxa" w:w="100"/>
              <w:bottom w:type="dxa" w:w="80"/>
              <w:right w:type="dxa" w:w="100"/>
            </w:tcMar>
          </w:tcPr>
          <w:p>
            <w:pPr>
              <w:spacing w:after="40"/>
            </w:pPr>
            <w:r>
              <w:rPr>
                <w:b/>
                <w:bCs/>
                <w:color w:val="FFFFFF"/>
                <w:sz w:val="19"/>
                <w:szCs w:val="19"/>
              </w:rPr>
              <w:t xml:space="preserve">Necesidad de Cobranza (evidencia en Excel)</w:t>
            </w:r>
          </w:p>
        </w:tc>
        <w:tc>
          <w:tcPr>
            <w:tcW w:type="dxa" w:w="3600"/>
            <w:shd w:fill="1F4E5F" w:val="clear"/>
            <w:tcMar>
              <w:top w:type="dxa" w:w="80"/>
              <w:left w:type="dxa" w:w="100"/>
              <w:bottom w:type="dxa" w:w="80"/>
              <w:right w:type="dxa" w:w="100"/>
            </w:tcMar>
          </w:tcPr>
          <w:p>
            <w:pPr>
              <w:spacing w:after="40"/>
            </w:pPr>
            <w:r>
              <w:rPr>
                <w:b/>
                <w:bCs/>
                <w:color w:val="FFFFFF"/>
                <w:sz w:val="19"/>
                <w:szCs w:val="19"/>
              </w:rPr>
              <w:t xml:space="preserve">Qué existe hoy en el sistema nuevo</w:t>
            </w:r>
          </w:p>
        </w:tc>
        <w:tc>
          <w:tcPr>
            <w:tcW w:type="dxa" w:w="3360"/>
            <w:shd w:fill="1F4E5F" w:val="clear"/>
            <w:tcMar>
              <w:top w:type="dxa" w:w="80"/>
              <w:left w:type="dxa" w:w="100"/>
              <w:bottom w:type="dxa" w:w="80"/>
              <w:right w:type="dxa" w:w="100"/>
            </w:tcMar>
          </w:tcPr>
          <w:p>
            <w:pPr>
              <w:spacing w:after="40"/>
            </w:pPr>
            <w:r>
              <w:rPr>
                <w:b/>
                <w:bCs/>
                <w:color w:val="FFFFFF"/>
                <w:sz w:val="19"/>
                <w:szCs w:val="19"/>
              </w:rPr>
              <w:t xml:space="preserve">Brecha</w:t>
            </w:r>
          </w:p>
        </w:tc>
      </w:tr>
      <w:tr>
        <w:tc>
          <w:tcPr>
            <w:tcW w:type="dxa" w:w="2400"/>
            <w:tcMar>
              <w:top w:type="dxa" w:w="80"/>
              <w:left w:type="dxa" w:w="100"/>
              <w:bottom w:type="dxa" w:w="80"/>
              <w:right w:type="dxa" w:w="100"/>
            </w:tcMar>
          </w:tcPr>
          <w:p>
            <w:pPr>
              <w:spacing w:after="40"/>
            </w:pPr>
            <w:r>
              <w:rPr>
                <w:sz w:val="19"/>
                <w:szCs w:val="19"/>
              </w:rPr>
              <w:t xml:space="preserve">Ver de un vistazo qué cuota está pagada y cuál no, por convenio y mes</w:t>
            </w:r>
          </w:p>
        </w:tc>
        <w:tc>
          <w:tcPr>
            <w:tcW w:type="dxa" w:w="3600"/>
            <w:tcMar>
              <w:top w:type="dxa" w:w="80"/>
              <w:left w:type="dxa" w:w="100"/>
              <w:bottom w:type="dxa" w:w="80"/>
              <w:right w:type="dxa" w:w="100"/>
            </w:tcMar>
          </w:tcPr>
          <w:p>
            <w:pPr>
              <w:spacing w:after="40"/>
            </w:pPr>
            <w:r>
              <w:rPr>
                <w:sz w:val="19"/>
                <w:szCs w:val="19"/>
              </w:rPr>
              <w:t xml:space="preserve">EstadoCuota (PENDIENTE/PAGADA/ANULADA) sí se actualiza</w:t>
            </w:r>
          </w:p>
        </w:tc>
        <w:tc>
          <w:tcPr>
            <w:tcW w:type="dxa" w:w="3360"/>
            <w:shd w:fill="FFEB9C" w:val="clear"/>
            <w:tcMar>
              <w:top w:type="dxa" w:w="80"/>
              <w:left w:type="dxa" w:w="100"/>
              <w:bottom w:type="dxa" w:w="80"/>
              <w:right w:type="dxa" w:w="100"/>
            </w:tcMar>
          </w:tcPr>
          <w:p>
            <w:pPr>
              <w:spacing w:after="40"/>
            </w:pPr>
            <w:r>
              <w:rPr>
                <w:sz w:val="19"/>
                <w:szCs w:val="19"/>
              </w:rPr>
              <w:t xml:space="preserve">Falta la pantalla: hoy solo hay un endpoint agregado por empresa, no el detalle pivotado por cuota</w:t>
            </w:r>
          </w:p>
        </w:tc>
      </w:tr>
      <w:tr>
        <w:tc>
          <w:tcPr>
            <w:tcW w:type="dxa" w:w="2400"/>
            <w:tcMar>
              <w:top w:type="dxa" w:w="80"/>
              <w:left w:type="dxa" w:w="100"/>
              <w:bottom w:type="dxa" w:w="80"/>
              <w:right w:type="dxa" w:w="100"/>
            </w:tcMar>
          </w:tcPr>
          <w:p>
            <w:pPr>
              <w:spacing w:after="40"/>
            </w:pPr>
            <w:r>
              <w:rPr>
                <w:sz w:val="19"/>
                <w:szCs w:val="19"/>
              </w:rPr>
              <w:t xml:space="preserve">Registrar boleta de la cuota inicial (columna BOLETA)</w:t>
            </w:r>
          </w:p>
        </w:tc>
        <w:tc>
          <w:tcPr>
            <w:tcW w:type="dxa" w:w="3600"/>
            <w:tcMar>
              <w:top w:type="dxa" w:w="80"/>
              <w:left w:type="dxa" w:w="100"/>
              <w:bottom w:type="dxa" w:w="80"/>
              <w:right w:type="dxa" w:w="100"/>
            </w:tcMar>
          </w:tcPr>
          <w:p>
            <w:pPr>
              <w:spacing w:after="40"/>
            </w:pPr>
            <w:r>
              <w:rPr>
                <w:sz w:val="19"/>
                <w:szCs w:val="19"/>
              </w:rPr>
              <w:t xml:space="preserve">Pago tiene Referencia libre; Cuota no tiene campo de boleta propio</w:t>
            </w:r>
          </w:p>
        </w:tc>
        <w:tc>
          <w:tcPr>
            <w:tcW w:type="dxa" w:w="3360"/>
            <w:shd w:fill="FFEB9C" w:val="clear"/>
            <w:tcMar>
              <w:top w:type="dxa" w:w="80"/>
              <w:left w:type="dxa" w:w="100"/>
              <w:bottom w:type="dxa" w:w="80"/>
              <w:right w:type="dxa" w:w="100"/>
            </w:tcMar>
          </w:tcPr>
          <w:p>
            <w:pPr>
              <w:spacing w:after="40"/>
            </w:pPr>
            <w:r>
              <w:rPr>
                <w:sz w:val="19"/>
                <w:szCs w:val="19"/>
              </w:rPr>
              <w:t xml:space="preserve">Agregar campo Referencia/Boleta a Cuota, o exponer la del Pago que la generó</w:t>
            </w:r>
          </w:p>
        </w:tc>
      </w:tr>
      <w:tr>
        <w:tc>
          <w:tcPr>
            <w:tcW w:type="dxa" w:w="2400"/>
            <w:tcMar>
              <w:top w:type="dxa" w:w="80"/>
              <w:left w:type="dxa" w:w="100"/>
              <w:bottom w:type="dxa" w:w="80"/>
              <w:right w:type="dxa" w:w="100"/>
            </w:tcMar>
          </w:tcPr>
          <w:p>
            <w:pPr>
              <w:spacing w:after="40"/>
            </w:pPr>
            <w:r>
              <w:rPr>
                <w:sz w:val="19"/>
                <w:szCs w:val="19"/>
              </w:rPr>
              <w:t xml:space="preserve">Teléfono del cliente para gestión de cobro</w:t>
            </w:r>
          </w:p>
        </w:tc>
        <w:tc>
          <w:tcPr>
            <w:tcW w:type="dxa" w:w="3600"/>
            <w:tcMar>
              <w:top w:type="dxa" w:w="80"/>
              <w:left w:type="dxa" w:w="100"/>
              <w:bottom w:type="dxa" w:w="80"/>
              <w:right w:type="dxa" w:w="100"/>
            </w:tcMar>
          </w:tcPr>
          <w:p>
            <w:pPr>
              <w:spacing w:after="40"/>
            </w:pPr>
            <w:r>
              <w:rPr>
                <w:sz w:val="19"/>
                <w:szCs w:val="19"/>
              </w:rPr>
              <w:t xml:space="preserve">Cliente.Celular ya existe como dato</w:t>
            </w:r>
          </w:p>
        </w:tc>
        <w:tc>
          <w:tcPr>
            <w:tcW w:type="dxa" w:w="3360"/>
            <w:shd w:fill="FFEB9C" w:val="clear"/>
            <w:tcMar>
              <w:top w:type="dxa" w:w="80"/>
              <w:left w:type="dxa" w:w="100"/>
              <w:bottom w:type="dxa" w:w="80"/>
              <w:right w:type="dxa" w:w="100"/>
            </w:tcMar>
          </w:tcPr>
          <w:p>
            <w:pPr>
              <w:spacing w:after="40"/>
            </w:pPr>
            <w:r>
              <w:rPr>
                <w:sz w:val="19"/>
                <w:szCs w:val="19"/>
              </w:rPr>
              <w:t xml:space="preserve">No se expone en ninguna vista de cobranza</w:t>
            </w:r>
          </w:p>
        </w:tc>
      </w:tr>
      <w:tr>
        <w:tc>
          <w:tcPr>
            <w:tcW w:type="dxa" w:w="2400"/>
            <w:tcMar>
              <w:top w:type="dxa" w:w="80"/>
              <w:left w:type="dxa" w:w="100"/>
              <w:bottom w:type="dxa" w:w="80"/>
              <w:right w:type="dxa" w:w="100"/>
            </w:tcMar>
          </w:tcPr>
          <w:p>
            <w:pPr>
              <w:spacing w:after="40"/>
            </w:pPr>
            <w:r>
              <w:rPr>
                <w:sz w:val="19"/>
                <w:szCs w:val="19"/>
              </w:rPr>
              <w:t xml:space="preserve">Marcar a un cliente como desvinculado de la empresa convenio</w:t>
            </w:r>
          </w:p>
        </w:tc>
        <w:tc>
          <w:tcPr>
            <w:tcW w:type="dxa" w:w="3600"/>
            <w:tcMar>
              <w:top w:type="dxa" w:w="80"/>
              <w:left w:type="dxa" w:w="100"/>
              <w:bottom w:type="dxa" w:w="80"/>
              <w:right w:type="dxa" w:w="100"/>
            </w:tcMar>
          </w:tcPr>
          <w:p>
            <w:pPr>
              <w:spacing w:after="40"/>
            </w:pPr>
            <w:r>
              <w:rPr>
                <w:sz w:val="19"/>
                <w:szCs w:val="19"/>
              </w:rPr>
              <w:t xml:space="preserve">No existe ningún campo equivalente</w:t>
            </w:r>
          </w:p>
        </w:tc>
        <w:tc>
          <w:tcPr>
            <w:tcW w:type="dxa" w:w="3360"/>
            <w:shd w:fill="FFEB9C" w:val="clear"/>
            <w:tcMar>
              <w:top w:type="dxa" w:w="80"/>
              <w:left w:type="dxa" w:w="100"/>
              <w:bottom w:type="dxa" w:w="80"/>
              <w:right w:type="dxa" w:w="100"/>
            </w:tcMar>
          </w:tcPr>
          <w:p>
            <w:pPr>
              <w:spacing w:after="40"/>
            </w:pPr>
            <w:r>
              <w:rPr>
                <w:sz w:val="19"/>
                <w:szCs w:val="19"/>
              </w:rPr>
              <w:t xml:space="preserve">Falta el atributo y la vista que lo use</w:t>
            </w:r>
          </w:p>
        </w:tc>
      </w:tr>
      <w:tr>
        <w:tc>
          <w:tcPr>
            <w:tcW w:type="dxa" w:w="2400"/>
            <w:tcMar>
              <w:top w:type="dxa" w:w="80"/>
              <w:left w:type="dxa" w:w="100"/>
              <w:bottom w:type="dxa" w:w="80"/>
              <w:right w:type="dxa" w:w="100"/>
            </w:tcMar>
          </w:tcPr>
          <w:p>
            <w:pPr>
              <w:spacing w:after="40"/>
            </w:pPr>
            <w:r>
              <w:rPr>
                <w:sz w:val="19"/>
                <w:szCs w:val="19"/>
              </w:rPr>
              <w:t xml:space="preserve">Registrar el resultado de una gestión telefónica (pagó todo / pagó parte / no contesta / pérdida)</w:t>
            </w:r>
          </w:p>
        </w:tc>
        <w:tc>
          <w:tcPr>
            <w:tcW w:type="dxa" w:w="3600"/>
            <w:tcMar>
              <w:top w:type="dxa" w:w="80"/>
              <w:left w:type="dxa" w:w="100"/>
              <w:bottom w:type="dxa" w:w="80"/>
              <w:right w:type="dxa" w:w="100"/>
            </w:tcMar>
          </w:tcPr>
          <w:p>
            <w:pPr>
              <w:spacing w:after="40"/>
            </w:pPr>
            <w:r>
              <w:rPr>
                <w:sz w:val="19"/>
                <w:szCs w:val="19"/>
              </w:rPr>
              <w:t xml:space="preserve">No existe bitácora de cobranza (sí existe BitacoraOT, pero es de estado de la OT, no de gestión de cobro)</w:t>
            </w:r>
          </w:p>
        </w:tc>
        <w:tc>
          <w:tcPr>
            <w:tcW w:type="dxa" w:w="3360"/>
            <w:shd w:fill="FFEB9C" w:val="clear"/>
            <w:tcMar>
              <w:top w:type="dxa" w:w="80"/>
              <w:left w:type="dxa" w:w="100"/>
              <w:bottom w:type="dxa" w:w="80"/>
              <w:right w:type="dxa" w:w="100"/>
            </w:tcMar>
          </w:tcPr>
          <w:p>
            <w:pPr>
              <w:spacing w:after="40"/>
            </w:pPr>
            <w:r>
              <w:rPr>
                <w:sz w:val="19"/>
                <w:szCs w:val="19"/>
              </w:rPr>
              <w:t xml:space="preserve">Falta un registro de gestión, con fecha y resultado</w:t>
            </w:r>
          </w:p>
        </w:tc>
      </w:tr>
      <w:tr>
        <w:tc>
          <w:tcPr>
            <w:tcW w:type="dxa" w:w="2400"/>
            <w:tcMar>
              <w:top w:type="dxa" w:w="80"/>
              <w:left w:type="dxa" w:w="100"/>
              <w:bottom w:type="dxa" w:w="80"/>
              <w:right w:type="dxa" w:w="100"/>
            </w:tcMar>
          </w:tcPr>
          <w:p>
            <w:pPr>
              <w:spacing w:after="40"/>
            </w:pPr>
            <w:r>
              <w:rPr>
                <w:sz w:val="19"/>
                <w:szCs w:val="19"/>
              </w:rPr>
              <w:t xml:space="preserve">Cobro parcial de una cuota que igual se da por cerrada (acuerdo o pérdida asumida)</w:t>
            </w:r>
          </w:p>
        </w:tc>
        <w:tc>
          <w:tcPr>
            <w:tcW w:type="dxa" w:w="3600"/>
            <w:tcMar>
              <w:top w:type="dxa" w:w="80"/>
              <w:left w:type="dxa" w:w="100"/>
              <w:bottom w:type="dxa" w:w="80"/>
              <w:right w:type="dxa" w:w="100"/>
            </w:tcMar>
          </w:tcPr>
          <w:p>
            <w:pPr>
              <w:spacing w:after="40"/>
            </w:pPr>
            <w:r>
              <w:rPr>
                <w:sz w:val="19"/>
                <w:szCs w:val="19"/>
              </w:rPr>
              <w:t xml:space="preserve">RegistrarPago solo marca PAGADA una cuota si el monto alcanza a cubrirla completa; un pago parcial baja el saldo pero la cuota queda PENDIENTE para siempre</w:t>
            </w:r>
          </w:p>
        </w:tc>
        <w:tc>
          <w:tcPr>
            <w:tcW w:type="dxa" w:w="3360"/>
            <w:shd w:fill="FFEB9C" w:val="clear"/>
            <w:tcMar>
              <w:top w:type="dxa" w:w="80"/>
              <w:left w:type="dxa" w:w="100"/>
              <w:bottom w:type="dxa" w:w="80"/>
              <w:right w:type="dxa" w:w="100"/>
            </w:tcMar>
          </w:tcPr>
          <w:p>
            <w:pPr>
              <w:spacing w:after="40"/>
            </w:pPr>
            <w:r>
              <w:rPr>
                <w:sz w:val="19"/>
                <w:szCs w:val="19"/>
              </w:rPr>
              <w:t xml:space="preserve">Falta una acción explícita de cierre parcial / condonación, distinta de Anular</w:t>
            </w:r>
          </w:p>
        </w:tc>
      </w:tr>
      <w:tr>
        <w:tc>
          <w:tcPr>
            <w:tcW w:type="dxa" w:w="2400"/>
            <w:tcMar>
              <w:top w:type="dxa" w:w="80"/>
              <w:left w:type="dxa" w:w="100"/>
              <w:bottom w:type="dxa" w:w="80"/>
              <w:right w:type="dxa" w:w="100"/>
            </w:tcMar>
          </w:tcPr>
          <w:p>
            <w:pPr>
              <w:spacing w:after="40"/>
            </w:pPr>
            <w:r>
              <w:rPr>
                <w:sz w:val="19"/>
                <w:szCs w:val="19"/>
              </w:rPr>
              <w:t xml:space="preserve">Imprimir o exportar la nómina de cobranza</w:t>
            </w:r>
          </w:p>
        </w:tc>
        <w:tc>
          <w:tcPr>
            <w:tcW w:type="dxa" w:w="3600"/>
            <w:tcMar>
              <w:top w:type="dxa" w:w="80"/>
              <w:left w:type="dxa" w:w="100"/>
              <w:bottom w:type="dxa" w:w="80"/>
              <w:right w:type="dxa" w:w="100"/>
            </w:tcMar>
          </w:tcPr>
          <w:p>
            <w:pPr>
              <w:spacing w:after="40"/>
            </w:pPr>
            <w:r>
              <w:rPr>
                <w:sz w:val="19"/>
                <w:szCs w:val="19"/>
              </w:rPr>
              <w:t xml:space="preserve">Existe exportación a Excel a nivel de otros reportes del sistema legacy; el nuevo aún no la tiene para Cobranza</w:t>
            </w:r>
          </w:p>
        </w:tc>
        <w:tc>
          <w:tcPr>
            <w:tcW w:type="dxa" w:w="3360"/>
            <w:shd w:fill="FFEB9C" w:val="clear"/>
            <w:tcMar>
              <w:top w:type="dxa" w:w="80"/>
              <w:left w:type="dxa" w:w="100"/>
              <w:bottom w:type="dxa" w:w="80"/>
              <w:right w:type="dxa" w:w="100"/>
            </w:tcMar>
          </w:tcPr>
          <w:p>
            <w:pPr>
              <w:spacing w:after="40"/>
            </w:pPr>
            <w:r>
              <w:rPr>
                <w:sz w:val="19"/>
                <w:szCs w:val="19"/>
              </w:rPr>
              <w:t xml:space="preserve">Agregar exportación de la vista pivotada</w:t>
            </w:r>
          </w:p>
        </w:tc>
      </w:tr>
      <w:tr>
        <w:tc>
          <w:tcPr>
            <w:tcW w:type="dxa" w:w="2400"/>
            <w:tcMar>
              <w:top w:type="dxa" w:w="80"/>
              <w:left w:type="dxa" w:w="100"/>
              <w:bottom w:type="dxa" w:w="80"/>
              <w:right w:type="dxa" w:w="100"/>
            </w:tcMar>
          </w:tcPr>
          <w:p>
            <w:pPr>
              <w:spacing w:after="40"/>
            </w:pPr>
            <w:r>
              <w:rPr>
                <w:sz w:val="19"/>
                <w:szCs w:val="19"/>
              </w:rPr>
              <w:t xml:space="preserve">Agrupar las OT de una visita a una empresa (“operativo”) y medir su resultado, en vez de inferirlo por rango de fecha</w:t>
            </w:r>
          </w:p>
        </w:tc>
        <w:tc>
          <w:tcPr>
            <w:tcW w:type="dxa" w:w="3600"/>
            <w:tcMar>
              <w:top w:type="dxa" w:w="80"/>
              <w:left w:type="dxa" w:w="100"/>
              <w:bottom w:type="dxa" w:w="80"/>
              <w:right w:type="dxa" w:w="100"/>
            </w:tcMar>
          </w:tcPr>
          <w:p>
            <w:pPr>
              <w:spacing w:after="40"/>
            </w:pPr>
            <w:r>
              <w:rPr>
                <w:sz w:val="19"/>
                <w:szCs w:val="19"/>
              </w:rPr>
              <w:t xml:space="preserve">OT tiene EmpresaId y FechaAtencion, pero no existe ninguna entidad que agrupe “esta visita concreta” ni que registre costos</w:t>
            </w:r>
          </w:p>
        </w:tc>
        <w:tc>
          <w:tcPr>
            <w:tcW w:type="dxa" w:w="3360"/>
            <w:shd w:fill="FFEB9C" w:val="clear"/>
            <w:tcMar>
              <w:top w:type="dxa" w:w="80"/>
              <w:left w:type="dxa" w:w="100"/>
              <w:bottom w:type="dxa" w:w="80"/>
              <w:right w:type="dxa" w:w="100"/>
            </w:tcMar>
          </w:tcPr>
          <w:p>
            <w:pPr>
              <w:spacing w:after="40"/>
            </w:pPr>
            <w:r>
              <w:rPr>
                <w:sz w:val="19"/>
                <w:szCs w:val="19"/>
              </w:rPr>
              <w:t xml:space="preserve">Falta la entidad Operativo Oftalmológico y su vínculo con OT (desarrollado en la sección 6)</w:t>
            </w:r>
          </w:p>
        </w:tc>
      </w:tr>
    </w:tbl>
    <w:p>
      <w:pPr>
        <w:spacing w:after="200"/>
      </w:pPr>
    </w:p>
    <w:p>
      <w:pPr>
        <w:pStyle w:val="Heading1"/>
        <w:spacing w:after="160" w:before="360"/>
      </w:pPr>
      <w:r>
        <w:rPr>
          <w:b/>
          <w:bCs/>
          <w:color w:val="1F4E5F"/>
        </w:rPr>
        <w:t xml:space="preserve">6. Módulo Operativo Oftalmológico</w:t>
      </w:r>
    </w:p>
    <w:p>
      <w:pPr>
        <w:spacing w:after="160" w:line="300"/>
      </w:pPr>
      <w:r>
        <w:t xml:space="preserve">Los propios nombres de los Excel revisados son la evidencia del problema: “MELERO OP. 24.04.26”, “NEXUS SANTIAGO CENTRO VTA. OF. 16.03.26 – 28.03.26”. Cada uno es, en los hechos, un operativo — una visita concreta a una empresa convenio — pero el sistema no lo sabe: lo único que existe es la Empresa y la FechaAtencion de cada OT. Cobranza reconstruye el operativo a mano, adivinando qué rango de fecha lo delimita, y si una OT se ingresó un día antes o después de ese rango, se cae de la nómina sin que nadie lo note.</w:t>
      </w:r>
    </w:p>
    <w:p>
      <w:pPr>
        <w:spacing w:after="160" w:line="300"/>
      </w:pPr>
      <w:r>
        <w:t xml:space="preserve">La propuesta es dejar de inferir el operativo por fecha y modelarlo como lo que es: una entidad propia, a la que cada OT se asocia explícitamente al crearse (o se le puede asignar después, en lote, para las OT ya existentes).</w:t>
      </w:r>
    </w:p>
    <w:p>
      <w:pPr>
        <w:pStyle w:val="Heading2"/>
        <w:spacing w:after="120" w:before="260"/>
      </w:pPr>
      <w:r>
        <w:rPr>
          <w:b/>
          <w:bCs/>
          <w:color w:val="2E86AB"/>
        </w:rPr>
        <w:t xml:space="preserve">6.1 Campos de Operativo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5F" w:val="clear"/>
            <w:tcMar>
              <w:top w:type="dxa" w:w="80"/>
              <w:left w:type="dxa" w:w="100"/>
              <w:bottom w:type="dxa" w:w="80"/>
              <w:right w:type="dxa" w:w="100"/>
            </w:tcMar>
          </w:tcPr>
          <w:p>
            <w:pPr>
              <w:spacing w:after="40"/>
            </w:pPr>
            <w:r>
              <w:rPr>
                <w:b/>
                <w:bCs/>
                <w:color w:val="FFFFFF"/>
                <w:sz w:val="19"/>
                <w:szCs w:val="19"/>
              </w:rPr>
              <w:t xml:space="preserve">Campo</w:t>
            </w:r>
          </w:p>
        </w:tc>
        <w:tc>
          <w:tcPr>
            <w:tcW w:type="dxa" w:w="6760"/>
            <w:shd w:fill="1F4E5F" w:val="clear"/>
            <w:tcMar>
              <w:top w:type="dxa" w:w="80"/>
              <w:left w:type="dxa" w:w="100"/>
              <w:bottom w:type="dxa" w:w="80"/>
              <w:right w:type="dxa" w:w="100"/>
            </w:tcMar>
          </w:tcPr>
          <w:p>
            <w:pPr>
              <w:spacing w:after="40"/>
            </w:pPr>
            <w:r>
              <w:rPr>
                <w:b/>
                <w:bCs/>
                <w:color w:val="FFFFFF"/>
                <w:sz w:val="19"/>
                <w:szCs w:val="19"/>
              </w:rPr>
              <w:t xml:space="preserve">Para qué sirve</w:t>
            </w:r>
          </w:p>
        </w:tc>
      </w:tr>
      <w:tr>
        <w:tc>
          <w:tcPr>
            <w:tcW w:type="dxa" w:w="2600"/>
            <w:tcMar>
              <w:top w:type="dxa" w:w="80"/>
              <w:left w:type="dxa" w:w="100"/>
              <w:bottom w:type="dxa" w:w="80"/>
              <w:right w:type="dxa" w:w="100"/>
            </w:tcMar>
          </w:tcPr>
          <w:p>
            <w:pPr>
              <w:spacing w:after="40"/>
            </w:pPr>
            <w:r>
              <w:rPr>
                <w:b/>
                <w:bCs/>
                <w:sz w:val="19"/>
                <w:szCs w:val="19"/>
              </w:rPr>
              <w:t xml:space="preserve">Empresa convenio</w:t>
            </w:r>
          </w:p>
        </w:tc>
        <w:tc>
          <w:tcPr>
            <w:tcW w:type="dxa" w:w="6760"/>
            <w:tcMar>
              <w:top w:type="dxa" w:w="80"/>
              <w:left w:type="dxa" w:w="100"/>
              <w:bottom w:type="dxa" w:w="80"/>
              <w:right w:type="dxa" w:w="100"/>
            </w:tcMar>
          </w:tcPr>
          <w:p>
            <w:pPr>
              <w:spacing w:after="40"/>
            </w:pPr>
            <w:r>
              <w:rPr>
                <w:sz w:val="19"/>
                <w:szCs w:val="19"/>
              </w:rPr>
              <w:t xml:space="preserve">La empresa donde se realiza la visita (relación existente, OPT_Empresa)</w:t>
            </w:r>
          </w:p>
        </w:tc>
      </w:tr>
      <w:tr>
        <w:tc>
          <w:tcPr>
            <w:tcW w:type="dxa" w:w="2600"/>
            <w:tcMar>
              <w:top w:type="dxa" w:w="80"/>
              <w:left w:type="dxa" w:w="100"/>
              <w:bottom w:type="dxa" w:w="80"/>
              <w:right w:type="dxa" w:w="100"/>
            </w:tcMar>
          </w:tcPr>
          <w:p>
            <w:pPr>
              <w:spacing w:after="40"/>
            </w:pPr>
            <w:r>
              <w:rPr>
                <w:b/>
                <w:bCs/>
                <w:sz w:val="19"/>
                <w:szCs w:val="19"/>
              </w:rPr>
              <w:t xml:space="preserve">Sucursal / equipo responsable</w:t>
            </w:r>
          </w:p>
        </w:tc>
        <w:tc>
          <w:tcPr>
            <w:tcW w:type="dxa" w:w="6760"/>
            <w:tcMar>
              <w:top w:type="dxa" w:w="80"/>
              <w:left w:type="dxa" w:w="100"/>
              <w:bottom w:type="dxa" w:w="80"/>
              <w:right w:type="dxa" w:w="100"/>
            </w:tcMar>
          </w:tcPr>
          <w:p>
            <w:pPr>
              <w:spacing w:after="40"/>
            </w:pPr>
            <w:r>
              <w:rPr>
                <w:sz w:val="19"/>
                <w:szCs w:val="19"/>
              </w:rPr>
              <w:t xml:space="preserve">Qué sucursal organiza y atiende el operativo</w:t>
            </w:r>
          </w:p>
        </w:tc>
      </w:tr>
      <w:tr>
        <w:tc>
          <w:tcPr>
            <w:tcW w:type="dxa" w:w="2600"/>
            <w:tcMar>
              <w:top w:type="dxa" w:w="80"/>
              <w:left w:type="dxa" w:w="100"/>
              <w:bottom w:type="dxa" w:w="80"/>
              <w:right w:type="dxa" w:w="100"/>
            </w:tcMar>
          </w:tcPr>
          <w:p>
            <w:pPr>
              <w:spacing w:after="40"/>
            </w:pPr>
            <w:r>
              <w:rPr>
                <w:b/>
                <w:bCs/>
                <w:sz w:val="19"/>
                <w:szCs w:val="19"/>
              </w:rPr>
              <w:t xml:space="preserve">Fecha de inicio / fin</w:t>
            </w:r>
          </w:p>
        </w:tc>
        <w:tc>
          <w:tcPr>
            <w:tcW w:type="dxa" w:w="6760"/>
            <w:tcMar>
              <w:top w:type="dxa" w:w="80"/>
              <w:left w:type="dxa" w:w="100"/>
              <w:bottom w:type="dxa" w:w="80"/>
              <w:right w:type="dxa" w:w="100"/>
            </w:tcMar>
          </w:tcPr>
          <w:p>
            <w:pPr>
              <w:spacing w:after="40"/>
            </w:pPr>
            <w:r>
              <w:rPr>
                <w:sz w:val="19"/>
                <w:szCs w:val="19"/>
              </w:rPr>
              <w:t xml:space="preserve">Reemplaza al rango de fecha que hoy se adivina por el nombre del Excel (ej. “16.03.26 – 28.03.26”)</w:t>
            </w:r>
          </w:p>
        </w:tc>
      </w:tr>
      <w:tr>
        <w:tc>
          <w:tcPr>
            <w:tcW w:type="dxa" w:w="2600"/>
            <w:tcMar>
              <w:top w:type="dxa" w:w="80"/>
              <w:left w:type="dxa" w:w="100"/>
              <w:bottom w:type="dxa" w:w="80"/>
              <w:right w:type="dxa" w:w="100"/>
            </w:tcMar>
          </w:tcPr>
          <w:p>
            <w:pPr>
              <w:spacing w:after="40"/>
            </w:pPr>
            <w:r>
              <w:rPr>
                <w:b/>
                <w:bCs/>
                <w:sz w:val="19"/>
                <w:szCs w:val="19"/>
              </w:rPr>
              <w:t xml:space="preserve">Lugar</w:t>
            </w:r>
          </w:p>
        </w:tc>
        <w:tc>
          <w:tcPr>
            <w:tcW w:type="dxa" w:w="6760"/>
            <w:tcMar>
              <w:top w:type="dxa" w:w="80"/>
              <w:left w:type="dxa" w:w="100"/>
              <w:bottom w:type="dxa" w:w="80"/>
              <w:right w:type="dxa" w:w="100"/>
            </w:tcMar>
          </w:tcPr>
          <w:p>
            <w:pPr>
              <w:spacing w:after="40"/>
            </w:pPr>
            <w:r>
              <w:rPr>
                <w:sz w:val="19"/>
                <w:szCs w:val="19"/>
              </w:rPr>
              <w:t xml:space="preserve">Cuando el operativo es en terreno, fuera de la sucursal (ej. instalaciones de la empresa convenio)</w:t>
            </w:r>
          </w:p>
        </w:tc>
      </w:tr>
      <w:tr>
        <w:tc>
          <w:tcPr>
            <w:tcW w:type="dxa" w:w="2600"/>
            <w:tcMar>
              <w:top w:type="dxa" w:w="80"/>
              <w:left w:type="dxa" w:w="100"/>
              <w:bottom w:type="dxa" w:w="80"/>
              <w:right w:type="dxa" w:w="100"/>
            </w:tcMar>
          </w:tcPr>
          <w:p>
            <w:pPr>
              <w:spacing w:after="40"/>
            </w:pPr>
            <w:r>
              <w:rPr>
                <w:b/>
                <w:bCs/>
                <w:sz w:val="19"/>
                <w:szCs w:val="19"/>
              </w:rPr>
              <w:t xml:space="preserve">Responsable</w:t>
            </w:r>
          </w:p>
        </w:tc>
        <w:tc>
          <w:tcPr>
            <w:tcW w:type="dxa" w:w="6760"/>
            <w:tcMar>
              <w:top w:type="dxa" w:w="80"/>
              <w:left w:type="dxa" w:w="100"/>
              <w:bottom w:type="dxa" w:w="80"/>
              <w:right w:type="dxa" w:w="100"/>
            </w:tcMar>
          </w:tcPr>
          <w:p>
            <w:pPr>
              <w:spacing w:after="40"/>
            </w:pPr>
            <w:r>
              <w:rPr>
                <w:sz w:val="19"/>
                <w:szCs w:val="19"/>
              </w:rPr>
              <w:t xml:space="preserve">Quién organizó/ejecutó el operativo</w:t>
            </w:r>
          </w:p>
        </w:tc>
      </w:tr>
      <w:tr>
        <w:tc>
          <w:tcPr>
            <w:tcW w:type="dxa" w:w="2600"/>
            <w:tcMar>
              <w:top w:type="dxa" w:w="80"/>
              <w:left w:type="dxa" w:w="100"/>
              <w:bottom w:type="dxa" w:w="80"/>
              <w:right w:type="dxa" w:w="100"/>
            </w:tcMar>
          </w:tcPr>
          <w:p>
            <w:pPr>
              <w:spacing w:after="40"/>
            </w:pPr>
            <w:r>
              <w:rPr>
                <w:b/>
                <w:bCs/>
                <w:sz w:val="19"/>
                <w:szCs w:val="19"/>
              </w:rPr>
              <w:t xml:space="preserve">Estado</w:t>
            </w:r>
          </w:p>
        </w:tc>
        <w:tc>
          <w:tcPr>
            <w:tcW w:type="dxa" w:w="6760"/>
            <w:tcMar>
              <w:top w:type="dxa" w:w="80"/>
              <w:left w:type="dxa" w:w="100"/>
              <w:bottom w:type="dxa" w:w="80"/>
              <w:right w:type="dxa" w:w="100"/>
            </w:tcMar>
          </w:tcPr>
          <w:p>
            <w:pPr>
              <w:spacing w:after="40"/>
            </w:pPr>
            <w:r>
              <w:rPr>
                <w:sz w:val="19"/>
                <w:szCs w:val="19"/>
              </w:rPr>
              <w:t xml:space="preserve">Planificado / En curso / Cerrado — un operativo “cerrado” deja de recibir OT nuevas</w:t>
            </w:r>
          </w:p>
        </w:tc>
      </w:tr>
      <w:tr>
        <w:tc>
          <w:tcPr>
            <w:tcW w:type="dxa" w:w="2600"/>
            <w:tcMar>
              <w:top w:type="dxa" w:w="80"/>
              <w:left w:type="dxa" w:w="100"/>
              <w:bottom w:type="dxa" w:w="80"/>
              <w:right w:type="dxa" w:w="100"/>
            </w:tcMar>
          </w:tcPr>
          <w:p>
            <w:pPr>
              <w:spacing w:after="40"/>
            </w:pPr>
            <w:r>
              <w:rPr>
                <w:b/>
                <w:bCs/>
                <w:sz w:val="19"/>
                <w:szCs w:val="19"/>
              </w:rPr>
              <w:t xml:space="preserve">Costos del operativo</w:t>
            </w:r>
          </w:p>
        </w:tc>
        <w:tc>
          <w:tcPr>
            <w:tcW w:type="dxa" w:w="6760"/>
            <w:tcMar>
              <w:top w:type="dxa" w:w="80"/>
              <w:left w:type="dxa" w:w="100"/>
              <w:bottom w:type="dxa" w:w="80"/>
              <w:right w:type="dxa" w:w="100"/>
            </w:tcMar>
          </w:tcPr>
          <w:p>
            <w:pPr>
              <w:spacing w:after="40"/>
            </w:pPr>
            <w:r>
              <w:rPr>
                <w:sz w:val="19"/>
                <w:szCs w:val="19"/>
              </w:rPr>
              <w:t xml:space="preserve">Traslado, insumos, horas de equipo clínico, comisiones u otro costo directo asociado — lo que permite calcular el resultado, no solo el ingreso</w:t>
            </w:r>
          </w:p>
        </w:tc>
      </w:tr>
    </w:tbl>
    <w:p>
      <w:pPr>
        <w:spacing w:after="200"/>
      </w:pPr>
    </w:p>
    <w:p>
      <w:pPr>
        <w:pStyle w:val="Heading2"/>
        <w:spacing w:after="120" w:before="260"/>
      </w:pPr>
      <w:r>
        <w:rPr>
          <w:b/>
          <w:bCs/>
          <w:color w:val="2E86AB"/>
        </w:rPr>
        <w:t xml:space="preserve">6.2 Qué cambia para Cobranza</w:t>
      </w:r>
    </w:p>
    <w:p>
      <w:pPr>
        <w:pStyle w:val="ListParagraph"/>
        <w:numPr>
          <w:ilvl w:val="0"/>
          <w:numId w:val="2"/>
        </w:numPr>
        <w:spacing w:after="90" w:line="280"/>
      </w:pPr>
      <w:r>
        <w:t xml:space="preserve">La pantalla de Cobranza (sección 7) filtra por Operativo en vez de por empresa + rango de fecha aproximado — exacto, sin OT que se pierdan por quedar un día fuera del rango asumido.</w:t>
      </w:r>
    </w:p>
    <w:p>
      <w:pPr>
        <w:pStyle w:val="ListParagraph"/>
        <w:numPr>
          <w:ilvl w:val="0"/>
          <w:numId w:val="2"/>
        </w:numPr>
        <w:spacing w:after="90" w:line="280"/>
      </w:pPr>
      <w:r>
        <w:t xml:space="preserve">El filtro por rango de fecha se mantiene como respaldo, para las OT que todavía no tengan un operativo asignado.</w:t>
      </w:r>
    </w:p>
    <w:p>
      <w:pPr>
        <w:pStyle w:val="Heading2"/>
        <w:spacing w:after="120" w:before="260"/>
      </w:pPr>
      <w:r>
        <w:rPr>
          <w:b/>
          <w:bCs/>
          <w:color w:val="2E86AB"/>
        </w:rPr>
        <w:t xml:space="preserve">6.3 Qué cambia para el negocio: medir pérdidas y ganancias por operativo</w:t>
      </w:r>
    </w:p>
    <w:p>
      <w:pPr>
        <w:spacing w:after="160" w:line="300"/>
      </w:pPr>
      <w:r>
        <w:t xml:space="preserve">Hoy no hay forma de saber si un operativo específico fue rentable: se sabe cuánto se vendió (Precio de las OT), pero no cuánto costó organizarlo ni cuánto de lo vendido efectivamente se cobró versus se perdió. Con Operativo como entidad, el resultado se arma solo: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5F" w:val="clear"/>
            <w:tcMar>
              <w:top w:type="dxa" w:w="80"/>
              <w:left w:type="dxa" w:w="100"/>
              <w:bottom w:type="dxa" w:w="80"/>
              <w:right w:type="dxa" w:w="100"/>
            </w:tcMar>
          </w:tcPr>
          <w:p>
            <w:pPr>
              <w:spacing w:after="40"/>
            </w:pPr>
            <w:r>
              <w:rPr>
                <w:b/>
                <w:bCs/>
                <w:color w:val="FFFFFF"/>
                <w:sz w:val="19"/>
                <w:szCs w:val="19"/>
              </w:rPr>
              <w:t xml:space="preserve">Componente</w:t>
            </w:r>
          </w:p>
        </w:tc>
        <w:tc>
          <w:tcPr>
            <w:tcW w:type="dxa" w:w="6760"/>
            <w:shd w:fill="1F4E5F" w:val="clear"/>
            <w:tcMar>
              <w:top w:type="dxa" w:w="80"/>
              <w:left w:type="dxa" w:w="100"/>
              <w:bottom w:type="dxa" w:w="80"/>
              <w:right w:type="dxa" w:w="100"/>
            </w:tcMar>
          </w:tcPr>
          <w:p>
            <w:pPr>
              <w:spacing w:after="40"/>
            </w:pPr>
            <w:r>
              <w:rPr>
                <w:b/>
                <w:bCs/>
                <w:color w:val="FFFFFF"/>
                <w:sz w:val="19"/>
                <w:szCs w:val="19"/>
              </w:rPr>
              <w:t xml:space="preserve">Origen del dato</w:t>
            </w:r>
          </w:p>
        </w:tc>
      </w:tr>
      <w:tr>
        <w:tc>
          <w:tcPr>
            <w:tcW w:type="dxa" w:w="2600"/>
            <w:tcMar>
              <w:top w:type="dxa" w:w="80"/>
              <w:left w:type="dxa" w:w="100"/>
              <w:bottom w:type="dxa" w:w="80"/>
              <w:right w:type="dxa" w:w="100"/>
            </w:tcMar>
          </w:tcPr>
          <w:p>
            <w:pPr>
              <w:spacing w:after="40"/>
            </w:pPr>
            <w:r>
              <w:rPr>
                <w:b/>
                <w:bCs/>
                <w:sz w:val="19"/>
                <w:szCs w:val="19"/>
              </w:rPr>
              <w:t xml:space="preserve">+ Ingresos</w:t>
            </w:r>
          </w:p>
        </w:tc>
        <w:tc>
          <w:tcPr>
            <w:tcW w:type="dxa" w:w="6760"/>
            <w:tcMar>
              <w:top w:type="dxa" w:w="80"/>
              <w:left w:type="dxa" w:w="100"/>
              <w:bottom w:type="dxa" w:w="80"/>
              <w:right w:type="dxa" w:w="100"/>
            </w:tcMar>
          </w:tcPr>
          <w:p>
            <w:pPr>
              <w:spacing w:after="40"/>
            </w:pPr>
            <w:r>
              <w:rPr>
                <w:sz w:val="19"/>
                <w:szCs w:val="19"/>
              </w:rPr>
              <w:t xml:space="preserve">Suma de Precio de todas las OT asociadas al operativo</w:t>
            </w:r>
          </w:p>
        </w:tc>
      </w:tr>
      <w:tr>
        <w:tc>
          <w:tcPr>
            <w:tcW w:type="dxa" w:w="2600"/>
            <w:tcMar>
              <w:top w:type="dxa" w:w="80"/>
              <w:left w:type="dxa" w:w="100"/>
              <w:bottom w:type="dxa" w:w="80"/>
              <w:right w:type="dxa" w:w="100"/>
            </w:tcMar>
          </w:tcPr>
          <w:p>
            <w:pPr>
              <w:spacing w:after="40"/>
            </w:pPr>
            <w:r>
              <w:rPr>
                <w:b/>
                <w:bCs/>
                <w:sz w:val="19"/>
                <w:szCs w:val="19"/>
              </w:rPr>
              <w:t xml:space="preserve">+ Cobrado</w:t>
            </w:r>
          </w:p>
        </w:tc>
        <w:tc>
          <w:tcPr>
            <w:tcW w:type="dxa" w:w="6760"/>
            <w:tcMar>
              <w:top w:type="dxa" w:w="80"/>
              <w:left w:type="dxa" w:w="100"/>
              <w:bottom w:type="dxa" w:w="80"/>
              <w:right w:type="dxa" w:w="100"/>
            </w:tcMar>
          </w:tcPr>
          <w:p>
            <w:pPr>
              <w:spacing w:after="40"/>
            </w:pPr>
            <w:r>
              <w:rPr>
                <w:sz w:val="19"/>
                <w:szCs w:val="19"/>
              </w:rPr>
              <w:t xml:space="preserve">Suma de Abono + Pago efectivamente recibido (lo que ya entró en caja)</w:t>
            </w:r>
          </w:p>
        </w:tc>
      </w:tr>
      <w:tr>
        <w:tc>
          <w:tcPr>
            <w:tcW w:type="dxa" w:w="2600"/>
            <w:tcMar>
              <w:top w:type="dxa" w:w="80"/>
              <w:left w:type="dxa" w:w="100"/>
              <w:bottom w:type="dxa" w:w="80"/>
              <w:right w:type="dxa" w:w="100"/>
            </w:tcMar>
          </w:tcPr>
          <w:p>
            <w:pPr>
              <w:spacing w:after="40"/>
            </w:pPr>
            <w:r>
              <w:rPr>
                <w:b/>
                <w:bCs/>
                <w:sz w:val="19"/>
                <w:szCs w:val="19"/>
              </w:rPr>
              <w:t xml:space="preserve">– Pérdida asumida</w:t>
            </w:r>
          </w:p>
        </w:tc>
        <w:tc>
          <w:tcPr>
            <w:tcW w:type="dxa" w:w="6760"/>
            <w:tcMar>
              <w:top w:type="dxa" w:w="80"/>
              <w:left w:type="dxa" w:w="100"/>
              <w:bottom w:type="dxa" w:w="80"/>
              <w:right w:type="dxa" w:w="100"/>
            </w:tcMar>
          </w:tcPr>
          <w:p>
            <w:pPr>
              <w:spacing w:after="40"/>
            </w:pPr>
            <w:r>
              <w:rPr>
                <w:sz w:val="19"/>
                <w:szCs w:val="19"/>
              </w:rPr>
              <w:t xml:space="preserve">Cuotas de OT del operativo cerradas como pérdida (conecta con la Fase 3 de Cobranza: el cierre parcial/pérdida asumida de una cuota)</w:t>
            </w:r>
          </w:p>
        </w:tc>
      </w:tr>
      <w:tr>
        <w:tc>
          <w:tcPr>
            <w:tcW w:type="dxa" w:w="2600"/>
            <w:tcMar>
              <w:top w:type="dxa" w:w="80"/>
              <w:left w:type="dxa" w:w="100"/>
              <w:bottom w:type="dxa" w:w="80"/>
              <w:right w:type="dxa" w:w="100"/>
            </w:tcMar>
          </w:tcPr>
          <w:p>
            <w:pPr>
              <w:spacing w:after="40"/>
            </w:pPr>
            <w:r>
              <w:rPr>
                <w:b/>
                <w:bCs/>
                <w:sz w:val="19"/>
                <w:szCs w:val="19"/>
              </w:rPr>
              <w:t xml:space="preserve">– Costos del operativo</w:t>
            </w:r>
          </w:p>
        </w:tc>
        <w:tc>
          <w:tcPr>
            <w:tcW w:type="dxa" w:w="6760"/>
            <w:tcMar>
              <w:top w:type="dxa" w:w="80"/>
              <w:left w:type="dxa" w:w="100"/>
              <w:bottom w:type="dxa" w:w="80"/>
              <w:right w:type="dxa" w:w="100"/>
            </w:tcMar>
          </w:tcPr>
          <w:p>
            <w:pPr>
              <w:spacing w:after="40"/>
            </w:pPr>
            <w:r>
              <w:rPr>
                <w:sz w:val="19"/>
                <w:szCs w:val="19"/>
              </w:rPr>
              <w:t xml:space="preserve">Lo cargado en el campo Costos (traslado, insumos, horas, comisiones)</w:t>
            </w:r>
          </w:p>
        </w:tc>
      </w:tr>
      <w:tr>
        <w:tc>
          <w:tcPr>
            <w:tcW w:type="dxa" w:w="2600"/>
            <w:tcMar>
              <w:top w:type="dxa" w:w="80"/>
              <w:left w:type="dxa" w:w="100"/>
              <w:bottom w:type="dxa" w:w="80"/>
              <w:right w:type="dxa" w:w="100"/>
            </w:tcMar>
          </w:tcPr>
          <w:p>
            <w:pPr>
              <w:spacing w:after="40"/>
            </w:pPr>
            <w:r>
              <w:rPr>
                <w:b/>
                <w:bCs/>
                <w:sz w:val="19"/>
                <w:szCs w:val="19"/>
              </w:rPr>
              <w:t xml:space="preserve">= Resultado neto</w:t>
            </w:r>
          </w:p>
        </w:tc>
        <w:tc>
          <w:tcPr>
            <w:tcW w:type="dxa" w:w="6760"/>
            <w:tcMar>
              <w:top w:type="dxa" w:w="80"/>
              <w:left w:type="dxa" w:w="100"/>
              <w:bottom w:type="dxa" w:w="80"/>
              <w:right w:type="dxa" w:w="100"/>
            </w:tcMar>
          </w:tcPr>
          <w:p>
            <w:pPr>
              <w:spacing w:after="40"/>
            </w:pPr>
            <w:r>
              <w:rPr>
                <w:sz w:val="19"/>
                <w:szCs w:val="19"/>
              </w:rPr>
              <w:t xml:space="preserve">Cobrado – Pérdida asumida – Costos: cuánto dejó realmente ese operativo, no solo cuánto vendió</w:t>
            </w:r>
          </w:p>
        </w:tc>
      </w:tr>
    </w:tbl>
    <w:p>
      <w:pPr>
        <w:spacing w:after="200"/>
      </w:pPr>
    </w:p>
    <w:p>
      <w:pPr>
        <w:spacing w:after="160" w:line="300"/>
      </w:pPr>
      <w:r>
        <w:t xml:space="preserve">Esto también le da una razón de negocio concreta a cerrar la brecha de “pérdida asumida” de la sección 5: sin ese dato, el resultado de un operativo siempre se ve mejor de lo que es, porque las cuotas que en la práctica nunca se van a cobrar (el caso “NO QUISO LOS LENTES” de MELERO) hoy no quedan registradas como pérdida en ninguna parte.</w:t>
      </w:r>
    </w:p>
    <w:p>
      <w:pPr>
        <w:pStyle w:val="Heading1"/>
        <w:spacing w:after="160" w:before="360"/>
      </w:pPr>
      <w:r>
        <w:rPr>
          <w:b/>
          <w:bCs/>
          <w:color w:val="1F4E5F"/>
        </w:rPr>
        <w:t xml:space="preserve">7. Propuesta funcional: pantalla “Cobranza por convenio”</w:t>
      </w:r>
    </w:p>
    <w:p>
      <w:pPr>
        <w:spacing w:after="160" w:line="300"/>
      </w:pPr>
      <w:r>
        <w:t xml:space="preserve">La idea central es reemplazar el Excel con una pantalla que reproduzca la misma lógica que Cobranza ya usa — misma agrupación, mismas columnas por mes — pero con el estado calculado por el sistema en vez de pintado a mano:</w:t>
      </w:r>
    </w:p>
    <w:p>
      <w:pPr>
        <w:pStyle w:val="ListParagraph"/>
        <w:numPr>
          <w:ilvl w:val="0"/>
          <w:numId w:val="2"/>
        </w:numPr>
        <w:spacing w:after="90" w:line="280"/>
      </w:pPr>
      <w:r>
        <w:t xml:space="preserve">Filtro por Operativo (una vez implementado) o, en su defecto, por empresa convenio y rango de fecha (igual que el reporte actual).</w:t>
      </w:r>
    </w:p>
    <w:p>
      <w:pPr>
        <w:pStyle w:val="ListParagraph"/>
        <w:numPr>
          <w:ilvl w:val="0"/>
          <w:numId w:val="2"/>
        </w:numPr>
        <w:spacing w:after="90" w:line="280"/>
      </w:pPr>
      <w:r>
        <w:t xml:space="preserve">Tabla pivotada: una fila por OT/cliente, una columna por mes de vencimiento, igual que en los Excel revisados.</w:t>
      </w:r>
    </w:p>
    <w:p>
      <w:pPr>
        <w:pStyle w:val="ListParagraph"/>
        <w:numPr>
          <w:ilvl w:val="0"/>
          <w:numId w:val="2"/>
        </w:numPr>
        <w:spacing w:after="90" w:line="280"/>
      </w:pPr>
      <w:r>
        <w:t xml:space="preserve">Cada celda de cuota se colorea sola según su EstadoCuota (y, para las pendientes, según si ya venció):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5F" w:val="clear"/>
            <w:tcMar>
              <w:top w:type="dxa" w:w="80"/>
              <w:left w:type="dxa" w:w="100"/>
              <w:bottom w:type="dxa" w:w="80"/>
              <w:right w:type="dxa" w:w="100"/>
            </w:tcMar>
          </w:tcPr>
          <w:p>
            <w:pPr>
              <w:spacing w:after="40"/>
            </w:pPr>
            <w:r>
              <w:rPr>
                <w:b/>
                <w:bCs/>
                <w:color w:val="FFFFFF"/>
                <w:sz w:val="19"/>
                <w:szCs w:val="19"/>
              </w:rPr>
              <w:t xml:space="preserve">Color</w:t>
            </w:r>
          </w:p>
        </w:tc>
        <w:tc>
          <w:tcPr>
            <w:tcW w:type="dxa" w:w="6960"/>
            <w:shd w:fill="1F4E5F" w:val="clear"/>
            <w:tcMar>
              <w:top w:type="dxa" w:w="80"/>
              <w:left w:type="dxa" w:w="100"/>
              <w:bottom w:type="dxa" w:w="80"/>
              <w:right w:type="dxa" w:w="100"/>
            </w:tcMar>
          </w:tcPr>
          <w:p>
            <w:pPr>
              <w:spacing w:after="40"/>
            </w:pPr>
            <w:r>
              <w:rPr>
                <w:b/>
                <w:bCs/>
                <w:color w:val="FFFFFF"/>
                <w:sz w:val="19"/>
                <w:szCs w:val="19"/>
              </w:rPr>
              <w:t xml:space="preserve">Significado (calculado automáticamente por el sistema)</w:t>
            </w:r>
          </w:p>
        </w:tc>
      </w:tr>
      <w:tr>
        <w:tc>
          <w:tcPr>
            <w:tcW w:type="dxa" w:w="2400"/>
            <w:shd w:fill="C6EFCE" w:val="clear"/>
            <w:tcMar>
              <w:top w:type="dxa" w:w="80"/>
              <w:left w:type="dxa" w:w="100"/>
              <w:bottom w:type="dxa" w:w="80"/>
              <w:right w:type="dxa" w:w="100"/>
            </w:tcMar>
          </w:tcPr>
          <w:p>
            <w:pPr>
              <w:spacing w:after="40"/>
            </w:pPr>
            <w:r>
              <w:rPr>
                <w:sz w:val="19"/>
                <w:szCs w:val="19"/>
              </w:rPr>
              <w:t xml:space="preserve">Verde</w:t>
            </w:r>
          </w:p>
        </w:tc>
        <w:tc>
          <w:tcPr>
            <w:tcW w:type="dxa" w:w="6960"/>
            <w:tcMar>
              <w:top w:type="dxa" w:w="80"/>
              <w:left w:type="dxa" w:w="100"/>
              <w:bottom w:type="dxa" w:w="80"/>
              <w:right w:type="dxa" w:w="100"/>
            </w:tcMar>
          </w:tcPr>
          <w:p>
            <w:pPr>
              <w:spacing w:after="40"/>
            </w:pPr>
            <w:r>
              <w:rPr>
                <w:sz w:val="19"/>
                <w:szCs w:val="19"/>
              </w:rPr>
              <w:t xml:space="preserve">Cuota pagada (según fecha real de cobro registrada)</w:t>
            </w:r>
          </w:p>
        </w:tc>
      </w:tr>
      <w:tr>
        <w:tc>
          <w:tcPr>
            <w:tcW w:type="dxa" w:w="2400"/>
            <w:shd w:fill="FFEB9C" w:val="clear"/>
            <w:tcMar>
              <w:top w:type="dxa" w:w="80"/>
              <w:left w:type="dxa" w:w="100"/>
              <w:bottom w:type="dxa" w:w="80"/>
              <w:right w:type="dxa" w:w="100"/>
            </w:tcMar>
          </w:tcPr>
          <w:p>
            <w:pPr>
              <w:spacing w:after="40"/>
            </w:pPr>
            <w:r>
              <w:rPr>
                <w:sz w:val="19"/>
                <w:szCs w:val="19"/>
              </w:rPr>
              <w:t xml:space="preserve">Ámbar</w:t>
            </w:r>
          </w:p>
        </w:tc>
        <w:tc>
          <w:tcPr>
            <w:tcW w:type="dxa" w:w="6960"/>
            <w:tcMar>
              <w:top w:type="dxa" w:w="80"/>
              <w:left w:type="dxa" w:w="100"/>
              <w:bottom w:type="dxa" w:w="80"/>
              <w:right w:type="dxa" w:w="100"/>
            </w:tcMar>
          </w:tcPr>
          <w:p>
            <w:pPr>
              <w:spacing w:after="40"/>
            </w:pPr>
            <w:r>
              <w:rPr>
                <w:sz w:val="19"/>
                <w:szCs w:val="19"/>
              </w:rPr>
              <w:t xml:space="preserve">Cuota pendiente, dentro de plazo</w:t>
            </w:r>
          </w:p>
        </w:tc>
      </w:tr>
      <w:tr>
        <w:tc>
          <w:tcPr>
            <w:tcW w:type="dxa" w:w="2400"/>
            <w:shd w:fill="FFC7CE" w:val="clear"/>
            <w:tcMar>
              <w:top w:type="dxa" w:w="80"/>
              <w:left w:type="dxa" w:w="100"/>
              <w:bottom w:type="dxa" w:w="80"/>
              <w:right w:type="dxa" w:w="100"/>
            </w:tcMar>
          </w:tcPr>
          <w:p>
            <w:pPr>
              <w:spacing w:after="40"/>
            </w:pPr>
            <w:r>
              <w:rPr>
                <w:sz w:val="19"/>
                <w:szCs w:val="19"/>
              </w:rPr>
              <w:t xml:space="preserve">Rojo</w:t>
            </w:r>
          </w:p>
        </w:tc>
        <w:tc>
          <w:tcPr>
            <w:tcW w:type="dxa" w:w="6960"/>
            <w:tcMar>
              <w:top w:type="dxa" w:w="80"/>
              <w:left w:type="dxa" w:w="100"/>
              <w:bottom w:type="dxa" w:w="80"/>
              <w:right w:type="dxa" w:w="100"/>
            </w:tcMar>
          </w:tcPr>
          <w:p>
            <w:pPr>
              <w:spacing w:after="40"/>
            </w:pPr>
            <w:r>
              <w:rPr>
                <w:sz w:val="19"/>
                <w:szCs w:val="19"/>
              </w:rPr>
              <w:t xml:space="preserve">Cuota vencida sin pago</w:t>
            </w:r>
          </w:p>
        </w:tc>
      </w:tr>
    </w:tbl>
    <w:p>
      <w:pPr>
        <w:spacing w:after="160"/>
      </w:pPr>
    </w:p>
    <w:p>
      <w:pPr>
        <w:pStyle w:val="ListParagraph"/>
        <w:numPr>
          <w:ilvl w:val="0"/>
          <w:numId w:val="2"/>
        </w:numPr>
        <w:spacing w:after="90" w:line="280"/>
      </w:pPr>
      <w:r>
        <w:t xml:space="preserve">Clic en una cuota pendiente abre el registro de pago (forma de pago, fecha, referencia/boleta) usando PagarCuota — sin salir de la pantalla, sin pasar por la ficha completa de la OT.</w:t>
      </w:r>
    </w:p>
    <w:p>
      <w:pPr>
        <w:pStyle w:val="ListParagraph"/>
        <w:numPr>
          <w:ilvl w:val="0"/>
          <w:numId w:val="2"/>
        </w:numPr>
        <w:spacing w:after="90" w:line="280"/>
      </w:pPr>
      <w:r>
        <w:t xml:space="preserve">Columna de teléfono (Cliente.Celular) siempre visible, para no tener que buscarlo aparte.</w:t>
      </w:r>
    </w:p>
    <w:p>
      <w:pPr>
        <w:pStyle w:val="ListParagraph"/>
        <w:numPr>
          <w:ilvl w:val="0"/>
          <w:numId w:val="2"/>
        </w:numPr>
        <w:spacing w:after="90" w:line="280"/>
      </w:pPr>
      <w:r>
        <w:t xml:space="preserve">Filtro adicional “solo desvinculados”, que muestra las cuotas de clientes marcados como tales, con un campo para registrar el resultado de la gestión telefónica (pagó total / pagó parcial / sin respuesta / pérdida) y la fecha.</w:t>
      </w:r>
    </w:p>
    <w:p>
      <w:pPr>
        <w:pStyle w:val="ListParagraph"/>
        <w:numPr>
          <w:ilvl w:val="0"/>
          <w:numId w:val="2"/>
        </w:numPr>
        <w:spacing w:after="90" w:line="280"/>
      </w:pPr>
      <w:r>
        <w:t xml:space="preserve">Exportar a Excel la vista filtrada, para quienes necesiten seguir imprimiendo o archivando.</w:t>
      </w:r>
    </w:p>
    <w:p>
      <w:pPr>
        <w:pStyle w:val="Heading1"/>
        <w:spacing w:after="160" w:before="360"/>
      </w:pPr>
      <w:r>
        <w:rPr>
          <w:b/>
          <w:bCs/>
          <w:color w:val="1F4E5F"/>
        </w:rPr>
        <w:t xml:space="preserve">8. Fases sugeridas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3800"/>
      </w:tblGrid>
      <w:tr>
        <w:trPr>
          <w:tblHeader/>
        </w:trPr>
        <w:tc>
          <w:tcPr>
            <w:tcW w:type="dxa" w:w="1400"/>
            <w:shd w:fill="1F4E5F" w:val="clear"/>
            <w:tcMar>
              <w:top w:type="dxa" w:w="80"/>
              <w:left w:type="dxa" w:w="100"/>
              <w:bottom w:type="dxa" w:w="80"/>
              <w:right w:type="dxa" w:w="100"/>
            </w:tcMar>
          </w:tcPr>
          <w:p>
            <w:pPr>
              <w:spacing w:after="40"/>
            </w:pPr>
            <w:r>
              <w:rPr>
                <w:b/>
                <w:bCs/>
                <w:color w:val="FFFFFF"/>
                <w:sz w:val="19"/>
                <w:szCs w:val="19"/>
              </w:rPr>
              <w:t xml:space="preserve">Fase</w:t>
            </w:r>
          </w:p>
        </w:tc>
        <w:tc>
          <w:tcPr>
            <w:tcW w:type="dxa" w:w="4160"/>
            <w:shd w:fill="1F4E5F" w:val="clear"/>
            <w:tcMar>
              <w:top w:type="dxa" w:w="80"/>
              <w:left w:type="dxa" w:w="100"/>
              <w:bottom w:type="dxa" w:w="80"/>
              <w:right w:type="dxa" w:w="100"/>
            </w:tcMar>
          </w:tcPr>
          <w:p>
            <w:pPr>
              <w:spacing w:after="40"/>
            </w:pPr>
            <w:r>
              <w:rPr>
                <w:b/>
                <w:bCs/>
                <w:color w:val="FFFFFF"/>
                <w:sz w:val="19"/>
                <w:szCs w:val="19"/>
              </w:rPr>
              <w:t xml:space="preserve">Alcance</w:t>
            </w:r>
          </w:p>
        </w:tc>
        <w:tc>
          <w:tcPr>
            <w:tcW w:type="dxa" w:w="3800"/>
            <w:shd w:fill="1F4E5F" w:val="clear"/>
            <w:tcMar>
              <w:top w:type="dxa" w:w="80"/>
              <w:left w:type="dxa" w:w="100"/>
              <w:bottom w:type="dxa" w:w="80"/>
              <w:right w:type="dxa" w:w="100"/>
            </w:tcMar>
          </w:tcPr>
          <w:p>
            <w:pPr>
              <w:spacing w:after="40"/>
            </w:pPr>
            <w:r>
              <w:rPr>
                <w:b/>
                <w:bCs/>
                <w:color w:val="FFFFFF"/>
                <w:sz w:val="19"/>
                <w:szCs w:val="19"/>
              </w:rPr>
              <w:t xml:space="preserve">Resultado para Cobranza</w:t>
            </w:r>
          </w:p>
        </w:tc>
      </w:tr>
      <w:tr>
        <w:tc>
          <w:tcPr>
            <w:tcW w:type="dxa" w:w="1400"/>
            <w:tcMar>
              <w:top w:type="dxa" w:w="80"/>
              <w:left w:type="dxa" w:w="100"/>
              <w:bottom w:type="dxa" w:w="80"/>
              <w:right w:type="dxa" w:w="100"/>
            </w:tcMar>
          </w:tcPr>
          <w:p>
            <w:pPr>
              <w:spacing w:after="40"/>
            </w:pPr>
            <w:r>
              <w:rPr>
                <w:b/>
                <w:bCs/>
                <w:sz w:val="19"/>
                <w:szCs w:val="19"/>
              </w:rPr>
              <w:t xml:space="preserve">Fase 0</w:t>
            </w:r>
          </w:p>
        </w:tc>
        <w:tc>
          <w:tcPr>
            <w:tcW w:type="dxa" w:w="4160"/>
            <w:tcMar>
              <w:top w:type="dxa" w:w="80"/>
              <w:left w:type="dxa" w:w="100"/>
              <w:bottom w:type="dxa" w:w="80"/>
              <w:right w:type="dxa" w:w="100"/>
            </w:tcMar>
          </w:tcPr>
          <w:p>
            <w:pPr>
              <w:spacing w:after="40"/>
            </w:pPr>
            <w:r>
              <w:rPr>
                <w:sz w:val="19"/>
                <w:szCs w:val="19"/>
              </w:rPr>
              <w:t xml:space="preserve">Entidad Operativo Oftalmológico (empresa, fechas, lugar, responsable, estado, costos) + OperativoId opcional en OT, asignable al crear la OT o en lote sobre OT existentes</w:t>
            </w:r>
          </w:p>
        </w:tc>
        <w:tc>
          <w:tcPr>
            <w:tcW w:type="dxa" w:w="3800"/>
            <w:tcMar>
              <w:top w:type="dxa" w:w="80"/>
              <w:left w:type="dxa" w:w="100"/>
              <w:bottom w:type="dxa" w:w="80"/>
              <w:right w:type="dxa" w:w="100"/>
            </w:tcMar>
          </w:tcPr>
          <w:p>
            <w:pPr>
              <w:spacing w:after="40"/>
            </w:pPr>
            <w:r>
              <w:rPr>
                <w:sz w:val="19"/>
                <w:szCs w:val="19"/>
              </w:rPr>
              <w:t xml:space="preserve">Base para filtrar por operativo en vez de por rango de fecha, y para medir su resultado</w:t>
            </w:r>
          </w:p>
        </w:tc>
      </w:tr>
      <w:tr>
        <w:tc>
          <w:tcPr>
            <w:tcW w:type="dxa" w:w="1400"/>
            <w:tcMar>
              <w:top w:type="dxa" w:w="80"/>
              <w:left w:type="dxa" w:w="100"/>
              <w:bottom w:type="dxa" w:w="80"/>
              <w:right w:type="dxa" w:w="100"/>
            </w:tcMar>
          </w:tcPr>
          <w:p>
            <w:pPr>
              <w:spacing w:after="40"/>
            </w:pPr>
            <w:r>
              <w:rPr>
                <w:b/>
                <w:bCs/>
                <w:sz w:val="19"/>
                <w:szCs w:val="19"/>
              </w:rPr>
              <w:t xml:space="preserve">Fase 1</w:t>
            </w:r>
          </w:p>
        </w:tc>
        <w:tc>
          <w:tcPr>
            <w:tcW w:type="dxa" w:w="4160"/>
            <w:tcMar>
              <w:top w:type="dxa" w:w="80"/>
              <w:left w:type="dxa" w:w="100"/>
              <w:bottom w:type="dxa" w:w="80"/>
              <w:right w:type="dxa" w:w="100"/>
            </w:tcMar>
          </w:tcPr>
          <w:p>
            <w:pPr>
              <w:spacing w:after="40"/>
            </w:pPr>
            <w:r>
              <w:rPr>
                <w:sz w:val="19"/>
                <w:szCs w:val="19"/>
              </w:rPr>
              <w:t xml:space="preserve">Pantalla “Cobranza por convenio” (filtro por Operativo o por empresa + rango de fecha, tabla pivotada por mes de vencimiento, color automático por EstadoCuota) + pago de cuota en línea usando PagarCuota + campo Referencia/Boleta en Cuota</w:t>
            </w:r>
          </w:p>
        </w:tc>
        <w:tc>
          <w:tcPr>
            <w:tcW w:type="dxa" w:w="3800"/>
            <w:tcMar>
              <w:top w:type="dxa" w:w="80"/>
              <w:left w:type="dxa" w:w="100"/>
              <w:bottom w:type="dxa" w:w="80"/>
              <w:right w:type="dxa" w:w="100"/>
            </w:tcMar>
          </w:tcPr>
          <w:p>
            <w:pPr>
              <w:spacing w:after="40"/>
            </w:pPr>
            <w:r>
              <w:rPr>
                <w:sz w:val="19"/>
                <w:szCs w:val="19"/>
              </w:rPr>
              <w:t xml:space="preserve">Deja de necesitar el Excel para ver y cobrar cuotas del día a día</w:t>
            </w:r>
          </w:p>
        </w:tc>
      </w:tr>
      <w:tr>
        <w:tc>
          <w:tcPr>
            <w:tcW w:type="dxa" w:w="1400"/>
            <w:tcMar>
              <w:top w:type="dxa" w:w="80"/>
              <w:left w:type="dxa" w:w="100"/>
              <w:bottom w:type="dxa" w:w="80"/>
              <w:right w:type="dxa" w:w="100"/>
            </w:tcMar>
          </w:tcPr>
          <w:p>
            <w:pPr>
              <w:spacing w:after="40"/>
            </w:pPr>
            <w:r>
              <w:rPr>
                <w:b/>
                <w:bCs/>
                <w:sz w:val="19"/>
                <w:szCs w:val="19"/>
              </w:rPr>
              <w:t xml:space="preserve">Fase 2</w:t>
            </w:r>
          </w:p>
        </w:tc>
        <w:tc>
          <w:tcPr>
            <w:tcW w:type="dxa" w:w="4160"/>
            <w:tcMar>
              <w:top w:type="dxa" w:w="80"/>
              <w:left w:type="dxa" w:w="100"/>
              <w:bottom w:type="dxa" w:w="80"/>
              <w:right w:type="dxa" w:w="100"/>
            </w:tcMar>
          </w:tcPr>
          <w:p>
            <w:pPr>
              <w:spacing w:after="40"/>
            </w:pPr>
            <w:r>
              <w:rPr>
                <w:sz w:val="19"/>
                <w:szCs w:val="19"/>
              </w:rPr>
              <w:t xml:space="preserve">Flag Cliente.Desvinculado + vista “Gestión telefónica” con bitácora de llamadas (fecha, resultado) sobre las cuotas de clientes desvinculados</w:t>
            </w:r>
          </w:p>
        </w:tc>
        <w:tc>
          <w:tcPr>
            <w:tcW w:type="dxa" w:w="3800"/>
            <w:tcMar>
              <w:top w:type="dxa" w:w="80"/>
              <w:left w:type="dxa" w:w="100"/>
              <w:bottom w:type="dxa" w:w="80"/>
              <w:right w:type="dxa" w:w="100"/>
            </w:tcMar>
          </w:tcPr>
          <w:p>
            <w:pPr>
              <w:spacing w:after="40"/>
            </w:pPr>
            <w:r>
              <w:rPr>
                <w:sz w:val="19"/>
                <w:szCs w:val="19"/>
              </w:rPr>
              <w:t xml:space="preserve">Reemplaza la sección manual “DESVINCULADO – COBRAR POR ÓPTICA” con trazabilidad real</w:t>
            </w:r>
          </w:p>
        </w:tc>
      </w:tr>
      <w:tr>
        <w:tc>
          <w:tcPr>
            <w:tcW w:type="dxa" w:w="1400"/>
            <w:tcMar>
              <w:top w:type="dxa" w:w="80"/>
              <w:left w:type="dxa" w:w="100"/>
              <w:bottom w:type="dxa" w:w="80"/>
              <w:right w:type="dxa" w:w="100"/>
            </w:tcMar>
          </w:tcPr>
          <w:p>
            <w:pPr>
              <w:spacing w:after="40"/>
            </w:pPr>
            <w:r>
              <w:rPr>
                <w:b/>
                <w:bCs/>
                <w:sz w:val="19"/>
                <w:szCs w:val="19"/>
              </w:rPr>
              <w:t xml:space="preserve">Fase 3</w:t>
            </w:r>
          </w:p>
        </w:tc>
        <w:tc>
          <w:tcPr>
            <w:tcW w:type="dxa" w:w="4160"/>
            <w:tcMar>
              <w:top w:type="dxa" w:w="80"/>
              <w:left w:type="dxa" w:w="100"/>
              <w:bottom w:type="dxa" w:w="80"/>
              <w:right w:type="dxa" w:w="100"/>
            </w:tcMar>
          </w:tcPr>
          <w:p>
            <w:pPr>
              <w:spacing w:after="40"/>
            </w:pPr>
            <w:r>
              <w:rPr>
                <w:sz w:val="19"/>
                <w:szCs w:val="19"/>
              </w:rPr>
              <w:t xml:space="preserve">Acción de cierre parcial / pérdida asumida sobre una cuota (distinta de Anular) + reporte de Ganancias y Pérdidas por Operativo + exportación a Excel de la vista pivotada</w:t>
            </w:r>
          </w:p>
        </w:tc>
        <w:tc>
          <w:tcPr>
            <w:tcW w:type="dxa" w:w="3800"/>
            <w:tcMar>
              <w:top w:type="dxa" w:w="80"/>
              <w:left w:type="dxa" w:w="100"/>
              <w:bottom w:type="dxa" w:w="80"/>
              <w:right w:type="dxa" w:w="100"/>
            </w:tcMar>
          </w:tcPr>
          <w:p>
            <w:pPr>
              <w:spacing w:after="40"/>
            </w:pPr>
            <w:r>
              <w:rPr>
                <w:sz w:val="19"/>
                <w:szCs w:val="19"/>
              </w:rPr>
              <w:t xml:space="preserve">Cubre los casos límite (pago parcial, pérdida) y entrega el resultado real de cada operativo</w:t>
            </w:r>
          </w:p>
        </w:tc>
      </w:tr>
    </w:tbl>
    <w:p>
      <w:pPr>
        <w:spacing w:after="200"/>
      </w:pPr>
    </w:p>
    <w:p>
      <w:pPr>
        <w:pStyle w:val="Heading1"/>
        <w:spacing w:after="160" w:before="360"/>
      </w:pPr>
      <w:r>
        <w:rPr>
          <w:b/>
          <w:bCs/>
          <w:color w:val="1F4E5F"/>
        </w:rPr>
        <w:t xml:space="preserve">9. Preguntas para definir con el negocio</w:t>
      </w:r>
    </w:p>
    <w:p>
      <w:pPr>
        <w:spacing w:after="160" w:line="300"/>
      </w:pPr>
      <w:r>
        <w:t xml:space="preserve">Antes de dimensionar el desarrollo, conviene que Cobranza y tú definan estos puntos — no son decisiones técnicas, son reglas de negocio que hoy solo existen en la cabeza de quien llena el Excel:</w:t>
      </w:r>
    </w:p>
    <w:p>
      <w:pPr>
        <w:pStyle w:val="ListParagraph"/>
        <w:numPr>
          <w:ilvl w:val="0"/>
          <w:numId w:val="4"/>
        </w:numPr>
        <w:spacing w:after="120" w:line="280"/>
      </w:pPr>
      <w:r>
        <w:t xml:space="preserve">Cuando se acepta un pago parcial sobre la última cuota de un desvinculado (asumiendo el resto como pérdida), ¿la cuota debe quedar formalmente “cerrada” en el sistema, o debe seguir figurando como saldo pendiente aunque en la práctica no se vaya a cobrar más?</w:t>
      </w:r>
    </w:p>
    <w:p>
      <w:pPr>
        <w:pStyle w:val="ListParagraph"/>
        <w:numPr>
          <w:ilvl w:val="0"/>
          <w:numId w:val="4"/>
        </w:numPr>
        <w:spacing w:after="120" w:line="280"/>
      </w:pPr>
      <w:r>
        <w:t xml:space="preserve">¿Quién marca a un cliente como desvinculado, y con qué información — hoy parece ser un dato que la empresa convenio informa por fuera del sistema?</w:t>
      </w:r>
    </w:p>
    <w:p>
      <w:pPr>
        <w:pStyle w:val="ListParagraph"/>
        <w:numPr>
          <w:ilvl w:val="0"/>
          <w:numId w:val="4"/>
        </w:numPr>
        <w:spacing w:after="120" w:line="280"/>
      </w:pPr>
      <w:r>
        <w:t xml:space="preserve">El número de boleta que hoy anotan junto a la primera cuota, ¿corresponde siempre a la boleta de la OT completa, o puede haber una boleta distinta por cada cuota pagada?</w:t>
      </w:r>
    </w:p>
    <w:p>
      <w:pPr>
        <w:pStyle w:val="ListParagraph"/>
        <w:numPr>
          <w:ilvl w:val="0"/>
          <w:numId w:val="4"/>
        </w:numPr>
        <w:spacing w:after="120" w:line="280"/>
      </w:pPr>
      <w:r>
        <w:t xml:space="preserve">¿La fecha “real de cobro” que anotan aparte de la fecha de vencimiento debe reemplazar a FechaPago en Cuota, o es información adicional que también quieren conservar?</w:t>
      </w:r>
    </w:p>
    <w:p>
      <w:pPr>
        <w:pStyle w:val="ListParagraph"/>
        <w:numPr>
          <w:ilvl w:val="0"/>
          <w:numId w:val="4"/>
        </w:numPr>
        <w:spacing w:after="120" w:line="280"/>
      </w:pPr>
      <w:r>
        <w:t xml:space="preserve">Para un operativo ya cerrado con OT sin operativo asignado (las que se generan en sucursal, fuera de cualquier visita a una empresa), ¿quedan simplemente sin Operativo, o toda OT con EmpresaId debería exigir uno?</w:t>
      </w:r>
    </w:p>
    <w:p>
      <w:pPr>
        <w:pStyle w:val="ListParagraph"/>
        <w:numPr>
          <w:ilvl w:val="0"/>
          <w:numId w:val="4"/>
        </w:numPr>
        <w:spacing w:after="120" w:line="280"/>
      </w:pPr>
      <w:r>
        <w:t xml:space="preserve">¿Qué costos reales conviene cargar por operativo (traslado, insumos, horas del equipo, comisiones) y quién los va a ingresar — hoy ese dato no existe en ningún lado, ni en el sistema ni en los Excel?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20" w:hanging="320"/>
      </w:pPr>
    </w:lvl>
  </w:abstractNum>
  <w:abstractNum w:abstractNumId="4"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2026-09-15T23:20:26.160Z</dcterms:created>
  <dcterms:modified xsi:type="dcterms:W3CDTF">2026-09-15T23:20:26.168Z</dcterms:modified>
</cp:coreProperties>
</file>

<file path=docProps/custom.xml><?xml version="1.0" encoding="utf-8"?>
<Properties xmlns="http://schemas.openxmlformats.org/officeDocument/2006/custom-properties" xmlns:vt="http://schemas.openxmlformats.org/officeDocument/2006/docPropsVTypes"/>
</file>