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b/>
          <w:color w:val="1F3A5F"/>
          <w:sz w:val="88"/>
        </w:rPr>
        <w:t>OPT</w:t>
      </w:r>
    </w:p>
    <w:p>
      <w:pPr>
        <w:jc w:val="center"/>
      </w:pPr>
      <w:r>
        <w:rPr>
          <w:color w:val="2E74B5"/>
          <w:sz w:val="44"/>
        </w:rPr>
        <w:t>Manual Técnico — Base de Datos y Backend</w:t>
      </w:r>
    </w:p>
    <w:p>
      <w:pPr>
        <w:jc w:val="center"/>
      </w:pPr>
      <w:r>
        <w:rPr>
          <w:i/>
          <w:color w:val="595959"/>
          <w:sz w:val="26"/>
        </w:rPr>
        <w:t>Sistema de gestión de ópticas — Fase 0 (scaffold Clean Architecture)</w:t>
      </w:r>
    </w:p>
    <w:p>
      <w:pPr>
        <w:spacing w:after="1600"/>
      </w:pPr>
    </w:p>
    <w:tbl>
      <w:tblPr>
        <w:tblW w:type="auto" w:w="0"/>
        <w:jc w:val="center"/>
        <w:tblLook w:firstColumn="1" w:firstRow="1" w:lastColumn="0" w:lastRow="0" w:noHBand="0" w:noVBand="1" w:val="04A0"/>
      </w:tblPr>
      <w:tblGrid>
        <w:gridCol w:w="4320"/>
        <w:gridCol w:w="4320"/>
      </w:tblGrid>
      <w:tr>
        <w:tc>
          <w:tcPr>
            <w:tcW w:type="dxa" w:w="2551"/>
          </w:tcPr>
          <w:p>
            <w:r/>
            <w:r>
              <w:rPr>
                <w:rFonts w:ascii="Calibri" w:hAnsi="Calibri"/>
                <w:b/>
                <w:color w:val="1F3A5F"/>
                <w:sz w:val="20"/>
              </w:rPr>
              <w:t>Versión del documento</w:t>
            </w:r>
          </w:p>
        </w:tc>
        <w:tc>
          <w:tcPr>
            <w:tcW w:type="dxa" w:w="6236"/>
          </w:tcPr>
          <w:p>
            <w:r>
              <w:t>1.2</w:t>
            </w:r>
          </w:p>
        </w:tc>
      </w:tr>
      <w:tr>
        <w:tc>
          <w:tcPr>
            <w:tcW w:type="dxa" w:w="2551"/>
          </w:tcPr>
          <w:p>
            <w:r/>
            <w:r>
              <w:rPr>
                <w:rFonts w:ascii="Calibri" w:hAnsi="Calibri"/>
                <w:b/>
                <w:color w:val="1F3A5F"/>
                <w:sz w:val="20"/>
              </w:rPr>
              <w:t>Fecha</w:t>
            </w:r>
          </w:p>
        </w:tc>
        <w:tc>
          <w:tcPr>
            <w:tcW w:type="dxa" w:w="6236"/>
          </w:tcPr>
          <w:p>
            <w:r>
              <w:t>2026-08-28</w:t>
            </w:r>
          </w:p>
        </w:tc>
      </w:tr>
      <w:tr>
        <w:tc>
          <w:tcPr>
            <w:tcW w:type="dxa" w:w="2551"/>
          </w:tcPr>
          <w:p>
            <w:r/>
            <w:r>
              <w:rPr>
                <w:rFonts w:ascii="Calibri" w:hAnsi="Calibri"/>
                <w:b/>
                <w:color w:val="1F3A5F"/>
                <w:sz w:val="20"/>
              </w:rPr>
              <w:t>Alcance</w:t>
            </w:r>
          </w:p>
        </w:tc>
        <w:tc>
          <w:tcPr>
            <w:tcW w:type="dxa" w:w="6236"/>
          </w:tcPr>
          <w:p>
            <w:r/>
            <w:r>
              <w:rPr>
                <w:rFonts w:ascii="Calibri" w:hAnsi="Calibri"/>
                <w:b w:val="0"/>
                <w:sz w:val="20"/>
              </w:rPr>
              <w:t>src/backend/ (OPT.Domain, OPT.Application, OPT.Infrastructure, OPT.API) y src/basedatos/</w:t>
            </w:r>
          </w:p>
        </w:tc>
      </w:tr>
      <w:tr>
        <w:tc>
          <w:tcPr>
            <w:tcW w:type="dxa" w:w="2551"/>
          </w:tcPr>
          <w:p>
            <w:r/>
            <w:r>
              <w:rPr>
                <w:rFonts w:ascii="Calibri" w:hAnsi="Calibri"/>
                <w:b/>
                <w:color w:val="1F3A5F"/>
                <w:sz w:val="20"/>
              </w:rPr>
              <w:t>Audiencia</w:t>
            </w:r>
          </w:p>
        </w:tc>
        <w:tc>
          <w:tcPr>
            <w:tcW w:type="dxa" w:w="6236"/>
          </w:tcPr>
          <w:p>
            <w:r/>
            <w:r>
              <w:rPr>
                <w:rFonts w:ascii="Calibri" w:hAnsi="Calibri"/>
                <w:b w:val="0"/>
                <w:sz w:val="20"/>
              </w:rPr>
              <w:t>Desarrolladores backend, DBA, arquitectos</w:t>
            </w:r>
          </w:p>
        </w:tc>
      </w:tr>
      <w:tr>
        <w:tc>
          <w:tcPr>
            <w:tcW w:type="dxa" w:w="2551"/>
          </w:tcPr>
          <w:p>
            <w:r/>
            <w:r>
              <w:rPr>
                <w:rFonts w:ascii="Calibri" w:hAnsi="Calibri"/>
                <w:b/>
                <w:color w:val="1F3A5F"/>
                <w:sz w:val="20"/>
              </w:rPr>
              <w:t>Basado en</w:t>
            </w:r>
          </w:p>
        </w:tc>
        <w:tc>
          <w:tcPr>
            <w:tcW w:type="dxa" w:w="6236"/>
          </w:tcPr>
          <w:p>
            <w:r>
              <w:t>Scaffold Fase 0 + ADR 0001, 0003, 0004, 0005, 0006, 0007, 0008, 0009</w:t>
            </w:r>
          </w:p>
        </w:tc>
      </w:tr>
    </w:tbl>
    <w:p>
      <w:r>
        <w:br w:type="page"/>
      </w:r>
    </w:p>
    <w:p>
      <w:pPr>
        <w:pStyle w:val="Heading1"/>
      </w:pPr>
      <w:r>
        <w:t>Índice</w:t>
      </w:r>
    </w:p>
    <w:p>
      <w:r>
        <w:fldChar w:fldCharType="begin"/>
        <w:instrText xml:space="preserve">TOC \o "1-3" \h \z \u</w:instrText>
        <w:fldChar w:fldCharType="separate"/>
        <w:t>Haga clic derecho aquí y seleccione «Actualizar campo» para generar el índice.</w:t>
        <w:fldChar w:fldCharType="end"/>
      </w:r>
    </w:p>
    <w:p>
      <w:r>
        <w:br w:type="page"/>
      </w:r>
    </w:p>
    <w:p>
      <w:pPr>
        <w:pStyle w:val="Heading1"/>
      </w:pPr>
      <w:r>
        <w:t>1. Introducción</w:t>
      </w:r>
    </w:p>
    <w:p>
      <w:pPr>
        <w:pStyle w:val="Heading2"/>
      </w:pPr>
      <w:r>
        <w:t>1.1 Propósito</w:t>
      </w:r>
    </w:p>
    <w:p>
      <w:r>
        <w:t>Este manual documenta el diseño técnico de la Base de Datos y del Backend del sistema OPT — un sistema de gestión de ópticas actualmente en migración desde una aplicación legacy (.NET Framework 4.8 / MVC 5 / Entity Framework 6 Database First) hacia una arquitectura nueva en .NET 8 con Clean Architecture. Su objetivo es que cualquier desarrollador, DBA o arquitecto que se incorpore al proyecto pueda entender el diseño actual, las decisiones que lo sustentan y las convenciones que debe seguir para extenderlo de forma consistente.</w:t>
      </w:r>
    </w:p>
    <w:p>
      <w:pPr>
        <w:pStyle w:val="Heading2"/>
      </w:pPr>
      <w:r>
        <w:t>1.2 Alcance</w:t>
      </w:r>
    </w:p>
    <w:p>
      <w:r>
        <w:t>Cubre el estado del backend: los cinco proyectos de src/backend/ (OPT.Domain, OPT.Application, OPT.Infrastructure, OPT.API y OPT.Migracion — este último fuera de la arquitectura en capas, ver sección 13 y ADR 0005) y el esquema de base de datos aplicado en dbOPT_NET (src/basedatos/001_esquema_inicial.sql + 002_catalogos.sql + 003_extras_cliente_receta.sql + 004_comercial_pagos_cuotas.sql + 005_ot_publicid_estado_anulado.sql — 23 tablas). No cubre el frontend en detalle (ver Manual_Tecnico_Frontend_OPT.docx) ni el diccionario de datos columna por columna (ver Diccionario_Datos_OPT.docx).</w:t>
      </w:r>
    </w:p>
    <w:p>
      <w:pPr>
        <w:pStyle w:val="Heading2"/>
      </w:pPr>
      <w:r>
        <w:t>1.3 Documentos relacionados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val="clear" w:color="auto" w:fill="1F3A5F"/>
          </w:tcPr>
          <w:p>
            <w:r/>
            <w:r>
              <w:rPr>
                <w:rFonts w:ascii="Calibri" w:hAnsi="Calibri"/>
                <w:b/>
                <w:color w:val="FFFFFF"/>
                <w:sz w:val="19"/>
              </w:rPr>
              <w:t>Documento</w:t>
            </w:r>
          </w:p>
        </w:tc>
        <w:tc>
          <w:tcPr>
            <w:tcW w:type="dxa" w:w="3402"/>
            <w:shd w:val="clear" w:color="auto" w:fill="1F3A5F"/>
          </w:tcPr>
          <w:p>
            <w:r/>
            <w:r>
              <w:rPr>
                <w:rFonts w:ascii="Calibri" w:hAnsi="Calibri"/>
                <w:b/>
                <w:color w:val="FFFFFF"/>
                <w:sz w:val="19"/>
              </w:rPr>
              <w:t>Ruta</w:t>
            </w:r>
          </w:p>
        </w:tc>
        <w:tc>
          <w:tcPr>
            <w:tcW w:type="dxa" w:w="3685"/>
            <w:shd w:val="clear" w:color="auto" w:fill="1F3A5F"/>
          </w:tcPr>
          <w:p>
            <w:r/>
            <w:r>
              <w:rPr>
                <w:rFonts w:ascii="Calibri" w:hAnsi="Calibri"/>
                <w:b/>
                <w:color w:val="FFFFFF"/>
                <w:sz w:val="19"/>
              </w:rPr>
              <w:t>Contenido</w:t>
            </w:r>
          </w:p>
        </w:tc>
      </w:tr>
      <w:tr>
        <w:tc>
          <w:tcPr>
            <w:tcW w:type="dxa" w:w="2268"/>
          </w:tcPr>
          <w:p>
            <w:r/>
            <w:r>
              <w:rPr>
                <w:rFonts w:ascii="Calibri" w:hAnsi="Calibri"/>
                <w:b w:val="0"/>
                <w:sz w:val="18"/>
              </w:rPr>
              <w:t>Propuesta de arquitectura</w:t>
            </w:r>
          </w:p>
        </w:tc>
        <w:tc>
          <w:tcPr>
            <w:tcW w:type="dxa" w:w="3402"/>
          </w:tcPr>
          <w:p>
            <w:r/>
            <w:r>
              <w:rPr>
                <w:rFonts w:ascii="Calibri" w:hAnsi="Calibri"/>
                <w:b w:val="0"/>
                <w:sz w:val="18"/>
              </w:rPr>
              <w:t>docs/architecture/OPT_Propuesta_Arquitectura.docx</w:t>
            </w:r>
          </w:p>
        </w:tc>
        <w:tc>
          <w:tcPr>
            <w:tcW w:type="dxa" w:w="3685"/>
          </w:tcPr>
          <w:p>
            <w:r/>
            <w:r>
              <w:rPr>
                <w:rFonts w:ascii="Calibri" w:hAnsi="Calibri"/>
                <w:b w:val="0"/>
                <w:sz w:val="18"/>
              </w:rPr>
              <w:t>Análisis del legacy, comparación Angular vs. Blazor, plan de migración por fases.</w:t>
            </w:r>
          </w:p>
        </w:tc>
      </w:tr>
      <w:tr>
        <w:tc>
          <w:tcPr>
            <w:tcW w:type="dxa" w:w="2268"/>
          </w:tcPr>
          <w:p>
            <w:r/>
            <w:r>
              <w:rPr>
                <w:rFonts w:ascii="Calibri" w:hAnsi="Calibri"/>
                <w:b w:val="0"/>
                <w:sz w:val="18"/>
              </w:rPr>
              <w:t>ADRs</w:t>
            </w:r>
          </w:p>
        </w:tc>
        <w:tc>
          <w:tcPr>
            <w:tcW w:type="dxa" w:w="3402"/>
          </w:tcPr>
          <w:p>
            <w:r/>
            <w:r>
              <w:rPr>
                <w:rFonts w:ascii="Calibri" w:hAnsi="Calibri"/>
                <w:b w:val="0"/>
                <w:sz w:val="18"/>
              </w:rPr>
              <w:t>.agents/decisions/</w:t>
            </w:r>
          </w:p>
        </w:tc>
        <w:tc>
          <w:tcPr>
            <w:tcW w:type="dxa" w:w="3685"/>
          </w:tcPr>
          <w:p>
            <w:r/>
            <w:r>
              <w:rPr>
                <w:rFonts w:ascii="Calibri" w:hAnsi="Calibri"/>
                <w:b w:val="0"/>
                <w:sz w:val="18"/>
              </w:rPr>
              <w:t>Decisiones de arquitectura con contexto, alternativas y consecuencias.</w:t>
            </w:r>
          </w:p>
        </w:tc>
      </w:tr>
      <w:tr>
        <w:tc>
          <w:tcPr>
            <w:tcW w:type="dxa" w:w="2268"/>
          </w:tcPr>
          <w:p>
            <w:r/>
            <w:r>
              <w:rPr>
                <w:rFonts w:ascii="Calibri" w:hAnsi="Calibri"/>
                <w:b w:val="0"/>
                <w:sz w:val="18"/>
              </w:rPr>
              <w:t>CLAUDE.md / AGENTS.md</w:t>
            </w:r>
          </w:p>
        </w:tc>
        <w:tc>
          <w:tcPr>
            <w:tcW w:type="dxa" w:w="3402"/>
          </w:tcPr>
          <w:p>
            <w:r/>
            <w:r>
              <w:rPr>
                <w:rFonts w:ascii="Calibri" w:hAnsi="Calibri"/>
                <w:b w:val="0"/>
                <w:sz w:val="18"/>
              </w:rPr>
              <w:t>raíz del repositorio</w:t>
            </w:r>
          </w:p>
        </w:tc>
        <w:tc>
          <w:tcPr>
            <w:tcW w:type="dxa" w:w="3685"/>
          </w:tcPr>
          <w:p>
            <w:r/>
            <w:r>
              <w:rPr>
                <w:rFonts w:ascii="Calibri" w:hAnsi="Calibri"/>
                <w:b w:val="0"/>
                <w:sz w:val="18"/>
              </w:rPr>
              <w:t>Guía operativa para agentes de IA: comandos, convenciones, reglas.</w:t>
            </w:r>
          </w:p>
        </w:tc>
      </w:tr>
      <w:tr>
        <w:tc>
          <w:tcPr>
            <w:tcW w:type="dxa" w:w="2268"/>
          </w:tcPr>
          <w:p>
            <w:r/>
            <w:r>
              <w:rPr>
                <w:rFonts w:ascii="Calibri" w:hAnsi="Calibri"/>
                <w:b w:val="0"/>
                <w:sz w:val="18"/>
              </w:rPr>
              <w:t>Progress log</w:t>
            </w:r>
          </w:p>
        </w:tc>
        <w:tc>
          <w:tcPr>
            <w:tcW w:type="dxa" w:w="3402"/>
          </w:tcPr>
          <w:p>
            <w:r/>
            <w:r>
              <w:rPr>
                <w:rFonts w:ascii="Calibri" w:hAnsi="Calibri"/>
                <w:b w:val="0"/>
                <w:sz w:val="18"/>
              </w:rPr>
              <w:t>.agents/progress.md</w:t>
            </w:r>
          </w:p>
        </w:tc>
        <w:tc>
          <w:tcPr>
            <w:tcW w:type="dxa" w:w="3685"/>
          </w:tcPr>
          <w:p>
            <w:r/>
            <w:r>
              <w:rPr>
                <w:rFonts w:ascii="Calibri" w:hAnsi="Calibri"/>
                <w:b w:val="0"/>
                <w:sz w:val="18"/>
              </w:rPr>
              <w:t>Historial cronológico de sesiones de trabajo.</w:t>
            </w:r>
          </w:p>
        </w:tc>
      </w:tr>
    </w:tbl>
    <w:p>
      <w:pPr>
        <w:spacing w:after="80"/>
      </w:pPr>
    </w:p>
    <w:p>
      <w:pPr>
        <w:pStyle w:val="Heading2"/>
      </w:pPr>
      <w:r>
        <w:t>1.4 Convención de nomenclatura del proyecto</w:t>
      </w:r>
    </w:p>
    <w:p>
      <w:r>
        <w:t>El código nuevo vive en src/ y reemplaza, con ADRs formales de por medio, el código legacy de old/ (solo lectura, nunca se modifica) y una iteración previa no validada (.NET 10 / Angular 21 / multi-tenant) que tampoco es la referencia vigente. El punto de partida oficial para todo desarrollo nuevo es el scaffold descrito en este manual.</w:t>
      </w:r>
    </w:p>
    <w:p>
      <w:r>
        <w:br w:type="page"/>
      </w:r>
    </w:p>
    <w:p>
      <w:pPr>
        <w:pStyle w:val="Heading1"/>
      </w:pPr>
      <w:r>
        <w:t>2. Arquitectura General</w:t>
      </w:r>
    </w:p>
    <w:p>
      <w:pPr>
        <w:pStyle w:val="Heading2"/>
      </w:pPr>
      <w:r>
        <w:t>2.1 Clean Architecture en capas</w:t>
      </w:r>
    </w:p>
    <w:p>
      <w:r>
        <w:t>El backend sigue Clean Architecture con cuatro proyectos .NET 8, con una dirección de dependencia estricta que nunca se invierte:</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OPT.API  →  OPT.Infrastructure  →  OPT.Application  →  OPT.Domain</w:t>
            </w:r>
          </w:p>
        </w:tc>
      </w:tr>
    </w:tbl>
    <w:p>
      <w:pPr>
        <w:spacing w:after="40"/>
      </w:pPr>
    </w:p>
    <w:tbl>
      <w:tblPr>
        <w:tblStyle w:val="TableGrid"/>
        <w:tblW w:type="auto" w:w="0"/>
        <w:jc w:val="center"/>
        <w:tblLook w:firstColumn="1" w:firstRow="1" w:lastColumn="0" w:lastRow="0" w:noHBand="0" w:noVBand="1" w:val="04A0"/>
      </w:tblPr>
      <w:tblGrid>
        <w:gridCol w:w="2880"/>
        <w:gridCol w:w="2880"/>
        <w:gridCol w:w="2880"/>
      </w:tblGrid>
      <w:tr>
        <w:tc>
          <w:tcPr>
            <w:tcW w:type="dxa" w:w="1984"/>
            <w:shd w:val="clear" w:color="auto" w:fill="1F3A5F"/>
          </w:tcPr>
          <w:p>
            <w:r/>
            <w:r>
              <w:rPr>
                <w:rFonts w:ascii="Calibri" w:hAnsi="Calibri"/>
                <w:b/>
                <w:color w:val="FFFFFF"/>
                <w:sz w:val="19"/>
              </w:rPr>
              <w:t>Capa</w:t>
            </w:r>
          </w:p>
        </w:tc>
        <w:tc>
          <w:tcPr>
            <w:tcW w:type="dxa" w:w="5102"/>
            <w:shd w:val="clear" w:color="auto" w:fill="1F3A5F"/>
          </w:tcPr>
          <w:p>
            <w:r/>
            <w:r>
              <w:rPr>
                <w:rFonts w:ascii="Calibri" w:hAnsi="Calibri"/>
                <w:b/>
                <w:color w:val="FFFFFF"/>
                <w:sz w:val="19"/>
              </w:rPr>
              <w:t>Responsabilidad</w:t>
            </w:r>
          </w:p>
        </w:tc>
        <w:tc>
          <w:tcPr>
            <w:tcW w:type="dxa" w:w="2268"/>
            <w:shd w:val="clear" w:color="auto" w:fill="1F3A5F"/>
          </w:tcPr>
          <w:p>
            <w:r/>
            <w:r>
              <w:rPr>
                <w:rFonts w:ascii="Calibri" w:hAnsi="Calibri"/>
                <w:b/>
                <w:color w:val="FFFFFF"/>
                <w:sz w:val="19"/>
              </w:rPr>
              <w:t>Dependencias externas</w:t>
            </w:r>
          </w:p>
        </w:tc>
      </w:tr>
      <w:tr>
        <w:tc>
          <w:tcPr>
            <w:tcW w:type="dxa" w:w="1984"/>
          </w:tcPr>
          <w:p>
            <w:r/>
            <w:r>
              <w:rPr>
                <w:rFonts w:ascii="Calibri" w:hAnsi="Calibri"/>
                <w:b w:val="0"/>
                <w:sz w:val="18"/>
              </w:rPr>
              <w:t>OPT.Domain</w:t>
            </w:r>
          </w:p>
        </w:tc>
        <w:tc>
          <w:tcPr>
            <w:tcW w:type="dxa" w:w="5102"/>
          </w:tcPr>
          <w:p>
            <w:r/>
            <w:r>
              <w:rPr>
                <w:rFonts w:ascii="Calibri" w:hAnsi="Calibri"/>
                <w:b w:val="0"/>
                <w:sz w:val="18"/>
              </w:rPr>
              <w:t>Entidades de negocio, reglas invariantes, interfaces de repositorio.</w:t>
            </w:r>
          </w:p>
        </w:tc>
        <w:tc>
          <w:tcPr>
            <w:tcW w:type="dxa" w:w="2268"/>
          </w:tcPr>
          <w:p>
            <w:r/>
            <w:r>
              <w:rPr>
                <w:rFonts w:ascii="Calibri" w:hAnsi="Calibri"/>
                <w:b w:val="0"/>
                <w:sz w:val="18"/>
              </w:rPr>
              <w:t>Ninguna.</w:t>
            </w:r>
          </w:p>
        </w:tc>
      </w:tr>
      <w:tr>
        <w:tc>
          <w:tcPr>
            <w:tcW w:type="dxa" w:w="1984"/>
          </w:tcPr>
          <w:p>
            <w:r/>
            <w:r>
              <w:rPr>
                <w:rFonts w:ascii="Calibri" w:hAnsi="Calibri"/>
                <w:b w:val="0"/>
                <w:sz w:val="18"/>
              </w:rPr>
              <w:t>OPT.Application</w:t>
            </w:r>
          </w:p>
        </w:tc>
        <w:tc>
          <w:tcPr>
            <w:tcW w:type="dxa" w:w="5102"/>
          </w:tcPr>
          <w:p>
            <w:r/>
            <w:r>
              <w:rPr>
                <w:rFonts w:ascii="Calibri" w:hAnsi="Calibri"/>
                <w:b w:val="0"/>
                <w:sz w:val="18"/>
              </w:rPr>
              <w:t>Casos de uso (CQRS), validación de entrada, interfaces de infraestructura. Nunca ve el DbContext.</w:t>
            </w:r>
          </w:p>
        </w:tc>
        <w:tc>
          <w:tcPr>
            <w:tcW w:type="dxa" w:w="2268"/>
          </w:tcPr>
          <w:p>
            <w:r/>
            <w:r>
              <w:rPr>
                <w:rFonts w:ascii="Calibri" w:hAnsi="Calibri"/>
                <w:b w:val="0"/>
                <w:sz w:val="18"/>
              </w:rPr>
              <w:t>MediatR, FluentValidation.</w:t>
            </w:r>
          </w:p>
        </w:tc>
      </w:tr>
      <w:tr>
        <w:tc>
          <w:tcPr>
            <w:tcW w:type="dxa" w:w="1984"/>
          </w:tcPr>
          <w:p>
            <w:r/>
            <w:r>
              <w:rPr>
                <w:rFonts w:ascii="Calibri" w:hAnsi="Calibri"/>
                <w:b w:val="0"/>
                <w:sz w:val="18"/>
              </w:rPr>
              <w:t>OPT.Infrastructure</w:t>
            </w:r>
          </w:p>
        </w:tc>
        <w:tc>
          <w:tcPr>
            <w:tcW w:type="dxa" w:w="5102"/>
          </w:tcPr>
          <w:p>
            <w:r/>
            <w:r>
              <w:rPr>
                <w:rFonts w:ascii="Calibri" w:hAnsi="Calibri"/>
                <w:b w:val="0"/>
                <w:sz w:val="18"/>
              </w:rPr>
              <w:t>Entity Framework Core, repositorios concretos, JWT, hashing, integraciones externas.</w:t>
            </w:r>
          </w:p>
        </w:tc>
        <w:tc>
          <w:tcPr>
            <w:tcW w:type="dxa" w:w="2268"/>
          </w:tcPr>
          <w:p>
            <w:r/>
            <w:r>
              <w:rPr>
                <w:rFonts w:ascii="Calibri" w:hAnsi="Calibri"/>
                <w:b w:val="0"/>
                <w:sz w:val="18"/>
              </w:rPr>
              <w:t>EF Core, BCrypt.Net, JwtBearer.</w:t>
            </w:r>
          </w:p>
        </w:tc>
      </w:tr>
      <w:tr>
        <w:tc>
          <w:tcPr>
            <w:tcW w:type="dxa" w:w="1984"/>
          </w:tcPr>
          <w:p>
            <w:r/>
            <w:r>
              <w:rPr>
                <w:rFonts w:ascii="Calibri" w:hAnsi="Calibri"/>
                <w:b w:val="0"/>
                <w:sz w:val="18"/>
              </w:rPr>
              <w:t>OPT.API</w:t>
            </w:r>
          </w:p>
        </w:tc>
        <w:tc>
          <w:tcPr>
            <w:tcW w:type="dxa" w:w="5102"/>
          </w:tcPr>
          <w:p>
            <w:r/>
            <w:r>
              <w:rPr>
                <w:rFonts w:ascii="Calibri" w:hAnsi="Calibri"/>
                <w:b w:val="0"/>
                <w:sz w:val="18"/>
              </w:rPr>
              <w:t>Controllers delgados sin lógica de negocio ni try/catch.</w:t>
            </w:r>
          </w:p>
        </w:tc>
        <w:tc>
          <w:tcPr>
            <w:tcW w:type="dxa" w:w="2268"/>
          </w:tcPr>
          <w:p>
            <w:r/>
            <w:r>
              <w:rPr>
                <w:rFonts w:ascii="Calibri" w:hAnsi="Calibri"/>
                <w:b w:val="0"/>
                <w:sz w:val="18"/>
              </w:rPr>
              <w:t>ASP.NET Core, Swashbuckle.</w:t>
            </w:r>
          </w:p>
        </w:tc>
      </w:tr>
    </w:tbl>
    <w:p>
      <w:pPr>
        <w:spacing w:after="80"/>
      </w:pPr>
    </w:p>
    <w:p>
      <w:pPr>
        <w:pStyle w:val="Heading2"/>
      </w:pPr>
      <w:r>
        <w:t>2.2 Patrón CQRS con MediatR</w:t>
      </w:r>
    </w:p>
    <w:p>
      <w:r>
        <w:t>Cada caso de uso (crear un cliente, iniciar sesión, registrar un abono) se modela como un Command o Query independiente, enrutado por MediatR desde el controller hasta su Handler. Esto evita controllers ni servicios «gordos» y mantiene cada operación de negocio aislada y testeable por separado.</w:t>
      </w:r>
    </w:p>
    <w:p>
      <w:pPr>
        <w:pStyle w:val="Heading2"/>
      </w:pPr>
      <w:r>
        <w:t>2.3 Manejo de errores</w:t>
      </w:r>
    </w:p>
    <w:p>
      <w:r>
        <w:t>Ningún controller usa try/catch. Toda excepción se traduce centralmente en ExceptionHandlingMiddleware (OPT.API) a una respuesta ProblemDetails (RFC 7807):</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val="clear" w:color="auto" w:fill="1F3A5F"/>
          </w:tcPr>
          <w:p>
            <w:r/>
            <w:r>
              <w:rPr>
                <w:rFonts w:ascii="Calibri" w:hAnsi="Calibri"/>
                <w:b/>
                <w:color w:val="FFFFFF"/>
                <w:sz w:val="19"/>
              </w:rPr>
              <w:t>Excepción</w:t>
            </w:r>
          </w:p>
        </w:tc>
        <w:tc>
          <w:tcPr>
            <w:tcW w:type="dxa" w:w="5102"/>
            <w:shd w:val="clear" w:color="auto" w:fill="1F3A5F"/>
          </w:tcPr>
          <w:p>
            <w:r/>
            <w:r>
              <w:rPr>
                <w:rFonts w:ascii="Calibri" w:hAnsi="Calibri"/>
                <w:b/>
                <w:color w:val="FFFFFF"/>
                <w:sz w:val="19"/>
              </w:rPr>
              <w:t>Capa de origen</w:t>
            </w:r>
          </w:p>
        </w:tc>
        <w:tc>
          <w:tcPr>
            <w:tcW w:type="dxa" w:w="1701"/>
            <w:shd w:val="clear" w:color="auto" w:fill="1F3A5F"/>
          </w:tcPr>
          <w:p>
            <w:r/>
            <w:r>
              <w:rPr>
                <w:rFonts w:ascii="Calibri" w:hAnsi="Calibri"/>
                <w:b/>
                <w:color w:val="FFFFFF"/>
                <w:sz w:val="19"/>
              </w:rPr>
              <w:t>HTTP</w:t>
            </w:r>
          </w:p>
        </w:tc>
      </w:tr>
      <w:tr>
        <w:tc>
          <w:tcPr>
            <w:tcW w:type="dxa" w:w="2551"/>
          </w:tcPr>
          <w:p>
            <w:r/>
            <w:r>
              <w:rPr>
                <w:rFonts w:ascii="Calibri" w:hAnsi="Calibri"/>
                <w:b w:val="0"/>
                <w:sz w:val="18"/>
              </w:rPr>
              <w:t>DomainException</w:t>
            </w:r>
          </w:p>
        </w:tc>
        <w:tc>
          <w:tcPr>
            <w:tcW w:type="dxa" w:w="5102"/>
          </w:tcPr>
          <w:p>
            <w:r/>
            <w:r>
              <w:rPr>
                <w:rFonts w:ascii="Calibri" w:hAnsi="Calibri"/>
                <w:b w:val="0"/>
                <w:sz w:val="18"/>
              </w:rPr>
              <w:t>OPT.Domain — viola una regla de negocio invariante.</w:t>
            </w:r>
          </w:p>
        </w:tc>
        <w:tc>
          <w:tcPr>
            <w:tcW w:type="dxa" w:w="1701"/>
          </w:tcPr>
          <w:p>
            <w:r/>
            <w:r>
              <w:rPr>
                <w:rFonts w:ascii="Calibri" w:hAnsi="Calibri"/>
                <w:b w:val="0"/>
                <w:sz w:val="18"/>
              </w:rPr>
              <w:t>422 Unprocessable Entity</w:t>
            </w:r>
          </w:p>
        </w:tc>
      </w:tr>
      <w:tr>
        <w:tc>
          <w:tcPr>
            <w:tcW w:type="dxa" w:w="2551"/>
          </w:tcPr>
          <w:p>
            <w:r/>
            <w:r>
              <w:rPr>
                <w:rFonts w:ascii="Calibri" w:hAnsi="Calibri"/>
                <w:b w:val="0"/>
                <w:sz w:val="18"/>
              </w:rPr>
              <w:t>ValidationException</w:t>
            </w:r>
          </w:p>
        </w:tc>
        <w:tc>
          <w:tcPr>
            <w:tcW w:type="dxa" w:w="5102"/>
          </w:tcPr>
          <w:p>
            <w:r/>
            <w:r>
              <w:rPr>
                <w:rFonts w:ascii="Calibri" w:hAnsi="Calibri"/>
                <w:b w:val="0"/>
                <w:sz w:val="18"/>
              </w:rPr>
              <w:t>OPT.Application — falla FluentValidation en el pipeline.</w:t>
            </w:r>
          </w:p>
        </w:tc>
        <w:tc>
          <w:tcPr>
            <w:tcW w:type="dxa" w:w="1701"/>
          </w:tcPr>
          <w:p>
            <w:r/>
            <w:r>
              <w:rPr>
                <w:rFonts w:ascii="Calibri" w:hAnsi="Calibri"/>
                <w:b w:val="0"/>
                <w:sz w:val="18"/>
              </w:rPr>
              <w:t>400 Bad Request</w:t>
            </w:r>
          </w:p>
        </w:tc>
      </w:tr>
      <w:tr>
        <w:tc>
          <w:tcPr>
            <w:tcW w:type="dxa" w:w="2551"/>
          </w:tcPr>
          <w:p>
            <w:r/>
            <w:r>
              <w:rPr>
                <w:rFonts w:ascii="Calibri" w:hAnsi="Calibri"/>
                <w:b w:val="0"/>
                <w:sz w:val="18"/>
              </w:rPr>
              <w:t>NotFoundException</w:t>
            </w:r>
          </w:p>
        </w:tc>
        <w:tc>
          <w:tcPr>
            <w:tcW w:type="dxa" w:w="5102"/>
          </w:tcPr>
          <w:p>
            <w:r/>
            <w:r>
              <w:rPr>
                <w:rFonts w:ascii="Calibri" w:hAnsi="Calibri"/>
                <w:b w:val="0"/>
                <w:sz w:val="18"/>
              </w:rPr>
              <w:t>OPT.Application — entidad no encontrada.</w:t>
            </w:r>
          </w:p>
        </w:tc>
        <w:tc>
          <w:tcPr>
            <w:tcW w:type="dxa" w:w="1701"/>
          </w:tcPr>
          <w:p>
            <w:r/>
            <w:r>
              <w:rPr>
                <w:rFonts w:ascii="Calibri" w:hAnsi="Calibri"/>
                <w:b w:val="0"/>
                <w:sz w:val="18"/>
              </w:rPr>
              <w:t>404 Not Found</w:t>
            </w:r>
          </w:p>
        </w:tc>
      </w:tr>
      <w:tr>
        <w:tc>
          <w:tcPr>
            <w:tcW w:type="dxa" w:w="2551"/>
          </w:tcPr>
          <w:p>
            <w:r/>
            <w:r>
              <w:rPr>
                <w:rFonts w:ascii="Calibri" w:hAnsi="Calibri"/>
                <w:b w:val="0"/>
                <w:sz w:val="18"/>
              </w:rPr>
              <w:t>Excepción no controlada</w:t>
            </w:r>
          </w:p>
        </w:tc>
        <w:tc>
          <w:tcPr>
            <w:tcW w:type="dxa" w:w="5102"/>
          </w:tcPr>
          <w:p>
            <w:r/>
            <w:r>
              <w:rPr>
                <w:rFonts w:ascii="Calibri" w:hAnsi="Calibri"/>
                <w:b w:val="0"/>
                <w:sz w:val="18"/>
              </w:rPr>
              <w:t>Cualquiera — fallback genérico.</w:t>
            </w:r>
          </w:p>
        </w:tc>
        <w:tc>
          <w:tcPr>
            <w:tcW w:type="dxa" w:w="1701"/>
          </w:tcPr>
          <w:p>
            <w:r/>
            <w:r>
              <w:rPr>
                <w:rFonts w:ascii="Calibri" w:hAnsi="Calibri"/>
                <w:b w:val="0"/>
                <w:sz w:val="18"/>
              </w:rPr>
              <w:t>500 Internal Server Error</w:t>
            </w:r>
          </w:p>
        </w:tc>
      </w:tr>
    </w:tbl>
    <w:p>
      <w:pPr>
        <w:spacing w:after="80"/>
      </w:pPr>
    </w:p>
    <w:p>
      <w:pPr>
        <w:pStyle w:val="Heading2"/>
      </w:pPr>
      <w:r>
        <w:t>2.4 Multi-tenant / mono-óptica</w:t>
      </w:r>
    </w:p>
    <w:p>
      <w:pPr>
        <w:spacing w:after="200"/>
        <w:ind w:left="170"/>
      </w:pPr>
      <w:r>
        <w:rPr>
          <w:b/>
          <w:color w:val="2E74B5"/>
          <w:sz w:val="19"/>
        </w:rPr>
        <w:t xml:space="preserve">Pendiente: </w:t>
      </w:r>
      <w:r>
        <w:rPr>
          <w:i/>
          <w:sz w:val="19"/>
        </w:rPr>
        <w:t>El modelo de negocio (una sola óptica vs. múltiples ópticas como tenants aislados) es una decisión pendiente del equipo (ver AGENTS.md, sección «Decisiones pendientes»). El esquema actual no implementa aislamiento multi-tenant explícito.</w:t>
      </w:r>
    </w:p>
    <w:p>
      <w:r>
        <w:br w:type="page"/>
      </w:r>
    </w:p>
    <w:p>
      <w:pPr>
        <w:pStyle w:val="Heading1"/>
      </w:pPr>
      <w:r>
        <w:t>3. Backend — OPT.Domain</w:t>
      </w:r>
    </w:p>
    <w:p>
      <w:r>
        <w:t>Contiene las entidades de negocio, sin ninguna dependencia externa (ni siquiera de Entity Framework Core). Las entidades usan constructores/factories estáticos y setters privados — el estado solo cambia a través de métodos de negocio explícitos, nunca asignación directa de propiedades desde fuera de la entidad.</w:t>
      </w:r>
    </w:p>
    <w:p>
      <w:pPr>
        <w:pStyle w:val="Heading2"/>
      </w:pPr>
      <w:r>
        <w:t>3.1 Clases base (OPT.Domain/Common)</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val="clear" w:color="auto" w:fill="1F3A5F"/>
          </w:tcPr>
          <w:p>
            <w:r/>
            <w:r>
              <w:rPr>
                <w:rFonts w:ascii="Calibri" w:hAnsi="Calibri"/>
                <w:b/>
                <w:color w:val="FFFFFF"/>
                <w:sz w:val="19"/>
              </w:rPr>
              <w:t>Clase</w:t>
            </w:r>
          </w:p>
        </w:tc>
        <w:tc>
          <w:tcPr>
            <w:tcW w:type="dxa" w:w="3402"/>
            <w:shd w:val="clear" w:color="auto" w:fill="1F3A5F"/>
          </w:tcPr>
          <w:p>
            <w:r/>
            <w:r>
              <w:rPr>
                <w:rFonts w:ascii="Calibri" w:hAnsi="Calibri"/>
                <w:b/>
                <w:color w:val="FFFFFF"/>
                <w:sz w:val="19"/>
              </w:rPr>
              <w:t>Uso</w:t>
            </w:r>
          </w:p>
        </w:tc>
        <w:tc>
          <w:tcPr>
            <w:tcW w:type="dxa" w:w="3969"/>
            <w:shd w:val="clear" w:color="auto" w:fill="1F3A5F"/>
          </w:tcPr>
          <w:p>
            <w:r/>
            <w:r>
              <w:rPr>
                <w:rFonts w:ascii="Calibri" w:hAnsi="Calibri"/>
                <w:b/>
                <w:color w:val="FFFFFF"/>
                <w:sz w:val="19"/>
              </w:rPr>
              <w:t>Provee</w:t>
            </w:r>
          </w:p>
        </w:tc>
      </w:tr>
      <w:tr>
        <w:tc>
          <w:tcPr>
            <w:tcW w:type="dxa" w:w="1984"/>
          </w:tcPr>
          <w:p>
            <w:r/>
            <w:r>
              <w:rPr>
                <w:rFonts w:ascii="Calibri" w:hAnsi="Calibri"/>
                <w:b w:val="0"/>
                <w:sz w:val="18"/>
              </w:rPr>
              <w:t>AuditableEntity</w:t>
            </w:r>
          </w:p>
        </w:tc>
        <w:tc>
          <w:tcPr>
            <w:tcW w:type="dxa" w:w="3402"/>
          </w:tcPr>
          <w:p>
            <w:r/>
            <w:r>
              <w:rPr>
                <w:rFonts w:ascii="Calibri" w:hAnsi="Calibri"/>
                <w:b w:val="0"/>
                <w:sz w:val="18"/>
              </w:rPr>
              <w:t>Toda entidad transaccional (Cliente, OrdenDeTrabajo, Producto, etc.).</w:t>
            </w:r>
          </w:p>
        </w:tc>
        <w:tc>
          <w:tcPr>
            <w:tcW w:type="dxa" w:w="3969"/>
          </w:tcPr>
          <w:p>
            <w:r/>
            <w:r>
              <w:rPr>
                <w:rFonts w:ascii="Calibri" w:hAnsi="Calibri"/>
                <w:b w:val="0"/>
                <w:sz w:val="18"/>
              </w:rPr>
              <w:t>Id (int IDENTITY), CreadoEn/Por, ModificadoEn/Por, Eliminado + EliminadoEn/Por (borrado lógico).</w:t>
            </w:r>
          </w:p>
        </w:tc>
      </w:tr>
      <w:tr>
        <w:tc>
          <w:tcPr>
            <w:tcW w:type="dxa" w:w="1984"/>
          </w:tcPr>
          <w:p>
            <w:r/>
            <w:r>
              <w:rPr>
                <w:rFonts w:ascii="Calibri" w:hAnsi="Calibri"/>
                <w:b w:val="0"/>
                <w:sz w:val="18"/>
              </w:rPr>
              <w:t>CatalogEntity</w:t>
            </w:r>
          </w:p>
        </w:tc>
        <w:tc>
          <w:tcPr>
            <w:tcW w:type="dxa" w:w="3402"/>
          </w:tcPr>
          <w:p>
            <w:r/>
            <w:r>
              <w:rPr>
                <w:rFonts w:ascii="Calibri" w:hAnsi="Calibri"/>
                <w:b w:val="0"/>
                <w:sz w:val="18"/>
              </w:rPr>
              <w:t>Catálogos estáticos sin auditoría (Region, Comuna, Rol).</w:t>
            </w:r>
          </w:p>
        </w:tc>
        <w:tc>
          <w:tcPr>
            <w:tcW w:type="dxa" w:w="3969"/>
          </w:tcPr>
          <w:p>
            <w:r/>
            <w:r>
              <w:rPr>
                <w:rFonts w:ascii="Calibri" w:hAnsi="Calibri"/>
                <w:b w:val="0"/>
                <w:sz w:val="18"/>
              </w:rPr>
              <w:t>Id (int, ValueGeneratedNever), Nombre.</w:t>
            </w:r>
          </w:p>
        </w:tc>
      </w:tr>
      <w:tr>
        <w:tc>
          <w:tcPr>
            <w:tcW w:type="dxa" w:w="1984"/>
          </w:tcPr>
          <w:p>
            <w:r/>
            <w:r>
              <w:rPr>
                <w:rFonts w:ascii="Calibri" w:hAnsi="Calibri"/>
                <w:b w:val="0"/>
                <w:sz w:val="18"/>
              </w:rPr>
              <w:t>DomainException</w:t>
            </w:r>
          </w:p>
        </w:tc>
        <w:tc>
          <w:tcPr>
            <w:tcW w:type="dxa" w:w="3402"/>
          </w:tcPr>
          <w:p>
            <w:r/>
            <w:r>
              <w:rPr>
                <w:rFonts w:ascii="Calibri" w:hAnsi="Calibri"/>
                <w:b w:val="0"/>
                <w:sz w:val="18"/>
              </w:rPr>
              <w:t>Violación de una regla de negocio invariante dentro de una entidad.</w:t>
            </w:r>
          </w:p>
        </w:tc>
        <w:tc>
          <w:tcPr>
            <w:tcW w:type="dxa" w:w="3969"/>
          </w:tcPr>
          <w:p>
            <w:r/>
            <w:r>
              <w:rPr>
                <w:rFonts w:ascii="Calibri" w:hAnsi="Calibri"/>
                <w:b w:val="0"/>
                <w:sz w:val="18"/>
              </w:rPr>
              <w:t>Se traduce a HTTP 422 en ExceptionHandlingMiddleware.</w:t>
            </w:r>
          </w:p>
        </w:tc>
      </w:tr>
    </w:tbl>
    <w:p>
      <w:pPr>
        <w:spacing w:after="80"/>
      </w:pPr>
    </w:p>
    <w:p>
      <w:pPr>
        <w:spacing w:after="200"/>
        <w:ind w:left="170"/>
      </w:pPr>
      <w:r>
        <w:rPr>
          <w:b/>
          <w:color w:val="2E74B5"/>
          <w:sz w:val="19"/>
        </w:rPr>
        <w:t xml:space="preserve">Nota: </w:t>
      </w:r>
      <w:r>
        <w:rPr>
          <w:i/>
          <w:sz w:val="19"/>
        </w:rPr>
        <w:t>AuditInterceptor (OPT.Infrastructure) rellena CreadoEn/CreadoPor/ModificadoEn/ModificadoPor automáticamente en cada SaveChanges — nunca se asignan a mano en un Handler.</w:t>
      </w:r>
    </w:p>
    <w:p>
      <w:pPr>
        <w:pStyle w:val="Heading2"/>
      </w:pPr>
      <w:r>
        <w:t>3.2 Entidades por módulo</w:t>
      </w:r>
    </w:p>
    <w:p>
      <w:pPr>
        <w:pStyle w:val="Heading3"/>
      </w:pPr>
      <w:r>
        <w:t>3.2.1 Organización</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val="clear" w:color="auto" w:fill="1F3A5F"/>
          </w:tcPr>
          <w:p>
            <w:r/>
            <w:r>
              <w:rPr>
                <w:rFonts w:ascii="Calibri" w:hAnsi="Calibri"/>
                <w:b/>
                <w:color w:val="FFFFFF"/>
                <w:sz w:val="19"/>
              </w:rPr>
              <w:t>Entidad</w:t>
            </w:r>
          </w:p>
        </w:tc>
        <w:tc>
          <w:tcPr>
            <w:tcW w:type="dxa" w:w="1984"/>
            <w:shd w:val="clear" w:color="auto" w:fill="1F3A5F"/>
          </w:tcPr>
          <w:p>
            <w:r/>
            <w:r>
              <w:rPr>
                <w:rFonts w:ascii="Calibri" w:hAnsi="Calibri"/>
                <w:b/>
                <w:color w:val="FFFFFF"/>
                <w:sz w:val="19"/>
              </w:rPr>
              <w:t>Base</w:t>
            </w:r>
          </w:p>
        </w:tc>
        <w:tc>
          <w:tcPr>
            <w:tcW w:type="dxa" w:w="5386"/>
            <w:shd w:val="clear" w:color="auto" w:fill="1F3A5F"/>
          </w:tcPr>
          <w:p>
            <w:r/>
            <w:r>
              <w:rPr>
                <w:rFonts w:ascii="Calibri" w:hAnsi="Calibri"/>
                <w:b/>
                <w:color w:val="FFFFFF"/>
                <w:sz w:val="19"/>
              </w:rPr>
              <w:t>Descripción</w:t>
            </w:r>
          </w:p>
        </w:tc>
      </w:tr>
      <w:tr>
        <w:tc>
          <w:tcPr>
            <w:tcW w:type="dxa" w:w="1984"/>
          </w:tcPr>
          <w:p>
            <w:r/>
            <w:r>
              <w:rPr>
                <w:rFonts w:ascii="Calibri" w:hAnsi="Calibri"/>
                <w:b w:val="0"/>
                <w:sz w:val="18"/>
              </w:rPr>
              <w:t>Region</w:t>
            </w:r>
          </w:p>
        </w:tc>
        <w:tc>
          <w:tcPr>
            <w:tcW w:type="dxa" w:w="1984"/>
          </w:tcPr>
          <w:p>
            <w:r/>
            <w:r>
              <w:rPr>
                <w:rFonts w:ascii="Calibri" w:hAnsi="Calibri"/>
                <w:b w:val="0"/>
                <w:sz w:val="18"/>
              </w:rPr>
              <w:t>CatalogEntity</w:t>
            </w:r>
          </w:p>
        </w:tc>
        <w:tc>
          <w:tcPr>
            <w:tcW w:type="dxa" w:w="5386"/>
          </w:tcPr>
          <w:p>
            <w:r/>
            <w:r>
              <w:rPr>
                <w:rFonts w:ascii="Calibri" w:hAnsi="Calibri"/>
                <w:b w:val="0"/>
                <w:sz w:val="18"/>
              </w:rPr>
              <w:t>Las 16 regiones de Chile (fuente INE). Id fijo (ValueGeneratedNever).</w:t>
            </w:r>
          </w:p>
        </w:tc>
      </w:tr>
      <w:tr>
        <w:tc>
          <w:tcPr>
            <w:tcW w:type="dxa" w:w="1984"/>
          </w:tcPr>
          <w:p>
            <w:r/>
            <w:r>
              <w:rPr>
                <w:rFonts w:ascii="Calibri" w:hAnsi="Calibri"/>
                <w:b w:val="0"/>
                <w:sz w:val="18"/>
              </w:rPr>
              <w:t>Comuna</w:t>
            </w:r>
          </w:p>
        </w:tc>
        <w:tc>
          <w:tcPr>
            <w:tcW w:type="dxa" w:w="1984"/>
          </w:tcPr>
          <w:p>
            <w:r/>
            <w:r>
              <w:rPr>
                <w:rFonts w:ascii="Calibri" w:hAnsi="Calibri"/>
                <w:b w:val="0"/>
                <w:sz w:val="18"/>
              </w:rPr>
              <w:t>CatalogEntity</w:t>
            </w:r>
          </w:p>
        </w:tc>
        <w:tc>
          <w:tcPr>
            <w:tcW w:type="dxa" w:w="5386"/>
          </w:tcPr>
          <w:p>
            <w:r/>
            <w:r>
              <w:rPr>
                <w:rFonts w:ascii="Calibri" w:hAnsi="Calibri"/>
                <w:b w:val="0"/>
                <w:sz w:val="18"/>
              </w:rPr>
              <w:t>Las 346 comunas de Chile, agrupadas por RegionId. Id fijo.</w:t>
            </w:r>
          </w:p>
        </w:tc>
      </w:tr>
      <w:tr>
        <w:tc>
          <w:tcPr>
            <w:tcW w:type="dxa" w:w="1984"/>
          </w:tcPr>
          <w:p>
            <w:r/>
            <w:r>
              <w:rPr>
                <w:rFonts w:ascii="Calibri" w:hAnsi="Calibri"/>
                <w:b w:val="0"/>
                <w:sz w:val="18"/>
              </w:rPr>
              <w:t>Rol</w:t>
            </w:r>
          </w:p>
        </w:tc>
        <w:tc>
          <w:tcPr>
            <w:tcW w:type="dxa" w:w="1984"/>
          </w:tcPr>
          <w:p>
            <w:r/>
            <w:r>
              <w:rPr>
                <w:rFonts w:ascii="Calibri" w:hAnsi="Calibri"/>
                <w:b w:val="0"/>
                <w:sz w:val="18"/>
              </w:rPr>
              <w:t>CatalogEntity</w:t>
            </w:r>
          </w:p>
        </w:tc>
        <w:tc>
          <w:tcPr>
            <w:tcW w:type="dxa" w:w="5386"/>
          </w:tcPr>
          <w:p>
            <w:r/>
            <w:r>
              <w:rPr>
                <w:rFonts w:ascii="Calibri" w:hAnsi="Calibri"/>
                <w:b w:val="0"/>
                <w:sz w:val="18"/>
              </w:rPr>
              <w:t>Catálogo de roles del sistema (Administrador, Supervisor, Operador).</w:t>
            </w:r>
          </w:p>
        </w:tc>
      </w:tr>
      <w:tr>
        <w:tc>
          <w:tcPr>
            <w:tcW w:type="dxa" w:w="1984"/>
          </w:tcPr>
          <w:p>
            <w:r/>
            <w:r>
              <w:rPr>
                <w:rFonts w:ascii="Calibri" w:hAnsi="Calibri"/>
                <w:b w:val="0"/>
                <w:sz w:val="18"/>
              </w:rPr>
              <w:t>Empresa</w:t>
            </w:r>
          </w:p>
        </w:tc>
        <w:tc>
          <w:tcPr>
            <w:tcW w:type="dxa" w:w="1984"/>
          </w:tcPr>
          <w:p>
            <w:r/>
            <w:r>
              <w:rPr>
                <w:rFonts w:ascii="Calibri" w:hAnsi="Calibri"/>
                <w:b w:val="0"/>
                <w:sz w:val="18"/>
              </w:rPr>
              <w:t>AuditableEntity</w:t>
            </w:r>
          </w:p>
        </w:tc>
        <w:tc>
          <w:tcPr>
            <w:tcW w:type="dxa" w:w="5386"/>
          </w:tcPr>
          <w:p>
            <w:r/>
            <w:r>
              <w:rPr>
                <w:rFonts w:ascii="Calibri" w:hAnsi="Calibri"/>
                <w:b w:val="0"/>
                <w:sz w:val="18"/>
              </w:rPr>
              <w:t>Empresa dueña de la(s) óptica(s). RUT único (no PK). Incluye PublicId.</w:t>
            </w:r>
          </w:p>
        </w:tc>
      </w:tr>
      <w:tr>
        <w:tc>
          <w:tcPr>
            <w:tcW w:type="dxa" w:w="1984"/>
          </w:tcPr>
          <w:p>
            <w:r/>
            <w:r>
              <w:rPr>
                <w:rFonts w:ascii="Calibri" w:hAnsi="Calibri"/>
                <w:b w:val="0"/>
                <w:sz w:val="18"/>
              </w:rPr>
              <w:t>EmpresaSucursal</w:t>
            </w:r>
          </w:p>
        </w:tc>
        <w:tc>
          <w:tcPr>
            <w:tcW w:type="dxa" w:w="1984"/>
          </w:tcPr>
          <w:p>
            <w:r/>
            <w:r>
              <w:rPr>
                <w:rFonts w:ascii="Calibri" w:hAnsi="Calibri"/>
                <w:b w:val="0"/>
                <w:sz w:val="18"/>
              </w:rPr>
              <w:t>— (tabla de unión)</w:t>
            </w:r>
          </w:p>
        </w:tc>
        <w:tc>
          <w:tcPr>
            <w:tcW w:type="dxa" w:w="5386"/>
          </w:tcPr>
          <w:p>
            <w:r/>
            <w:r>
              <w:rPr>
                <w:rFonts w:ascii="Calibri" w:hAnsi="Calibri"/>
                <w:b w:val="0"/>
                <w:sz w:val="18"/>
              </w:rPr>
              <w:t>Relación muchos-a-muchos Empresa ↔ Sucursal.</w:t>
            </w:r>
          </w:p>
        </w:tc>
      </w:tr>
      <w:tr>
        <w:tc>
          <w:tcPr>
            <w:tcW w:type="dxa" w:w="1984"/>
          </w:tcPr>
          <w:p>
            <w:r/>
            <w:r>
              <w:rPr>
                <w:rFonts w:ascii="Calibri" w:hAnsi="Calibri"/>
                <w:b w:val="0"/>
                <w:sz w:val="18"/>
              </w:rPr>
              <w:t>Sucursal</w:t>
            </w:r>
          </w:p>
        </w:tc>
        <w:tc>
          <w:tcPr>
            <w:tcW w:type="dxa" w:w="1984"/>
          </w:tcPr>
          <w:p>
            <w:r/>
            <w:r>
              <w:rPr>
                <w:rFonts w:ascii="Calibri" w:hAnsi="Calibri"/>
                <w:b w:val="0"/>
                <w:sz w:val="18"/>
              </w:rPr>
              <w:t>AuditableEntity</w:t>
            </w:r>
          </w:p>
        </w:tc>
        <w:tc>
          <w:tcPr>
            <w:tcW w:type="dxa" w:w="5386"/>
          </w:tcPr>
          <w:p>
            <w:r/>
            <w:r>
              <w:rPr>
                <w:rFonts w:ascii="Calibri" w:hAnsi="Calibri"/>
                <w:b w:val="0"/>
                <w:sz w:val="18"/>
              </w:rPr>
              <w:t>Punto de atención físico. EsMatriz con índice único filtrado (solo una matriz activa).</w:t>
            </w:r>
          </w:p>
        </w:tc>
      </w:tr>
      <w:tr>
        <w:tc>
          <w:tcPr>
            <w:tcW w:type="dxa" w:w="1984"/>
          </w:tcPr>
          <w:p>
            <w:r/>
            <w:r>
              <w:rPr>
                <w:rFonts w:ascii="Calibri" w:hAnsi="Calibri"/>
                <w:b w:val="0"/>
                <w:sz w:val="18"/>
              </w:rPr>
              <w:t>Usuario</w:t>
            </w:r>
          </w:p>
        </w:tc>
        <w:tc>
          <w:tcPr>
            <w:tcW w:type="dxa" w:w="1984"/>
          </w:tcPr>
          <w:p>
            <w:r/>
            <w:r>
              <w:rPr>
                <w:rFonts w:ascii="Calibri" w:hAnsi="Calibri"/>
                <w:b w:val="0"/>
                <w:sz w:val="18"/>
              </w:rPr>
              <w:t>AuditableEntity</w:t>
            </w:r>
          </w:p>
        </w:tc>
        <w:tc>
          <w:tcPr>
            <w:tcW w:type="dxa" w:w="5386"/>
          </w:tcPr>
          <w:p>
            <w:r/>
            <w:r>
              <w:rPr>
                <w:rFonts w:ascii="Calibri" w:hAnsi="Calibri"/>
                <w:b w:val="0"/>
                <w:sz w:val="18"/>
              </w:rPr>
              <w:t>Operador del sistema. Login por RUT (único, no PK). ClaveHash con BCrypt. Incluye PublicId.</w:t>
            </w:r>
          </w:p>
        </w:tc>
      </w:tr>
      <w:tr>
        <w:tc>
          <w:tcPr>
            <w:tcW w:type="dxa" w:w="1984"/>
          </w:tcPr>
          <w:p>
            <w:r/>
            <w:r>
              <w:rPr>
                <w:rFonts w:ascii="Calibri" w:hAnsi="Calibri"/>
                <w:b w:val="0"/>
                <w:sz w:val="18"/>
              </w:rPr>
              <w:t>UsuarioSucursal</w:t>
            </w:r>
          </w:p>
        </w:tc>
        <w:tc>
          <w:tcPr>
            <w:tcW w:type="dxa" w:w="1984"/>
          </w:tcPr>
          <w:p>
            <w:r/>
            <w:r>
              <w:rPr>
                <w:rFonts w:ascii="Calibri" w:hAnsi="Calibri"/>
                <w:b w:val="0"/>
                <w:sz w:val="18"/>
              </w:rPr>
              <w:t>— (tabla de unión)</w:t>
            </w:r>
          </w:p>
        </w:tc>
        <w:tc>
          <w:tcPr>
            <w:tcW w:type="dxa" w:w="5386"/>
          </w:tcPr>
          <w:p>
            <w:r/>
            <w:r>
              <w:rPr>
                <w:rFonts w:ascii="Calibri" w:hAnsi="Calibri"/>
                <w:b w:val="0"/>
                <w:sz w:val="18"/>
              </w:rPr>
              <w:t>Relación muchos-a-muchos Usuario ↔ Sucursal.</w:t>
            </w:r>
          </w:p>
        </w:tc>
      </w:tr>
    </w:tbl>
    <w:p>
      <w:pPr>
        <w:spacing w:after="80"/>
      </w:pPr>
    </w:p>
    <w:p>
      <w:pPr>
        <w:pStyle w:val="Heading3"/>
      </w:pPr>
      <w:r>
        <w:t>3.2.2 Clínico — datos sensibles (ADR 0004)</w:t>
      </w:r>
    </w:p>
    <w:p>
      <w:pPr>
        <w:spacing w:after="200"/>
        <w:ind w:left="170"/>
      </w:pPr>
      <w:r>
        <w:rPr>
          <w:b/>
          <w:color w:val="2E74B5"/>
          <w:sz w:val="19"/>
        </w:rPr>
        <w:t xml:space="preserve">Ley 21.719: </w:t>
      </w:r>
      <w:r>
        <w:rPr>
          <w:i/>
          <w:sz w:val="19"/>
        </w:rPr>
        <w:t>Anamnesis y RecetaCristales contienen datos de salud, clasificados como datos sensibles bajo la Ley N° 21.719 de Protección de Datos Personales. Requieren PublicId como identificador expuesto y controles de acceso más estrictos que el resto del sistema.</w:t>
      </w:r>
    </w:p>
    <w:tbl>
      <w:tblPr>
        <w:tblStyle w:val="TableGrid"/>
        <w:tblW w:type="auto" w:w="0"/>
        <w:jc w:val="center"/>
        <w:tblLook w:firstColumn="1" w:firstRow="1" w:lastColumn="0" w:lastRow="0" w:noHBand="0" w:noVBand="1" w:val="04A0"/>
      </w:tblPr>
      <w:tblGrid>
        <w:gridCol w:w="4320"/>
        <w:gridCol w:w="4320"/>
      </w:tblGrid>
      <w:tr>
        <w:tc>
          <w:tcPr>
            <w:tcW w:type="dxa" w:w="1984"/>
            <w:shd w:val="clear" w:color="auto" w:fill="1F3A5F"/>
          </w:tcPr>
          <w:p>
            <w:r/>
            <w:r>
              <w:rPr>
                <w:rFonts w:ascii="Calibri" w:hAnsi="Calibri"/>
                <w:b/>
                <w:color w:val="FFFFFF"/>
                <w:sz w:val="19"/>
              </w:rPr>
              <w:t>Entidad</w:t>
            </w:r>
          </w:p>
        </w:tc>
        <w:tc>
          <w:tcPr>
            <w:tcW w:type="dxa" w:w="7370"/>
            <w:shd w:val="clear" w:color="auto" w:fill="1F3A5F"/>
          </w:tcPr>
          <w:p>
            <w:r/>
            <w:r>
              <w:rPr>
                <w:rFonts w:ascii="Calibri" w:hAnsi="Calibri"/>
                <w:b/>
                <w:color w:val="FFFFFF"/>
                <w:sz w:val="19"/>
              </w:rPr>
              <w:t>Descripción</w:t>
            </w:r>
          </w:p>
        </w:tc>
      </w:tr>
      <w:tr>
        <w:tc>
          <w:tcPr>
            <w:tcW w:type="dxa" w:w="1984"/>
          </w:tcPr>
          <w:p>
            <w:r/>
            <w:r>
              <w:rPr>
                <w:rFonts w:ascii="Calibri" w:hAnsi="Calibri"/>
                <w:b w:val="0"/>
                <w:sz w:val="18"/>
              </w:rPr>
              <w:t>Cliente</w:t>
            </w:r>
          </w:p>
        </w:tc>
        <w:tc>
          <w:tcPr>
            <w:tcW w:type="dxa" w:w="7370"/>
          </w:tcPr>
          <w:p>
            <w:r/>
            <w:r>
              <w:rPr>
                <w:rFonts w:ascii="Calibri" w:hAnsi="Calibri"/>
                <w:b w:val="0"/>
                <w:sz w:val="18"/>
              </w:rPr>
              <w:t>Persona atendida (paciente). RUT único, no PK (corrección vs. legacy). Incluye PublicId.</w:t>
            </w:r>
          </w:p>
        </w:tc>
      </w:tr>
      <w:tr>
        <w:tc>
          <w:tcPr>
            <w:tcW w:type="dxa" w:w="1984"/>
          </w:tcPr>
          <w:p>
            <w:r/>
            <w:r>
              <w:rPr>
                <w:rFonts w:ascii="Calibri" w:hAnsi="Calibri"/>
                <w:b w:val="0"/>
                <w:sz w:val="18"/>
              </w:rPr>
              <w:t>Anamnesis</w:t>
            </w:r>
          </w:p>
        </w:tc>
        <w:tc>
          <w:tcPr>
            <w:tcW w:type="dxa" w:w="7370"/>
          </w:tcPr>
          <w:p>
            <w:r/>
            <w:r>
              <w:rPr>
                <w:rFonts w:ascii="Calibri" w:hAnsi="Calibri"/>
                <w:b w:val="0"/>
                <w:sz w:val="18"/>
              </w:rPr>
              <w:t>Antecedentes de salud (hipertensión, diabetes, alergias). Dato sensible.</w:t>
            </w:r>
          </w:p>
        </w:tc>
      </w:tr>
      <w:tr>
        <w:tc>
          <w:tcPr>
            <w:tcW w:type="dxa" w:w="1984"/>
          </w:tcPr>
          <w:p>
            <w:r/>
            <w:r>
              <w:rPr>
                <w:rFonts w:ascii="Calibri" w:hAnsi="Calibri"/>
                <w:b w:val="0"/>
                <w:sz w:val="18"/>
              </w:rPr>
              <w:t>RecetaCristales</w:t>
            </w:r>
          </w:p>
        </w:tc>
        <w:tc>
          <w:tcPr>
            <w:tcW w:type="dxa" w:w="7370"/>
          </w:tcPr>
          <w:p>
            <w:r/>
            <w:r>
              <w:rPr>
                <w:rFonts w:ascii="Calibri" w:hAnsi="Calibri"/>
                <w:b w:val="0"/>
                <w:sz w:val="18"/>
              </w:rPr>
              <w:t>Graduación óptica por ojo (esfera/cilindro/eje, lejos/cerca). Dato sensible.</w:t>
            </w:r>
          </w:p>
        </w:tc>
      </w:tr>
    </w:tbl>
    <w:p>
      <w:pPr>
        <w:spacing w:after="80"/>
      </w:pPr>
    </w:p>
    <w:p>
      <w:pPr>
        <w:pStyle w:val="Heading3"/>
      </w:pPr>
      <w:r>
        <w:t>3.2.3 Comercial</w:t>
      </w:r>
    </w:p>
    <w:tbl>
      <w:tblPr>
        <w:tblStyle w:val="TableGrid"/>
        <w:tblW w:type="auto" w:w="0"/>
        <w:jc w:val="center"/>
        <w:tblLook w:firstColumn="1" w:firstRow="1" w:lastColumn="0" w:lastRow="0" w:noHBand="0" w:noVBand="1" w:val="04A0"/>
      </w:tblPr>
      <w:tblGrid>
        <w:gridCol w:w="4320"/>
        <w:gridCol w:w="4320"/>
      </w:tblGrid>
      <w:tr>
        <w:tc>
          <w:tcPr>
            <w:tcW w:type="dxa" w:w="1984"/>
            <w:shd w:val="clear" w:color="auto" w:fill="1F3A5F"/>
          </w:tcPr>
          <w:p>
            <w:r/>
            <w:r>
              <w:rPr>
                <w:rFonts w:ascii="Calibri" w:hAnsi="Calibri"/>
                <w:b/>
                <w:color w:val="FFFFFF"/>
                <w:sz w:val="19"/>
              </w:rPr>
              <w:t>Entidad</w:t>
            </w:r>
          </w:p>
        </w:tc>
        <w:tc>
          <w:tcPr>
            <w:tcW w:type="dxa" w:w="7370"/>
            <w:shd w:val="clear" w:color="auto" w:fill="1F3A5F"/>
          </w:tcPr>
          <w:p>
            <w:r/>
            <w:r>
              <w:rPr>
                <w:rFonts w:ascii="Calibri" w:hAnsi="Calibri"/>
                <w:b/>
                <w:color w:val="FFFFFF"/>
                <w:sz w:val="19"/>
              </w:rPr>
              <w:t>Descripción</w:t>
            </w:r>
          </w:p>
        </w:tc>
      </w:tr>
      <w:tr>
        <w:tc>
          <w:tcPr>
            <w:tcW w:type="dxa" w:w="1984"/>
          </w:tcPr>
          <w:p>
            <w:r/>
            <w:r>
              <w:rPr>
                <w:rFonts w:ascii="Calibri" w:hAnsi="Calibri"/>
                <w:b w:val="0"/>
                <w:sz w:val="18"/>
              </w:rPr>
              <w:t>OrdenDeTrabajo</w:t>
            </w:r>
          </w:p>
        </w:tc>
        <w:tc>
          <w:tcPr>
            <w:tcW w:type="dxa" w:w="7370"/>
          </w:tcPr>
          <w:p>
            <w:r>
              <w:t>Raíz del agregado Comercial: detalle, abonos, pagos, cuotas y bitácora solo se crean o modifican a través de ella. NumeroOT lo genera una SEQUENCE en la BD (nunca la app) y PublicId es el identificador que se expone en la API (005, ADR 0007). Precio = suma del detalle, TotalAbonado = abonos + pagos y Saldo = Precio − TotalAbonado, recalculados en la misma transacción del movimiento que los origina. Métodos de negocio: AgregarDetalle / ReemplazarDetalles, RegistrarAbono, RegistrarPago, GenerarPlanCuotas, PagarCuota, AnularCuota, CambiarEstado y Anular.</w:t>
            </w:r>
            <w:r>
              <w:rPr>
                <w:rFonts w:ascii="Calibri" w:hAnsi="Calibri"/>
                <w:b w:val="0"/>
                <w:sz w:val="18"/>
              </w:rPr>
            </w:r>
          </w:p>
        </w:tc>
      </w:tr>
      <w:tr>
        <w:tc>
          <w:tcPr>
            <w:tcW w:type="dxa" w:w="1984"/>
          </w:tcPr>
          <w:p>
            <w:r/>
            <w:r>
              <w:rPr>
                <w:rFonts w:ascii="Calibri" w:hAnsi="Calibri"/>
                <w:b w:val="0"/>
                <w:sz w:val="18"/>
              </w:rPr>
              <w:t>DetalleOT</w:t>
            </w:r>
          </w:p>
        </w:tc>
        <w:tc>
          <w:tcPr>
            <w:tcW w:type="dxa" w:w="7370"/>
          </w:tcPr>
          <w:p>
            <w:r/>
            <w:r>
              <w:rPr>
                <w:rFonts w:ascii="Calibri" w:hAnsi="Calibri"/>
                <w:b w:val="0"/>
                <w:sz w:val="18"/>
              </w:rPr>
              <w:t>Línea de producto dentro de una OT. Total (Cantidad × ValorUnitario) es una propiedad calculada en memoria, no persistida.</w:t>
            </w:r>
          </w:p>
        </w:tc>
      </w:tr>
      <w:tr>
        <w:tc>
          <w:tcPr>
            <w:tcW w:type="dxa" w:w="1984"/>
          </w:tcPr>
          <w:p>
            <w:r/>
            <w:r>
              <w:rPr>
                <w:rFonts w:ascii="Calibri" w:hAnsi="Calibri"/>
                <w:b w:val="0"/>
                <w:sz w:val="18"/>
              </w:rPr>
              <w:t>Abono</w:t>
            </w:r>
          </w:p>
        </w:tc>
        <w:tc>
          <w:tcPr>
            <w:tcW w:type="dxa" w:w="7370"/>
          </w:tcPr>
          <w:p>
            <w:r>
              <w:t>Abono inicial recibido al crear la OT. Se registra con OrdenDeTrabajo.RegistrarAbono(). El monto debe ser mayor a cero, pero PUEDE superar el saldo: el negocio acepta sobrepago (ADR 0007).</w:t>
            </w:r>
            <w:r>
              <w:rPr>
                <w:rFonts w:ascii="Calibri" w:hAnsi="Calibri"/>
                <w:b w:val="0"/>
                <w:sz w:val="18"/>
              </w:rPr>
            </w:r>
          </w:p>
        </w:tc>
      </w:tr>
      <w:tr>
        <w:tc>
          <w:tcPr>
            <w:tcW w:type="dxa" w:w="1984"/>
          </w:tcPr>
          <w:p>
            <w:r>
              <w:t>Pago</w:t>
            </w:r>
            <w:r>
              <w:rPr>
                <w:rFonts w:ascii="Calibri" w:hAnsi="Calibri"/>
                <w:b w:val="0"/>
                <w:sz w:val="18"/>
              </w:rPr>
            </w:r>
          </w:p>
        </w:tc>
        <w:tc>
          <w:tcPr>
            <w:tcW w:type="dxa" w:w="7370"/>
          </w:tcPr>
          <w:p>
            <w:r>
              <w:t>Cobro posterior al abono inicial — flujo distinto de Abono, no un duplicado (ADR 0006). Se registra con OrdenDeTrabajo.RegistrarPago(), que además imputa las cuotas pendientes más antiguas que el monto cubra completas, en la misma transacción.</w:t>
            </w:r>
            <w:r>
              <w:rPr>
                <w:rFonts w:ascii="Calibri" w:hAnsi="Calibri"/>
                <w:b w:val="0"/>
                <w:sz w:val="18"/>
              </w:rPr>
            </w:r>
          </w:p>
        </w:tc>
      </w:tr>
      <w:tr>
        <w:tc>
          <w:tcPr>
            <w:tcW w:type="dxa" w:w="1984"/>
          </w:tcPr>
          <w:p>
            <w:r>
              <w:t>Cuota</w:t>
            </w:r>
            <w:r>
              <w:rPr>
                <w:rFonts w:ascii="Calibri" w:hAnsi="Calibri"/>
                <w:b w:val="0"/>
                <w:sz w:val="18"/>
              </w:rPr>
            </w:r>
          </w:p>
        </w:tc>
        <w:tc>
          <w:tcPr>
            <w:tcW w:type="dxa" w:w="7370"/>
          </w:tcPr>
          <w:p>
            <w:r>
              <w:t>Cuota del plan de pago (número, valor, vencimiento, estado). El plan lo genera OrdenDeTrabajo.GenerarPlanCuotas(): N cuotas parejas, con la diferencia por redondeo en la última y vencimiento mensual. Solo puede haber un plan vigente a la vez.</w:t>
            </w:r>
            <w:r>
              <w:rPr>
                <w:rFonts w:ascii="Calibri" w:hAnsi="Calibri"/>
                <w:b w:val="0"/>
                <w:sz w:val="18"/>
              </w:rPr>
            </w:r>
          </w:p>
        </w:tc>
      </w:tr>
      <w:tr>
        <w:tc>
          <w:tcPr>
            <w:tcW w:type="dxa" w:w="1984"/>
          </w:tcPr>
          <w:p>
            <w:r/>
            <w:r>
              <w:rPr>
                <w:rFonts w:ascii="Calibri" w:hAnsi="Calibri"/>
                <w:b w:val="0"/>
                <w:sz w:val="18"/>
              </w:rPr>
              <w:t>BitacoraOT</w:t>
            </w:r>
          </w:p>
        </w:tc>
        <w:tc>
          <w:tcPr>
            <w:tcW w:type="dxa" w:w="7370"/>
          </w:tcPr>
          <w:p>
            <w:r/>
            <w:r>
              <w:rPr>
                <w:rFonts w:ascii="Calibri" w:hAnsi="Calibri"/>
                <w:b w:val="0"/>
                <w:sz w:val="18"/>
              </w:rPr>
              <w:t>Historial de cambios de estado de una OT — único mecanismo de auditoría de negocio que el legacy implementaba correctamente; se generaliza aquí.</w:t>
            </w:r>
          </w:p>
        </w:tc>
      </w:tr>
      <w:tr>
        <w:tc>
          <w:tcPr>
            <w:tcW w:type="dxa" w:w="1984"/>
          </w:tcPr>
          <w:p>
            <w:r>
              <w:t>EstadoOT / FormaPago / EstadoCuota</w:t>
            </w:r>
            <w:r>
              <w:rPr>
                <w:rFonts w:ascii="Calibri" w:hAnsi="Calibri"/>
                <w:b w:val="0"/>
                <w:sz w:val="18"/>
              </w:rPr>
            </w:r>
          </w:p>
        </w:tc>
        <w:tc>
          <w:tcPr>
            <w:tcW w:type="dxa" w:w="7370"/>
          </w:tcPr>
          <w:p>
            <w:r>
              <w:t>Catálogos (CatalogEntity: Id + Nombre, sin auditoría). EstadoOT tiene 8 valores: los 7 heredados del legacy más ANULADO (7), agregado en 005.</w:t>
            </w:r>
            <w:r>
              <w:rPr>
                <w:rFonts w:ascii="Calibri" w:hAnsi="Calibri"/>
                <w:b w:val="0"/>
                <w:sz w:val="18"/>
              </w:rPr>
            </w:r>
          </w:p>
        </w:tc>
      </w:tr>
      <w:tr>
        <w:tc>
          <w:tcPr>
            <w:tcW w:type="dxa" w:w="1984"/>
          </w:tcPr>
          <w:p>
            <w:r>
              <w:t>EstadosOT / EstadosCuota (clases estáticas)</w:t>
            </w:r>
            <w:r>
              <w:rPr>
                <w:rFonts w:ascii="Calibri" w:hAnsi="Calibri"/>
                <w:b w:val="0"/>
                <w:sz w:val="18"/>
              </w:rPr>
            </w:r>
          </w:p>
        </w:tc>
        <w:tc>
          <w:tcPr>
            <w:tcW w:type="dxa" w:w="7370"/>
          </w:tcPr>
          <w:p>
            <w:r>
              <w:t>No son entidades: son las constantes de los ids de catálogo más las reglas de transición (EsTerminal, PerteneceAlFlujo) que usa OrdenDeTrabajo.CambiarEstado. Evitan ids mágicos repartidos por el código.</w:t>
            </w:r>
            <w:r>
              <w:rPr>
                <w:rFonts w:ascii="Calibri" w:hAnsi="Calibri"/>
                <w:b w:val="0"/>
                <w:sz w:val="18"/>
              </w:rPr>
            </w:r>
          </w:p>
        </w:tc>
      </w:tr>
    </w:tbl>
    <w:p>
      <w:pPr/>
      <w:r>
        <w:t>NumeroOT (2026-09-11) deja de generarse con SEQUENCE (SEQ_NumeroOT) y vuelve a ingresarse manualmente, igual que en el legacy — pero con una validación nueva que el legacy no tenía: no puede repetirse con otra OT del mismo año (por CreadoEn) que no esté anulada (IOrdenDeTrabajoRepositorio.ExisteNumeroOTVigenteAsync, DomainException → 422 si choca). Inmutable tras crear la orden. Ver 7.7 (script 008) para el respaldo de índice único filtrado en la BD.</w:t>
      </w:r>
    </w:p>
    <w:p>
      <w:pPr>
        <w:spacing w:after="80"/>
      </w:pPr>
      <w:r>
        <w:t>Flujo de estados (ADR 0007): INGRESADO(0) → EN PROCESO(1) → MONTAJE(2) → LABORATORIO(3) → CALIDAD(4) → DESPACHO(5) → ENTREGADO(6), más ANULADO(7). La OT avanza al estado siguiente o retrocede una sola etapa, y retroceder exige observación (queda como justificación en BitacoraOT); no se saltan etapas. ENTREGADO y ANULADO son terminales. Anular es una acción propia (OrdenDeTrabajo.Anular(motivo, usuario)), no un cambio de estado más: exige motivo, está prohibida sobre una OT entregada y deja la OT visible en los listados — reemplaza al SP_OTEliminar del legacy sin borrar nada. RESUELTO (2026-08-27): las entidades Pago, Cuota y EstadoCuota y las 4 propiedades nuevas de OrdenDeTrabajo ya existen en OPT.Domain con sus IEntityTypeConfiguration&lt;T&gt;, así que el modelo de EF Core y dbOPT_NET vuelven a estar alineados (ver 7.6).</w:t>
      </w:r>
    </w:p>
    <w:p>
      <w:pPr>
        <w:spacing w:after="80"/>
      </w:pPr>
    </w:p>
    <w:p>
      <w:pPr>
        <w:pStyle w:val="Heading3"/>
      </w:pPr>
      <w:r>
        <w:t>3.2.4 Inventario</w:t>
      </w:r>
    </w:p>
    <w:tbl>
      <w:tblPr>
        <w:tblStyle w:val="TableGrid"/>
        <w:tblW w:type="auto" w:w="0"/>
        <w:jc w:val="center"/>
        <w:tblLook w:firstColumn="1" w:firstRow="1" w:lastColumn="0" w:lastRow="0" w:noHBand="0" w:noVBand="1" w:val="04A0"/>
      </w:tblPr>
      <w:tblGrid>
        <w:gridCol w:w="4320"/>
        <w:gridCol w:w="4320"/>
      </w:tblGrid>
      <w:tr>
        <w:tc>
          <w:tcPr>
            <w:tcW w:type="dxa" w:w="1984"/>
            <w:shd w:val="clear" w:color="auto" w:fill="1F3A5F"/>
          </w:tcPr>
          <w:p>
            <w:r/>
            <w:r>
              <w:rPr>
                <w:rFonts w:ascii="Calibri" w:hAnsi="Calibri"/>
                <w:b/>
                <w:color w:val="FFFFFF"/>
                <w:sz w:val="19"/>
              </w:rPr>
              <w:t>Entidad</w:t>
            </w:r>
          </w:p>
        </w:tc>
        <w:tc>
          <w:tcPr>
            <w:tcW w:type="dxa" w:w="7370"/>
            <w:shd w:val="clear" w:color="auto" w:fill="1F3A5F"/>
          </w:tcPr>
          <w:p>
            <w:r/>
            <w:r>
              <w:rPr>
                <w:rFonts w:ascii="Calibri" w:hAnsi="Calibri"/>
                <w:b/>
                <w:color w:val="FFFFFF"/>
                <w:sz w:val="19"/>
              </w:rPr>
              <w:t>Descripción</w:t>
            </w:r>
          </w:p>
        </w:tc>
      </w:tr>
      <w:tr>
        <w:tc>
          <w:tcPr>
            <w:tcW w:type="dxa" w:w="1984"/>
          </w:tcPr>
          <w:p>
            <w:r/>
            <w:r>
              <w:rPr>
                <w:rFonts w:ascii="Calibri" w:hAnsi="Calibri"/>
                <w:b w:val="0"/>
                <w:sz w:val="18"/>
              </w:rPr>
              <w:t>Producto</w:t>
            </w:r>
          </w:p>
        </w:tc>
        <w:tc>
          <w:tcPr>
            <w:tcW w:type="dxa" w:w="7370"/>
          </w:tcPr>
          <w:p>
            <w:r/>
            <w:r>
              <w:rPr>
                <w:rFonts w:ascii="Calibri" w:hAnsi="Calibri"/>
                <w:b w:val="0"/>
                <w:sz w:val="18"/>
              </w:rPr>
              <w:t>Ítem de catálogo (armazón, cristal, accesorio). Código único, no PK.</w:t>
            </w:r>
          </w:p>
        </w:tc>
      </w:tr>
      <w:tr>
        <w:tc>
          <w:tcPr>
            <w:tcW w:type="dxa" w:w="1984"/>
          </w:tcPr>
          <w:p>
            <w:r/>
            <w:r>
              <w:rPr>
                <w:rFonts w:ascii="Calibri" w:hAnsi="Calibri"/>
                <w:b w:val="0"/>
                <w:sz w:val="18"/>
              </w:rPr>
              <w:t>ProductoSucursal</w:t>
            </w:r>
          </w:p>
        </w:tc>
        <w:tc>
          <w:tcPr>
            <w:tcW w:type="dxa" w:w="7370"/>
          </w:tcPr>
          <w:p>
            <w:r/>
            <w:r>
              <w:rPr>
                <w:rFonts w:ascii="Calibri" w:hAnsi="Calibri"/>
                <w:b w:val="0"/>
                <w:sz w:val="18"/>
              </w:rPr>
              <w:t>Stock de un producto en una sucursal específica, controlado de forma independiente por sucursal.</w:t>
            </w:r>
          </w:p>
        </w:tc>
      </w:tr>
    </w:tbl>
    <w:p>
      <w:pPr>
        <w:spacing w:after="80"/>
      </w:pPr>
    </w:p>
    <w:p>
      <w:pPr>
        <w:pStyle w:val="Heading2"/>
      </w:pPr>
      <w:r>
        <w:t>3.3 Interfaces de repositorio</w:t>
      </w:r>
    </w:p>
    <w:p>
      <w:r>
        <w:t>OPT.Domain/Interfaces/Repositories define contratos que Application consume y que Infrastructure implementa — Application nunca ve una implementación concreta ni el DbContext:</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public interface IRepositorioBase&lt;T&gt; where T : AuditableEntity</w:t>
            </w:r>
          </w:p>
          <w:p>
            <w:r>
              <w:rPr>
                <w:rFonts w:ascii="Consolas" w:hAnsi="Consolas"/>
                <w:sz w:val="17"/>
              </w:rPr>
              <w:t>{</w:t>
            </w:r>
          </w:p>
          <w:p>
            <w:r>
              <w:rPr>
                <w:rFonts w:ascii="Consolas" w:hAnsi="Consolas"/>
                <w:sz w:val="17"/>
              </w:rPr>
              <w:t xml:space="preserve">    Task&lt;T?&gt; ObtenerPorIdAsync(int id, CancellationToken ct = default);</w:t>
            </w:r>
          </w:p>
          <w:p>
            <w:r>
              <w:rPr>
                <w:rFonts w:ascii="Consolas" w:hAnsi="Consolas"/>
                <w:sz w:val="17"/>
              </w:rPr>
              <w:t xml:space="preserve">    Task&lt;IReadOnlyList&lt;T&gt;&gt; ObtenerTodosAsync(CancellationToken ct = default);</w:t>
            </w:r>
          </w:p>
          <w:p>
            <w:r>
              <w:rPr>
                <w:rFonts w:ascii="Consolas" w:hAnsi="Consolas"/>
                <w:sz w:val="17"/>
              </w:rPr>
              <w:t xml:space="preserve">    Task&lt;IReadOnlyList&lt;T&gt;&gt; BuscarAsync(Expression&lt;Func&lt;T, bool&gt;&gt; predicado, CancellationToken ct = default);</w:t>
            </w:r>
          </w:p>
          <w:p>
            <w:r>
              <w:rPr>
                <w:rFonts w:ascii="Consolas" w:hAnsi="Consolas"/>
                <w:sz w:val="17"/>
              </w:rPr>
              <w:t xml:space="preserve">    Task&lt;bool&gt; ExisteAsync(Expression&lt;Func&lt;T, bool&gt;&gt; predicado, CancellationToken ct = default);</w:t>
            </w:r>
          </w:p>
          <w:p>
            <w:r>
              <w:rPr>
                <w:rFonts w:ascii="Consolas" w:hAnsi="Consolas"/>
                <w:sz w:val="17"/>
              </w:rPr>
              <w:t xml:space="preserve">    void Agregar(T entidad);</w:t>
            </w:r>
          </w:p>
          <w:p>
            <w:r>
              <w:rPr>
                <w:rFonts w:ascii="Consolas" w:hAnsi="Consolas"/>
                <w:sz w:val="17"/>
              </w:rPr>
              <w:t xml:space="preserve">    void Actualizar(T entidad);</w:t>
            </w:r>
          </w:p>
          <w:p>
            <w:r>
              <w:rPr>
                <w:rFonts w:ascii="Consolas" w:hAnsi="Consolas"/>
                <w:sz w:val="17"/>
              </w:rPr>
              <w:t>}</w:t>
            </w:r>
          </w:p>
        </w:tc>
      </w:tr>
    </w:tbl>
    <w:p>
      <w:pPr>
        <w:spacing w:after="40"/>
      </w:pPr>
    </w:p>
    <w:p>
      <w:r>
        <w:t>Interfaces específicas ya definidas: IUsuarioRepositorio, IClienteRepositorio, IAnamnesisRepositorio, IRecetaCristalesRepositorio, IOrdenDeTrabajoRepositorio, IProductoRepositorio, ISucursalRepositorio, IEmpresaRepositorio — cada una extiende IRepositorioBase&lt;T&gt; agregando métodos de consulta propios del agregado (p. ej. ObtenerPorRutConSucursalesAsync, ObtenerPorPublicIdAsync, ExisteRutAsync, ObtenerPorClienteAsync). IClienteRepositorio agrega además BuscarPaginadoAsync(rut, nombre, pagina, tamanioPagina) — Cliente es el único agregado con ~11.881 filas reales, no se expone un listado completo sin filtro. IRolRepositorio/IRegionRepositorio/IComunaRepositorio son la excepción: Region/Comuna/Rol heredan de CatalogEntity, no de AuditableEntity, así que no extienden IRepositorioBase&lt;T&gt; — son interfaces propias sin operaciones de escritura (catálogos sembrados, sin factory ni mutadores de dominio); IComunaRepositorio agrega ExisteAsync(id) usado para validar la FK Cliente.ComunaId antes de insertar/actualizar. Agregadas en la sesión 2026-08-27 (módulo Comercial): IOrdenDeTrabajoRepositorio suma ObtenerPorPublicIdAsync, ObtenerCompletaPorPublicIdAsync (carga el agregado entero: detalles + abonos + pagos + cuotas + bitácora, que es lo que necesita cualquier comando que mueva dinero o estado) y BuscarPaginadoAsync con filtros; IClienteRepositorio suma ObtenerPorIdsAsync (el listado de OT resuelve los nombres de cliente con una consulta por página, no una por fila); y IEstadoOTRepositorio / IFormaPagoRepositorio / IEstadoCuotaRepositorio siguen el patrón de IRolRepositorio por ser catálogos. IProductoRepositorio ya estaba definido pero sin implementación: se implementó ahora porque el detalle de la OT valida que el producto exista.</w:t>
      </w:r>
    </w:p>
    <w:p>
      <w:r>
        <w:br w:type="page"/>
      </w:r>
    </w:p>
    <w:p>
      <w:pPr>
        <w:pStyle w:val="Heading1"/>
      </w:pPr>
      <w:r>
        <w:t>4. Backend — OPT.Application</w:t>
      </w:r>
    </w:p>
    <w:p>
      <w:r>
        <w:t>Contiene los casos de uso del sistema. Solo ve interfaces (IRepositorioBase&lt;T&gt;, IUnitOfWork, ICurrentUserService, IPasswordService, ITokenService) — nunca el DbContext ni una implementación concreta de Infrastructure.</w:t>
      </w:r>
    </w:p>
    <w:p>
      <w:pPr>
        <w:pStyle w:val="Heading2"/>
      </w:pPr>
      <w:r>
        <w:t>4.1 Pipeline MediatR + FluentValidation</w:t>
      </w:r>
    </w:p>
    <w:p>
      <w:r>
        <w:t>ValidationBehaviour (OPT.Application/Common/Behaviours) se registra como IPipelineBehavior&lt;,&gt; y ejecuta automáticamente el validador FluentValidation correspondiente antes de que el Handler reciba el Command — si falla, lanza ValidationException sin que el Handler tenga que validar nada manualmente.</w:t>
      </w:r>
    </w:p>
    <w:p>
      <w:pPr>
        <w:pStyle w:val="Heading2"/>
      </w:pPr>
      <w:r>
        <w:t>4.2 Convención para un nuevo caso de uso</w:t>
      </w:r>
    </w:p>
    <w:p>
      <w:r>
        <w:t>Todo caso de uso nuevo (Command o Query) sigue siempre esta misma estructura de carpetas, ejemplificada por los casos de uso ya implementados (Auth/Commands/Login y el CRUD completo de Sucursales/Empresas/Usuarios/Roles):</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OPT.Application/Features/&lt;Modulo&gt;/&lt;Commands|Queries&gt;/&lt;NombreAccion&gt;/</w:t>
            </w:r>
          </w:p>
          <w:p>
            <w:r>
              <w:rPr>
                <w:rFonts w:ascii="Consolas" w:hAnsi="Consolas"/>
                <w:sz w:val="17"/>
              </w:rPr>
              <w:t xml:space="preserve">    &lt;NombreAccion&gt;Command.cs         # record : IRequest&lt;TResult&gt;</w:t>
            </w:r>
          </w:p>
          <w:p>
            <w:r>
              <w:rPr>
                <w:rFonts w:ascii="Consolas" w:hAnsi="Consolas"/>
                <w:sz w:val="17"/>
              </w:rPr>
              <w:t xml:space="preserve">    &lt;NombreAccion&gt;CommandHandler.cs  # : IRequestHandler&lt;TCommand, TResult&gt;</w:t>
            </w:r>
          </w:p>
          <w:p>
            <w:r>
              <w:rPr>
                <w:rFonts w:ascii="Consolas" w:hAnsi="Consolas"/>
                <w:sz w:val="17"/>
              </w:rPr>
              <w:t xml:space="preserve">    &lt;NombreAccion&gt;CommandValidator.cs   # : AbstractValidator&lt;TCommand&gt;</w:t>
            </w:r>
          </w:p>
        </w:tc>
      </w:tr>
    </w:tbl>
    <w:p>
      <w:pPr>
        <w:spacing w:after="40"/>
      </w:pPr>
    </w:p>
    <w:p>
      <w:r>
        <w:t>El controller correspondiente solo llama a await mediator.Send(command, ct) y retorna el resultado — sin try/catch, sin lógica de negocio, sin validación manual.</w:t>
      </w:r>
    </w:p>
    <w:p>
      <w:pPr>
        <w:pStyle w:val="Heading2"/>
      </w:pPr>
      <w:r>
        <w:t>4.3 Casos de uso implementados</w:t>
      </w:r>
    </w:p>
    <w:p>
      <w:r>
        <w:t>Actualización 2026-08-28: CrearOrdenDeTrabajoCommand y ActualizarOrdenDeTrabajoCommand aceptan RecetaPublicId, que vincula a la orden una receta ya tomada en la ficha clínica del cliente. El handler valida que la receta exista y que sea del mismo cliente de la OT — vincular la de otra persona significaría fabricar cristales con la graduación equivocada. El vínculo se guarda en la receta (RecetaCristales.AsociarAOrden), no en la orden, y por eso en el alta se aplica después del primer commit: antes de él la OT todavía no tiene Id.</w:t>
      </w:r>
    </w:p>
    <w:p>
      <w:r>
        <w:t>Auth/Commands/Login fue el primer caso de uso completo del scaffold y sigue sirviendo de referencia para todos los que se agreguen. Reglas que aplica:</w:t>
      </w:r>
    </w:p>
    <w:p>
      <w:pPr>
        <w:pStyle w:val="ListBullet"/>
      </w:pPr>
      <w:r>
        <w:t>Autenticación por RUT (convención de negocio heredada del legacy, no por email).</w:t>
      </w:r>
    </w:p>
    <w:p>
      <w:pPr>
        <w:pStyle w:val="ListBullet"/>
      </w:pPr>
      <w:r>
        <w:t>La clave nunca se compara en texto plano — se verifica el hash con IPasswordService.Verificar().</w:t>
      </w:r>
    </w:p>
    <w:p>
      <w:pPr>
        <w:pStyle w:val="ListBullet"/>
      </w:pPr>
      <w:r>
        <w:t>Si el RUT no existe o la clave es incorrecta, se lanza el mismo NotFoundException en ambos casos, para no revelar si un RUT está registrado en el sistema.</w:t>
      </w:r>
    </w:p>
    <w:p>
      <w:pPr>
        <w:pStyle w:val="ListBullet"/>
      </w:pPr>
      <w:r>
        <w:t>Al autenticar, se asigna la primera sucursal del usuario como sucursal activa de la sesión (regla preservada del legacy).</w:t>
      </w:r>
    </w:p>
    <w:p>
      <w:pPr>
        <w:pStyle w:val="ListBullet"/>
      </w:pPr>
      <w:r>
        <w:t>El token JWT se emite con ITokenService.GenerarToken(), incluyendo el RolId y la sucursal activa como claims.</w:t>
      </w:r>
    </w:p>
    <w:p>
      <w:pPr>
        <w:pStyle w:val="Heading3"/>
      </w:pPr>
      <w:r>
        <w:t>CRUD de Organización: Sucursal, Empresa, Usuario, Rol (2026-08-24)</w:t>
      </w:r>
    </w:p>
    <w:p>
      <w:pPr/>
      <w:r>
        <w:t>Además de Login, el módulo Organización tiene CRUD completo en Features/Sucursales|Empresas|Usuarios|Roles/, siguiendo exactamente el mismo patrón Command/Handler/Validator que Login. Verificado end-to-end contra dbOPT_NET real (login + CRUD + borrado lógico + validaciones de negocio).</w:t>
      </w:r>
    </w:p>
    <w:p>
      <w:pPr>
        <w:pStyle w:val="ListBullet"/>
      </w:pPr>
      <w:r>
        <w:t>Sucursal — Crear/Actualizar/Eliminar (borrado lógico) + ObtenerPorId/ObtenerTodos. Se identifica por el Id interno en las rutas — no está en la lista de entidades con PublicId del ADR 0004. Crear valida que no exista ya otra sucursal con EsMatriz=true (índice único filtrado en la base de datos).</w:t>
      </w:r>
    </w:p>
    <w:p>
      <w:pPr>
        <w:pStyle w:val="ListBullet"/>
      </w:pPr>
      <w:r>
        <w:t>Empresa — mismo CRUD que Sucursal, pero identificada por PublicId (Guid) en rutas y DTOs, nunca el Id interno (obligatorio por ADR 0004). Crear/Actualizar validan unicidad de Rut contra la base antes de escribir, para devolver un error de validación claro en vez de una violación de constraint SQL.</w:t>
      </w:r>
    </w:p>
    <w:p>
      <w:pPr>
        <w:pStyle w:val="ListBullet"/>
      </w:pPr>
      <w:r>
        <w:t>Usuario — además de Crear/Actualizar/Eliminar/ObtenerPorId/ObtenerTodos: CambiarClave (verifica la clave actual con IPasswordService.Verificar() antes de rehashear la nueva), Activar/Desactivar (flag de negocio Activo, distinto del borrado lógico Eliminado), y AsignarSucursal/QuitarSucursal — un usuario recién creado no tiene ninguna sucursal asignada y no podrá iniciar sesión hasta que se le asigne una (LoginCommandHandler lo exige, ver 4.3).</w:t>
      </w:r>
    </w:p>
    <w:p>
      <w:pPr>
        <w:pStyle w:val="ListBullet"/>
      </w:pPr>
      <w:r>
        <w:t>Rol — solo lectura (ObtenerTodosQuery). Es CatalogEntity (catálogo sembrado, 8 filas fijas), sin factory pública ni mutadores de dominio, por eso no expone Crear/Actualizar/Eliminar vía API.</w:t>
      </w:r>
    </w:p>
    <w:p>
      <w:pPr>
        <w:pStyle w:val="ListBullet"/>
      </w:pPr>
      <w:r>
        <w:t>Fuera de alcance deliberado: la gestión de EmpresaSucursal (asignar sucursales a una empresa) — a diferencia de UsuarioSucursal, no bloquea ninguna funcionalidad ya implementada. Queda como seguimiento sugerido.</w:t>
      </w:r>
    </w:p>
    <w:p>
      <w:pPr>
        <w:pStyle w:val="ListBullet"/>
      </w:pPr>
      <w:r>
        <w:t>Los handlers de mutación no llaman repo.Actualizar(entidad) explícitamente tras invocar el método de dominio — se apoyan en el change tracking de EF Core sobre la entidad ya cargada (mismo patrón que LoginCommandHandler con SetSucursalActiva); solo Crear llama repo.Agregar(...) antes de uow.CommitAsync().</w:t>
      </w:r>
    </w:p>
    <w:p>
      <w:pPr>
        <w:pStyle w:val="Heading3"/>
      </w:pPr>
      <w:r>
        <w:t>Región y Comuna (2026-08-25)</w:t>
      </w:r>
    </w:p>
    <w:p>
      <w:pPr/>
      <w:r>
        <w:t>API de solo lectura, sin Commands — mismo patrón que Rol (catálogo sembrado, sin mutadores de dominio). IRegionRepositorio/IComunaRepositorio no extienden IRepositorioBase&lt;T&gt; por ser CatalogEntity, igual que IRolRepositorio.</w:t>
      </w:r>
    </w:p>
    <w:p>
      <w:pPr>
        <w:pStyle w:val="ListBullet"/>
      </w:pPr>
      <w:r>
        <w:t>GET /api/regiones — lista las 16 regiones ordenadas por nombre.</w:t>
      </w:r>
    </w:p>
    <w:p>
      <w:pPr>
        <w:pStyle w:val="ListBullet"/>
      </w:pPr>
      <w:r>
        <w:t>GET /api/comunas?regionId={id} — lista las comunas de esa región, ordenadas por nombre (replica OPT_ComunaDAL.Lista(idRegion) del legacy: sin validar que el regionId exista, un id inexistente devuelve lista vacía, no error).</w:t>
      </w:r>
    </w:p>
    <w:p>
      <w:pPr>
        <w:pStyle w:val="ListBullet"/>
      </w:pPr>
      <w:r>
        <w:t>Usan el Id interno en la API, no PublicId — Región/Comuna no están en el alcance de datos personales/sensibles del ADR 0004.</w:t>
      </w:r>
    </w:p>
    <w:p>
      <w:pPr>
        <w:pStyle w:val="Heading3"/>
      </w:pPr>
      <w:r>
        <w:t>Clínico: Cliente, Anamnesis, RecetaCristales (2026-08-26)</w:t>
      </w:r>
    </w:p>
    <w:p>
      <w:pPr/>
      <w:r>
        <w:t>Fase 1 de negocio arrancada — CRUD completo en Features/Clientes|Anamnesis|RecetaCristales/, siguiendo el mismo patrón Command/Handler/Validator que los módulos anteriores. Se preguntó explícitamente al usuario si correspondía crear un módulo "Atención" (como en el legacy) antes de implementar nada.</w:t>
      </w:r>
    </w:p>
    <w:p>
      <w:pPr>
        <w:pStyle w:val="ListBullet"/>
      </w:pPr>
      <w:r>
        <w:t>Cliente — Crear/Actualizar/Eliminar (borrado lógico) + ObtenerPorId/ObtenerTodos, identificado por PublicId (ADR 0004). A diferencia de Empresa/Usuario, ObtenerTodos es paginado con filtro opcional Rut/Nombre (ObtenerClientesQuery devuelve PagedResult&lt;ClienteDto&gt;) — justificado por el volumen real (~11.881 filas). El RUT es inmutable después de creado (no se incluye en ActualizarClienteCommand).</w:t>
      </w:r>
    </w:p>
    <w:p>
      <w:pPr>
        <w:pStyle w:val="ListBullet"/>
      </w:pPr>
      <w:r>
        <w:t>Anamnesis y RecetaCristales — expuestas como recursos propios con su propio PublicId, no anidadas bajo /api/clientes/{id}/... Cada una tiene su propio controller con GET /api/{recurso}?clientePublicId={guid} para el historial de un cliente (reemplaza ListaPorRut/Listar(pRut) del legacy).</w:t>
      </w:r>
    </w:p>
    <w:p>
      <w:pPr>
        <w:pStyle w:val="ListBullet"/>
      </w:pPr>
      <w:r>
        <w:t>Se agregó Actualizar(...) al dominio de Anamnesis y RecetaCristales — el scaffold original solo tenía Crear para estas dos entidades; el legacy sí soporta edición (OPT_AnamnesisDAL.Editar, OPT_RecetaCristalesDAL.Editar).</w:t>
      </w:r>
    </w:p>
    <w:p>
      <w:pPr>
        <w:pStyle w:val="ListBullet"/>
      </w:pPr>
      <w:r>
        <w:t>RecetaCristales valida el rango de graduación óptica (-30.00 a +30.00 para esfera/cilindro, 0-180 para el eje) — el legacy no validaba estos campos (eran string libre).</w:t>
      </w:r>
    </w:p>
    <w:p>
      <w:pPr>
        <w:pStyle w:val="ListBullet"/>
      </w:pPr>
      <w:r>
        <w:t>Actualización 2026-09-08 (ADR 0010): las 6 columnas de observación (ObservacionOd/Oi/Dp{Lejos,Cerca}, script 007) dejaron de ser obligatorias en CrearRecetaCristalesCommandValidator/ActualizarRecetaCristalesCommandValidator cuando su checkbox IncluirLejos/IncluirCerca está activo — se quitaron las 6 reglas NotEmpty().When(...), se mantiene MaximumLength(50). El frontend había relajado su propio Validators.required primero; sin este cambio de backend la API seguía rechazando con 422 pese a que el botón Guardar del frontend ya no aparecía deshabilitado.</w:t>
      </w:r>
    </w:p>
    <w:p>
      <w:pPr>
        <w:pStyle w:val="ListBullet"/>
      </w:pPr>
      <w:r>
        <w:t>Fuera de alcance deliberado: no se creó un módulo/endpoint "Atención" — se confirmó explícitamente con el usuario, consistente con la decisión ya tomada al migrar los datos (OPT_Atencion sin tabla equivalente en el esquema nuevo). El frontend orquesta la creación conjunta llamando a los 3 endpoints por separado.</w:t>
      </w:r>
    </w:p>
    <w:p>
      <w:pPr/>
      <w:r>
        <w:t>Verificado con dotnet build OPT.sln (compila limpio) — aún no probado end-to-end contra dbOPT_NET real.</w:t>
      </w:r>
    </w:p>
    <w:p>
      <w:pPr>
        <w:pStyle w:val="Heading3"/>
      </w:pPr>
      <w:r>
        <w:t>Comercial: Orden de Trabajo, abonos, pagos y cuotas (2026-08-27)</w:t>
      </w:r>
    </w:p>
    <w:p>
      <w:pPr/>
      <w:r>
        <w:t>Fase 2 de negocio — Features/OrdenesDeTrabajo/ concentra los nueve comandos y las dos consultas del agregado, más los catálogos de solo lectura Features/EstadosOT|FormasPago|EstadosCuota/. Las cinco decisiones de diseño se consultaron con el usuario antes de escribir código y están en el ADR 0007.</w:t>
      </w:r>
    </w:p>
    <w:p>
      <w:pPr>
        <w:pStyle w:val="ListBullet"/>
      </w:pPr>
      <w:r>
        <w:t>Orden de Trabajo — Crear/Actualizar + ObtenerPorId/ObtenerTodos (paginado con filtros clientePublicId, sucursalId, estadoOTId y soloConSaldo). Se identifica por PublicId, nunca por el Id interno ni por el NumeroOT. Crear acepta el detalle y, opcionalmente, el plan de cuotas y el abono inicial: los tres quedan en la misma transacción, que es el flujo real del mesón.</w:t>
      </w:r>
    </w:p>
    <w:p>
      <w:pPr>
        <w:pStyle w:val="ListBullet"/>
      </w:pPr>
      <w:r>
        <w:t>El Precio NO se recibe por la API: es la suma de las líneas del detalle, recalculado por el dominio. Actualizar reemplaza el detalle completo (las líneas anteriores quedan con borrado lógico) — el detalle es parte del agregado, nunca un recurso propio.</w:t>
      </w:r>
    </w:p>
    <w:p>
      <w:pPr>
        <w:pStyle w:val="ListBullet"/>
      </w:pPr>
      <w:r>
        <w:t>Flujo de estados — CambiarEstadoOrdenDeTrabajoCommand avanza o retrocede una etapa; AnularOrdenDeTrabajoCommand lleva la OT al estado terminal ANULADO con motivo obligatorio. Las reglas viven en el dominio, no en el handler: el handler solo valida que el estado exista en el catálogo y deja que OrdenDeTrabajo.CambiarEstado lance DomainException (HTTP 422) si la transición es inválida.</w:t>
      </w:r>
    </w:p>
    <w:p>
      <w:pPr>
        <w:pStyle w:val="ListBullet"/>
      </w:pPr>
      <w:r>
        <w:t>Dinero — RegistrarAbonoCommand y RegistrarPagoCommand. Ambos recalculan TotalAbonado y Saldo en la misma transacción; el pago además imputa las cuotas pendientes más antiguas que alcance a cubrir completas (un pago parcial baja el saldo pero no marca la cuota). Se acepta el sobrepago.</w:t>
      </w:r>
    </w:p>
    <w:p>
      <w:pPr>
        <w:pStyle w:val="ListBullet"/>
      </w:pPr>
      <w:r>
        <w:t>Cuotas — GenerarPlanCuotasCommand, PagarCuotaCommand (regularización manual de un cobro hecho fuera del sistema) y AnularCuotaCommand (paso previo para rehacer un plan mal generado). Las cuotas se direccionan por su Numero dentro de la OT, no por Id.</w:t>
      </w:r>
    </w:p>
    <w:p>
      <w:pPr>
        <w:pStyle w:val="ListBullet"/>
      </w:pPr>
      <w:r>
        <w:t>OrdenDeTrabajoDtoFactory — los nueve comandos y la consulta por Id devuelven la misma vista completa de la OT (cabecera + detalle + abonos + pagos + cuotas + bitácora), para que el frontend no tenga que releer después de cada acción. Se registra explícitamente en AddApplication: el escaneo de MediatR no alcanza a una clase que no es Handler ni Validator.</w:t>
      </w:r>
    </w:p>
    <w:p>
      <w:pPr>
        <w:pStyle w:val="ListBullet"/>
      </w:pPr>
      <w:r>
        <w:t>N° de OT manual (2026-09-11) — CrearOrdenDeTrabajoCommand gana el campo NumeroOT (validado &gt; 0); el handler llama a ExisteNumeroOTVigenteAsync(numeroOT, año) antes de crear y lanza DomainException si hay choque con otra OT vigente del mismo año. Deliberadamente no se acumuló en el diccionario errores de ValidationException (el frontend solo muestra el title del problema en el toast, no el detalle por campo).</w:t>
      </w:r>
    </w:p>
    <w:p>
      <w:pPr>
        <w:pStyle w:val="ListBullet"/>
      </w:pPr>
      <w:r>
        <w:t>Autorización por rol y por sucursal (2026-09-15) — los handlers de OrdenesDeTrabajo (Crear, Actualizar, CambiarEstado, Anular, RegistrarAbono, RegistrarPago, GenerarPlanCuotas, PagarCuota, AnularCuota, ObtenerPorId) llaman a AutorizacionSucursal.ValidarAcceso antes de operar, y OrdenesDeTrabajoController restringe cada acción con AutorizarRolesAttribute según RolesOPT (Anular/AnularCuota más restringido; CambiarEstado suma Control Calidad). Detalle completo en 8.3.</w:t>
      </w:r>
    </w:p>
    <w:p>
      <w:pPr>
        <w:pStyle w:val="ListBullet"/>
      </w:pPr>
      <w:r>
        <w:t>Fuera de alcance deliberado: anular un abono o un pago ya registrado (hoy solo se anulan cuotas y la OT completa). La autorización por sucursal en los endpoints, que esta misma lista marcaba como pendiente, se resolvió en la sesión 2026-09-15 — ver 8.3 y 7.6.</w:t>
      </w:r>
    </w:p>
    <w:p>
      <w:pPr>
        <w:pStyle w:val="ListBullet"/>
      </w:pPr>
      <w:r>
        <w:t>HU-OT-02/03 — origen Sucursal/Operativo (2026-09-22) — OrdenDeTrabajoResumenDto y OrdenDeTrabajoDto ganan los campos derivados OperativoPublicId/OperativoNombre (más OperativoCorrelativo en la vista completa) — nunca persistidos: si son null, la OT es venta de Sucursal. ObtenerOrdenesDeTrabajoQuery gana el filtro SoloSucursal. Ambos se resuelven con IOperativoRepositorio.ObtenerPorOrdenesDeTrabajoIdsAsync(ids), el mismo patrón de lookup por página que ya usaban clientes/sucursales/estados en el handler del listado. Ver src/documentos/HU/01_HU_Modulo_OT.html.</w:t>
      </w:r>
    </w:p>
    <w:p>
      <w:pPr/>
      <w:r>
        <w:t>Verificado con dotnet build OPT.sln (compila limpio, sin advertencias nuevas) y el script 005 aplicado y verificado contra dbOPT_NET. Los endpoints todavía NO se probaron end-to-end con sesión autenticada.</w:t>
      </w:r>
    </w:p>
    <w:p>
      <w:pPr>
        <w:pStyle w:val="Heading2"/>
      </w:pPr>
      <w:r>
        <w:t>4.4 Excepciones de aplicación</w:t>
      </w:r>
    </w:p>
    <w:tbl>
      <w:tblPr>
        <w:tblStyle w:val="TableGrid"/>
        <w:tblW w:type="auto" w:w="0"/>
        <w:jc w:val="center"/>
        <w:tblLook w:firstColumn="1" w:firstRow="1" w:lastColumn="0" w:lastRow="0" w:noHBand="0" w:noVBand="1" w:val="04A0"/>
      </w:tblPr>
      <w:tblGrid>
        <w:gridCol w:w="4320"/>
        <w:gridCol w:w="4320"/>
      </w:tblGrid>
      <w:tr>
        <w:tc>
          <w:tcPr>
            <w:tcW w:type="dxa" w:w="2551"/>
            <w:shd w:val="clear" w:color="auto" w:fill="1F3A5F"/>
          </w:tcPr>
          <w:p>
            <w:r/>
            <w:r>
              <w:rPr>
                <w:rFonts w:ascii="Calibri" w:hAnsi="Calibri"/>
                <w:b/>
                <w:color w:val="FFFFFF"/>
                <w:sz w:val="19"/>
              </w:rPr>
              <w:t>Excepción</w:t>
            </w:r>
          </w:p>
        </w:tc>
        <w:tc>
          <w:tcPr>
            <w:tcW w:type="dxa" w:w="6803"/>
            <w:shd w:val="clear" w:color="auto" w:fill="1F3A5F"/>
          </w:tcPr>
          <w:p>
            <w:r/>
            <w:r>
              <w:rPr>
                <w:rFonts w:ascii="Calibri" w:hAnsi="Calibri"/>
                <w:b/>
                <w:color w:val="FFFFFF"/>
                <w:sz w:val="19"/>
              </w:rPr>
              <w:t>Cuándo se lanza</w:t>
            </w:r>
          </w:p>
        </w:tc>
      </w:tr>
      <w:tr>
        <w:tc>
          <w:tcPr>
            <w:tcW w:type="dxa" w:w="2551"/>
          </w:tcPr>
          <w:p>
            <w:r/>
            <w:r>
              <w:rPr>
                <w:rFonts w:ascii="Calibri" w:hAnsi="Calibri"/>
                <w:b w:val="0"/>
                <w:sz w:val="18"/>
              </w:rPr>
              <w:t>NotFoundException</w:t>
            </w:r>
          </w:p>
        </w:tc>
        <w:tc>
          <w:tcPr>
            <w:tcW w:type="dxa" w:w="6803"/>
          </w:tcPr>
          <w:p>
            <w:r/>
            <w:r>
              <w:rPr>
                <w:rFonts w:ascii="Calibri" w:hAnsi="Calibri"/>
                <w:b w:val="0"/>
                <w:sz w:val="18"/>
              </w:rPr>
              <w:t>Una entidad solicitada por Id/clave no existe.</w:t>
            </w:r>
          </w:p>
        </w:tc>
      </w:tr>
      <w:tr>
        <w:tc>
          <w:tcPr>
            <w:tcW w:type="dxa" w:w="2551"/>
          </w:tcPr>
          <w:p>
            <w:r/>
            <w:r>
              <w:rPr>
                <w:rFonts w:ascii="Calibri" w:hAnsi="Calibri"/>
                <w:b w:val="0"/>
                <w:sz w:val="18"/>
              </w:rPr>
              <w:t>ValidationException</w:t>
            </w:r>
          </w:p>
        </w:tc>
        <w:tc>
          <w:tcPr>
            <w:tcW w:type="dxa" w:w="6803"/>
          </w:tcPr>
          <w:p>
            <w:r/>
            <w:r>
              <w:rPr>
                <w:rFonts w:ascii="Calibri" w:hAnsi="Calibri"/>
                <w:b w:val="0"/>
                <w:sz w:val="18"/>
              </w:rPr>
              <w:t>FluentValidation rechaza el Command/Query — nunca se lanza a mano dentro de un Handler salvo casos como «sucursal no asignada».</w:t>
            </w:r>
          </w:p>
        </w:tc>
      </w:tr>
    </w:tbl>
    <w:p>
      <w:pPr>
        <w:spacing w:after="80"/>
      </w:pPr>
    </w:p>
    <w:p>
      <w:pPr>
        <w:spacing w:after="200"/>
        <w:ind w:left="170"/>
      </w:pPr>
      <w:r>
        <w:rPr>
          <w:b/>
          <w:color w:val="2E74B5"/>
          <w:sz w:val="19"/>
        </w:rPr>
        <w:t xml:space="preserve">Nota: </w:t>
      </w:r>
      <w:r>
        <w:rPr>
          <w:i/>
          <w:sz w:val="19"/>
        </w:rPr>
        <w:t>Nunca relanzar con throw ex (destruye el stack trace) — usar throw; o lanzar la excepción semántica correspondiente.</w:t>
      </w:r>
    </w:p>
    <w:p>
      <w:r>
        <w:br w:type="page"/>
      </w:r>
    </w:p>
    <w:p>
      <w:pPr>
        <w:pStyle w:val="Heading1"/>
      </w:pPr>
      <w:r>
        <w:t>5. Backend — OPT.Infrastructure</w:t>
      </w:r>
    </w:p>
    <w:p>
      <w:r>
        <w:t>Implementaciones concretas de todo lo que Application y Domain solo ven como interfaz.</w:t>
      </w:r>
    </w:p>
    <w:p>
      <w:pPr>
        <w:pStyle w:val="Heading2"/>
      </w:pPr>
      <w:r>
        <w:t>5.1 Persistencia</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1F3A5F"/>
          </w:tcPr>
          <w:p>
            <w:r/>
            <w:r>
              <w:rPr>
                <w:rFonts w:ascii="Calibri" w:hAnsi="Calibri"/>
                <w:b/>
                <w:color w:val="FFFFFF"/>
                <w:sz w:val="19"/>
              </w:rPr>
              <w:t>Componente</w:t>
            </w:r>
          </w:p>
        </w:tc>
        <w:tc>
          <w:tcPr>
            <w:tcW w:type="dxa" w:w="7370"/>
            <w:shd w:val="clear" w:color="auto" w:fill="1F3A5F"/>
          </w:tcPr>
          <w:p>
            <w:r/>
            <w:r>
              <w:rPr>
                <w:rFonts w:ascii="Calibri" w:hAnsi="Calibri"/>
                <w:b/>
                <w:color w:val="FFFFFF"/>
                <w:sz w:val="19"/>
              </w:rPr>
              <w:t>Responsabilidad</w:t>
            </w:r>
          </w:p>
        </w:tc>
      </w:tr>
      <w:tr>
        <w:tc>
          <w:tcPr>
            <w:tcW w:type="dxa" w:w="2268"/>
          </w:tcPr>
          <w:p>
            <w:r/>
            <w:r>
              <w:rPr>
                <w:rFonts w:ascii="Calibri" w:hAnsi="Calibri"/>
                <w:b w:val="0"/>
                <w:sz w:val="18"/>
              </w:rPr>
              <w:t>AppDbContext</w:t>
            </w:r>
          </w:p>
        </w:tc>
        <w:tc>
          <w:tcPr>
            <w:tcW w:type="dxa" w:w="7370"/>
          </w:tcPr>
          <w:p>
            <w:r/>
            <w:r>
              <w:rPr>
                <w:rFonts w:ascii="Calibri" w:hAnsi="Calibri"/>
                <w:b w:val="0"/>
                <w:sz w:val="18"/>
              </w:rPr>
              <w:t>DbContext de EF Core. Aplica todas las IEntityTypeConfiguration&lt;T&gt; del ensamblado y declara la SEQUENCE SEQ_NumeroOT.</w:t>
            </w:r>
          </w:p>
        </w:tc>
      </w:tr>
      <w:tr>
        <w:tc>
          <w:tcPr>
            <w:tcW w:type="dxa" w:w="2268"/>
          </w:tcPr>
          <w:p>
            <w:r/>
            <w:r>
              <w:rPr>
                <w:rFonts w:ascii="Calibri" w:hAnsi="Calibri"/>
                <w:b w:val="0"/>
                <w:sz w:val="18"/>
              </w:rPr>
              <w:t>AppDbContextFactory</w:t>
            </w:r>
          </w:p>
        </w:tc>
        <w:tc>
          <w:tcPr>
            <w:tcW w:type="dxa" w:w="7370"/>
          </w:tcPr>
          <w:p>
            <w:r/>
            <w:r>
              <w:rPr>
                <w:rFonts w:ascii="Calibri" w:hAnsi="Calibri"/>
                <w:b w:val="0"/>
                <w:sz w:val="18"/>
              </w:rPr>
              <w:t>IDesignTimeDbContextFactory&lt;AppDbContext&gt; — permite que las EF Core Tools (dotnet ef) instancien el contexto sin necesitar user-secrets activos, leyendo la cadena de conexión de la variable de entorno OPT_CONN o un fallback local.</w:t>
            </w:r>
          </w:p>
        </w:tc>
      </w:tr>
      <w:tr>
        <w:tc>
          <w:tcPr>
            <w:tcW w:type="dxa" w:w="2268"/>
          </w:tcPr>
          <w:p>
            <w:r/>
            <w:r>
              <w:rPr>
                <w:rFonts w:ascii="Calibri" w:hAnsi="Calibri"/>
                <w:b w:val="0"/>
                <w:sz w:val="18"/>
              </w:rPr>
              <w:t>AuditInterceptor</w:t>
            </w:r>
          </w:p>
        </w:tc>
        <w:tc>
          <w:tcPr>
            <w:tcW w:type="dxa" w:w="7370"/>
          </w:tcPr>
          <w:p>
            <w:r/>
            <w:r>
              <w:rPr>
                <w:rFonts w:ascii="Calibri" w:hAnsi="Calibri"/>
                <w:b w:val="0"/>
                <w:sz w:val="18"/>
              </w:rPr>
              <w:t>SaveChanges interceptor — rellena CreadoEn/CreadoPor/ModificadoEn/ModificadoPor automáticamente en cada inserción/actualización.</w:t>
            </w:r>
          </w:p>
        </w:tc>
      </w:tr>
      <w:tr>
        <w:tc>
          <w:tcPr>
            <w:tcW w:type="dxa" w:w="2268"/>
          </w:tcPr>
          <w:p>
            <w:r/>
            <w:r>
              <w:rPr>
                <w:rFonts w:ascii="Calibri" w:hAnsi="Calibri"/>
                <w:b w:val="0"/>
                <w:sz w:val="18"/>
              </w:rPr>
              <w:t>UnitOfWork</w:t>
            </w:r>
          </w:p>
        </w:tc>
        <w:tc>
          <w:tcPr>
            <w:tcW w:type="dxa" w:w="7370"/>
          </w:tcPr>
          <w:p>
            <w:r/>
            <w:r>
              <w:rPr>
                <w:rFonts w:ascii="Calibri" w:hAnsi="Calibri"/>
                <w:b w:val="0"/>
                <w:sz w:val="18"/>
              </w:rPr>
              <w:t>Implementa IUnitOfWork — encapsula SaveChangesAsync tras las operaciones de un Handler.</w:t>
            </w:r>
          </w:p>
        </w:tc>
      </w:tr>
      <w:tr>
        <w:tc>
          <w:tcPr>
            <w:tcW w:type="dxa" w:w="2268"/>
          </w:tcPr>
          <w:p>
            <w:r/>
            <w:r>
              <w:rPr>
                <w:rFonts w:ascii="Calibri" w:hAnsi="Calibri"/>
                <w:b w:val="0"/>
                <w:sz w:val="18"/>
              </w:rPr>
              <w:t>RepositorioBase&lt;T&gt;</w:t>
            </w:r>
          </w:p>
        </w:tc>
        <w:tc>
          <w:tcPr>
            <w:tcW w:type="dxa" w:w="7370"/>
          </w:tcPr>
          <w:p>
            <w:r/>
            <w:r>
              <w:rPr>
                <w:rFonts w:ascii="Calibri" w:hAnsi="Calibri"/>
                <w:b w:val="0"/>
                <w:sz w:val="18"/>
              </w:rPr>
              <w:t>Implementación genérica de IRepositorioBase&lt;T&gt;, con filtro global de borrado lógico (Eliminado = 0).</w:t>
            </w:r>
          </w:p>
        </w:tc>
      </w:tr>
      <w:tr>
        <w:tc>
          <w:tcPr>
            <w:tcW w:type="dxa" w:w="2268"/>
          </w:tcPr>
          <w:p>
            <w:r/>
            <w:r>
              <w:rPr>
                <w:rFonts w:ascii="Calibri" w:hAnsi="Calibri"/>
                <w:b w:val="0"/>
                <w:sz w:val="18"/>
              </w:rPr>
              <w:t>Repositorios concretos</w:t>
            </w:r>
          </w:p>
        </w:tc>
        <w:tc>
          <w:tcPr>
            <w:tcW w:type="dxa" w:w="7370"/>
          </w:tcPr>
          <w:p>
            <w:r>
              <w:t>UsuarioRepositorio, ClienteRepositorio, OrdenDeTrabajoRepositorio, ProductoRepositorio y los tres de catálogo del módulo Comercial (EstadoOT, FormaPago, EstadoCuota) — agregan consultas propias de cada agregado. RepositorioBase&lt;T&gt; expone además la propiedad protegida Contexto para las consultas que necesitan otra entidad además de T (p. ej. el listado de OT filtrando por RUT/nombre del Cliente); usarla evita que el repositorio derivado capture el parámetro del constructor primario (warning CS9107).</w:t>
            </w:r>
            <w:r>
              <w:rPr>
                <w:rFonts w:ascii="Calibri" w:hAnsi="Calibri"/>
                <w:b w:val="0"/>
                <w:sz w:val="18"/>
              </w:rPr>
            </w:r>
          </w:p>
        </w:tc>
      </w:tr>
      <w:tr>
        <w:tc>
          <w:tcPr>
            <w:tcW w:type="dxa" w:w="2268"/>
          </w:tcPr>
          <w:p>
            <w:r/>
            <w:r>
              <w:rPr>
                <w:rFonts w:ascii="Calibri" w:hAnsi="Calibri"/>
                <w:b w:val="0"/>
                <w:sz w:val="18"/>
              </w:rPr>
              <w:t>Configurations/</w:t>
            </w:r>
          </w:p>
        </w:tc>
        <w:tc>
          <w:tcPr>
            <w:tcW w:type="dxa" w:w="7370"/>
          </w:tcPr>
          <w:p>
            <w:r/>
            <w:r>
              <w:rPr>
                <w:rFonts w:ascii="Calibri" w:hAnsi="Calibri"/>
                <w:b w:val="0"/>
                <w:sz w:val="18"/>
              </w:rPr>
              <w:t>Una IEntityTypeConfiguration&lt;T&gt; por entidad, organizadas en subcarpetas por módulo (Organizacion, Clinico, Comercial, Inventario) — completo para las 17 tablas.</w:t>
            </w:r>
          </w:p>
        </w:tc>
      </w:tr>
    </w:tbl>
    <w:p>
      <w:pPr>
        <w:spacing w:after="80"/>
      </w:pPr>
    </w:p>
    <w:p>
      <w:pPr>
        <w:pStyle w:val="Heading2"/>
      </w:pPr>
      <w:r>
        <w:t>5.2 Identidad y seguridad</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1F3A5F"/>
          </w:tcPr>
          <w:p>
            <w:r/>
            <w:r>
              <w:rPr>
                <w:rFonts w:ascii="Calibri" w:hAnsi="Calibri"/>
                <w:b/>
                <w:color w:val="FFFFFF"/>
                <w:sz w:val="19"/>
              </w:rPr>
              <w:t>Componente</w:t>
            </w:r>
          </w:p>
        </w:tc>
        <w:tc>
          <w:tcPr>
            <w:tcW w:type="dxa" w:w="7370"/>
            <w:shd w:val="clear" w:color="auto" w:fill="1F3A5F"/>
          </w:tcPr>
          <w:p>
            <w:r/>
            <w:r>
              <w:rPr>
                <w:rFonts w:ascii="Calibri" w:hAnsi="Calibri"/>
                <w:b/>
                <w:color w:val="FFFFFF"/>
                <w:sz w:val="19"/>
              </w:rPr>
              <w:t>Detalle</w:t>
            </w:r>
          </w:p>
        </w:tc>
      </w:tr>
      <w:tr>
        <w:tc>
          <w:tcPr>
            <w:tcW w:type="dxa" w:w="2268"/>
          </w:tcPr>
          <w:p>
            <w:r/>
            <w:r>
              <w:rPr>
                <w:rFonts w:ascii="Calibri" w:hAnsi="Calibri"/>
                <w:b w:val="0"/>
                <w:sz w:val="18"/>
              </w:rPr>
              <w:t>PasswordService</w:t>
            </w:r>
          </w:p>
        </w:tc>
        <w:tc>
          <w:tcPr>
            <w:tcW w:type="dxa" w:w="7370"/>
          </w:tcPr>
          <w:p>
            <w:r/>
            <w:r>
              <w:rPr>
                <w:rFonts w:ascii="Calibri" w:hAnsi="Calibri"/>
                <w:b w:val="0"/>
                <w:sz w:val="18"/>
              </w:rPr>
              <w:t>BCrypt.Net-Next, work factor 12. Hash() al crear/cambiar clave, Verificar() al autenticar.</w:t>
            </w:r>
          </w:p>
        </w:tc>
      </w:tr>
      <w:tr>
        <w:tc>
          <w:tcPr>
            <w:tcW w:type="dxa" w:w="2268"/>
          </w:tcPr>
          <w:p>
            <w:r/>
            <w:r>
              <w:rPr>
                <w:rFonts w:ascii="Calibri" w:hAnsi="Calibri"/>
                <w:b w:val="0"/>
                <w:sz w:val="18"/>
              </w:rPr>
              <w:t>TokenService</w:t>
            </w:r>
          </w:p>
        </w:tc>
        <w:tc>
          <w:tcPr>
            <w:tcW w:type="dxa" w:w="7370"/>
          </w:tcPr>
          <w:p>
            <w:r/>
            <w:r>
              <w:rPr>
                <w:rFonts w:ascii="Calibri" w:hAnsi="Calibri"/>
                <w:b w:val="0"/>
                <w:sz w:val="18"/>
              </w:rPr>
              <w:t>Emite JWT firmado con la clave de IConfiguration (Jwt:Key — nunca hardcodeada). Incluye Issuer, Audience y expiración configurables.</w:t>
            </w:r>
          </w:p>
        </w:tc>
      </w:tr>
      <w:tr>
        <w:tc>
          <w:tcPr>
            <w:tcW w:type="dxa" w:w="2268"/>
          </w:tcPr>
          <w:p>
            <w:r/>
            <w:r>
              <w:rPr>
                <w:rFonts w:ascii="Calibri" w:hAnsi="Calibri"/>
                <w:b w:val="0"/>
                <w:sz w:val="18"/>
              </w:rPr>
              <w:t>CurrentUserService</w:t>
            </w:r>
          </w:p>
        </w:tc>
        <w:tc>
          <w:tcPr>
            <w:tcW w:type="dxa" w:w="7370"/>
          </w:tcPr>
          <w:p>
            <w:r/>
            <w:r>
              <w:rPr>
                <w:rFonts w:ascii="Calibri" w:hAnsi="Calibri"/>
                <w:b w:val="0"/>
                <w:sz w:val="18"/>
              </w:rPr>
              <w:t>Lee los claims del JWT desde HttpContext (UsuarioId, Rut, SucursalId, EstaAutenticado) para que Application sepa quién ejecuta la operación sin depender de ASP.NET Core.</w:t>
            </w:r>
          </w:p>
        </w:tc>
      </w:tr>
    </w:tbl>
    <w:p>
      <w:pPr>
        <w:spacing w:after="80"/>
      </w:pPr>
    </w:p>
    <w:p>
      <w:pPr>
        <w:pStyle w:val="Heading2"/>
      </w:pPr>
      <w:r>
        <w:t>5.3 Registro de dependencias</w:t>
      </w:r>
    </w:p>
    <w:p>
      <w:r>
        <w:t>OPT.Infrastructure/DependencyInjection.cs (método AddInfrastructure) registra: AppDbContext (SQL Server), AuditInterceptor, UnitOfWork, todos los repositorios (incluye ISucursalRepositorio, IEmpresaRepositorio e IRolRepositorio, agregados en la sesión 2026-08-24), IRegionRepositorio e IComunaRepositorio (agregados en la sesión 2026-08-25), IProductoRepositorio, IEstadoOTRepositorio, IFormaPagoRepositorio e IEstadoCuotaRepositorio (agregados en la sesión 2026-08-27, módulo Comercial), PasswordService, TokenService, CurrentUserService y la autenticación JWT Bearer. Todo repositorio nuevo debe registrarse aquí. Excepción del lado de Application: OrdenDeTrabajoDtoFactory se registra en OPT.Application/DependencyInjection.cs (AddApplication), porque no es un Handler ni un Validator y el escaneo de ensamblado de MediatR/FluentValidation no lo alcanza.</w:t>
      </w:r>
    </w:p>
    <w:p>
      <w:r>
        <w:br w:type="page"/>
      </w:r>
    </w:p>
    <w:p>
      <w:pPr>
        <w:pStyle w:val="Heading1"/>
      </w:pPr>
      <w:r>
        <w:t>6. Backend — OPT.API</w:t>
      </w:r>
    </w:p>
    <w:p>
      <w:pPr>
        <w:pStyle w:val="Heading2"/>
      </w:pPr>
      <w:r>
        <w:t>6.1 Pipeline de la aplicación (Program.cs)</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builder.Services.AddApplication();</w:t>
            </w:r>
          </w:p>
          <w:p>
            <w:r>
              <w:rPr>
                <w:rFonts w:ascii="Consolas" w:hAnsi="Consolas"/>
                <w:sz w:val="17"/>
              </w:rPr>
              <w:t>builder.Services.AddInfrastructure(builder.Configuration);</w:t>
            </w:r>
          </w:p>
          <w:p>
            <w:r>
              <w:rPr>
                <w:rFonts w:ascii="Consolas" w:hAnsi="Consolas"/>
                <w:sz w:val="17"/>
              </w:rPr>
              <w:t>builder.Services.AddControllers();</w:t>
            </w:r>
          </w:p>
          <w:p>
            <w:r>
              <w:rPr>
                <w:rFonts w:ascii="Consolas" w:hAnsi="Consolas"/>
                <w:sz w:val="17"/>
              </w:rPr>
              <w:t>builder.Services.AddSwaggerGen(...);   // + soporte JWT en Swagger UI</w:t>
            </w:r>
          </w:p>
          <w:p>
            <w:r>
              <w:rPr>
                <w:rFonts w:ascii="Consolas" w:hAnsi="Consolas"/>
                <w:sz w:val="17"/>
              </w:rPr>
              <w:t>builder.Services.AddCors(...);</w:t>
            </w:r>
          </w:p>
          <w:p>
            <w:r>
              <w:rPr>
                <w:rFonts w:ascii="Consolas" w:hAnsi="Consolas"/>
                <w:sz w:val="17"/>
              </w:rPr>
              <w:t xml:space="preserve"> </w:t>
            </w:r>
          </w:p>
          <w:p>
            <w:r>
              <w:rPr>
                <w:rFonts w:ascii="Consolas" w:hAnsi="Consolas"/>
                <w:sz w:val="17"/>
              </w:rPr>
              <w:t>var app = builder.Build();</w:t>
            </w:r>
          </w:p>
          <w:p>
            <w:r>
              <w:rPr>
                <w:rFonts w:ascii="Consolas" w:hAnsi="Consolas"/>
                <w:sz w:val="17"/>
              </w:rPr>
              <w:t>app.UseMiddleware&lt;ExceptionHandlingMiddleware&gt;();   // SIEMPRE primero</w:t>
            </w:r>
          </w:p>
          <w:p>
            <w:r>
              <w:rPr>
                <w:rFonts w:ascii="Consolas" w:hAnsi="Consolas"/>
                <w:sz w:val="17"/>
              </w:rPr>
              <w:t>if (app.Environment.IsDevelopment()) { app.UseSwagger(); app.UseSwaggerUI(); }</w:t>
            </w:r>
          </w:p>
          <w:p>
            <w:r>
              <w:rPr>
                <w:rFonts w:ascii="Consolas" w:hAnsi="Consolas"/>
                <w:sz w:val="17"/>
              </w:rPr>
              <w:t>app.UseHttpsRedirection();</w:t>
            </w:r>
          </w:p>
          <w:p>
            <w:r>
              <w:rPr>
                <w:rFonts w:ascii="Consolas" w:hAnsi="Consolas"/>
                <w:sz w:val="17"/>
              </w:rPr>
              <w:t>app.UseCors();</w:t>
            </w:r>
          </w:p>
          <w:p>
            <w:r>
              <w:rPr>
                <w:rFonts w:ascii="Consolas" w:hAnsi="Consolas"/>
                <w:sz w:val="17"/>
              </w:rPr>
              <w:t>app.UseAuthentication();</w:t>
            </w:r>
          </w:p>
          <w:p>
            <w:r>
              <w:rPr>
                <w:rFonts w:ascii="Consolas" w:hAnsi="Consolas"/>
                <w:sz w:val="17"/>
              </w:rPr>
              <w:t>app.UseAuthorization();</w:t>
            </w:r>
          </w:p>
          <w:p>
            <w:r>
              <w:rPr>
                <w:rFonts w:ascii="Consolas" w:hAnsi="Consolas"/>
                <w:sz w:val="17"/>
              </w:rPr>
              <w:t>app.MapControllers();</w:t>
            </w:r>
          </w:p>
        </w:tc>
      </w:tr>
    </w:tbl>
    <w:p>
      <w:pPr>
        <w:spacing w:after="40"/>
      </w:pPr>
    </w:p>
    <w:p>
      <w:pPr>
        <w:pStyle w:val="Heading2"/>
      </w:pPr>
      <w:r>
        <w:t>6.2 Controllers</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val="clear" w:color="auto" w:fill="1F3A5F"/>
          </w:tcPr>
          <w:p>
            <w:r/>
            <w:r>
              <w:rPr>
                <w:rFonts w:ascii="Calibri" w:hAnsi="Calibri"/>
                <w:b/>
                <w:color w:val="FFFFFF"/>
                <w:sz w:val="19"/>
              </w:rPr>
              <w:t>Controller</w:t>
            </w:r>
          </w:p>
        </w:tc>
        <w:tc>
          <w:tcPr>
            <w:tcW w:type="dxa" w:w="3402"/>
            <w:shd w:val="clear" w:color="auto" w:fill="1F3A5F"/>
          </w:tcPr>
          <w:p>
            <w:r/>
            <w:r>
              <w:rPr>
                <w:rFonts w:ascii="Calibri" w:hAnsi="Calibri"/>
                <w:b/>
                <w:color w:val="FFFFFF"/>
                <w:sz w:val="19"/>
              </w:rPr>
              <w:t>Estado</w:t>
            </w:r>
          </w:p>
        </w:tc>
        <w:tc>
          <w:tcPr>
            <w:tcW w:type="dxa" w:w="3685"/>
            <w:shd w:val="clear" w:color="auto" w:fill="1F3A5F"/>
          </w:tcPr>
          <w:p>
            <w:r/>
            <w:r>
              <w:rPr>
                <w:rFonts w:ascii="Calibri" w:hAnsi="Calibri"/>
                <w:b/>
                <w:color w:val="FFFFFF"/>
                <w:sz w:val="19"/>
              </w:rPr>
              <w:t>Endpoints</w:t>
            </w:r>
          </w:p>
        </w:tc>
      </w:tr>
      <w:tr>
        <w:tc>
          <w:tcPr>
            <w:tcW w:type="dxa" w:w="2551"/>
          </w:tcPr>
          <w:p>
            <w:r/>
            <w:r>
              <w:rPr>
                <w:rFonts w:ascii="Calibri" w:hAnsi="Calibri"/>
                <w:b w:val="0"/>
                <w:sz w:val="18"/>
              </w:rPr>
              <w:t>AuthController</w:t>
            </w:r>
          </w:p>
        </w:tc>
        <w:tc>
          <w:tcPr>
            <w:tcW w:type="dxa" w:w="3402"/>
          </w:tcPr>
          <w:p>
            <w:r/>
            <w:r>
              <w:rPr>
                <w:rFonts w:ascii="Calibri" w:hAnsi="Calibri"/>
                <w:b w:val="0"/>
                <w:sz w:val="18"/>
              </w:rPr>
              <w:t>Implementado</w:t>
            </w:r>
          </w:p>
        </w:tc>
        <w:tc>
          <w:tcPr>
            <w:tcW w:type="dxa" w:w="3685"/>
          </w:tcPr>
          <w:p>
            <w:r/>
            <w:r>
              <w:rPr>
                <w:rFonts w:ascii="Calibri" w:hAnsi="Calibri"/>
                <w:b w:val="0"/>
                <w:sz w:val="18"/>
              </w:rPr>
              <w:t>POST /api/auth/login</w:t>
            </w:r>
          </w:p>
        </w:tc>
      </w:tr>
      <w:tr>
        <w:tc>
          <w:tcPr>
            <w:tcW w:type="dxa" w:w="2551"/>
          </w:tcPr>
          <w:p>
            <w:r/>
            <w:r>
              <w:rPr>
                <w:rFonts w:ascii="Calibri" w:hAnsi="Calibri"/>
                <w:b w:val="0"/>
                <w:sz w:val="18"/>
              </w:rPr>
              <w:t>ClientesController</w:t>
            </w:r>
          </w:p>
        </w:tc>
        <w:tc>
          <w:tcPr>
            <w:tcW w:type="dxa" w:w="3402"/>
          </w:tcPr>
          <w:p>
            <w:r/>
            <w:r>
              <w:rPr>
                <w:rFonts w:ascii="Calibri" w:hAnsi="Calibri"/>
                <w:b w:val="0"/>
                <w:sz w:val="18"/>
              </w:rPr>
              <w:t>Implementado</w:t>
            </w:r>
          </w:p>
        </w:tc>
        <w:tc>
          <w:tcPr>
            <w:tcW w:type="dxa" w:w="3685"/>
          </w:tcPr>
          <w:p>
            <w:r/>
            <w:r>
              <w:rPr>
                <w:rFonts w:ascii="Calibri" w:hAnsi="Calibri"/>
                <w:b w:val="0"/>
                <w:sz w:val="18"/>
              </w:rPr>
              <w:t>GET /api/clientes?rut=&amp;nombre=&amp;pagina=&amp;tamanioPagina= (paginado), GET/POST /api/clientes, GET/PUT/DELETE /api/clientes/{publicId}</w:t>
            </w:r>
          </w:p>
        </w:tc>
      </w:tr>
      <w:tr>
        <w:tc>
          <w:tcPr>
            <w:tcW w:type="dxa" w:w="2551"/>
          </w:tcPr>
          <w:p>
            <w:r/>
            <w:r>
              <w:rPr>
                <w:rFonts w:ascii="Calibri" w:hAnsi="Calibri"/>
                <w:b w:val="0"/>
                <w:sz w:val="18"/>
              </w:rPr>
              <w:t>AnamnesisController</w:t>
            </w:r>
          </w:p>
        </w:tc>
        <w:tc>
          <w:tcPr>
            <w:tcW w:type="dxa" w:w="3402"/>
          </w:tcPr>
          <w:p>
            <w:r/>
            <w:r>
              <w:rPr>
                <w:rFonts w:ascii="Calibri" w:hAnsi="Calibri"/>
                <w:b w:val="0"/>
                <w:sz w:val="18"/>
              </w:rPr>
              <w:t>Implementado</w:t>
            </w:r>
          </w:p>
        </w:tc>
        <w:tc>
          <w:tcPr>
            <w:tcW w:type="dxa" w:w="3685"/>
          </w:tcPr>
          <w:p>
            <w:r/>
            <w:r>
              <w:rPr>
                <w:rFonts w:ascii="Calibri" w:hAnsi="Calibri"/>
                <w:b w:val="0"/>
                <w:sz w:val="18"/>
              </w:rPr>
              <w:t>GET /api/anamnesis?clientePublicId={guid}, GET/POST /api/anamnesis, GET/PUT/DELETE /api/anamnesis/{publicId}</w:t>
            </w:r>
          </w:p>
        </w:tc>
      </w:tr>
      <w:tr>
        <w:tc>
          <w:tcPr>
            <w:tcW w:type="dxa" w:w="2551"/>
          </w:tcPr>
          <w:p>
            <w:r/>
            <w:r>
              <w:rPr>
                <w:rFonts w:ascii="Calibri" w:hAnsi="Calibri"/>
                <w:b w:val="0"/>
                <w:sz w:val="18"/>
              </w:rPr>
              <w:t>RecetaCristalesController</w:t>
            </w:r>
          </w:p>
        </w:tc>
        <w:tc>
          <w:tcPr>
            <w:tcW w:type="dxa" w:w="3402"/>
          </w:tcPr>
          <w:p>
            <w:r/>
            <w:r>
              <w:rPr>
                <w:rFonts w:ascii="Calibri" w:hAnsi="Calibri"/>
                <w:b w:val="0"/>
                <w:sz w:val="18"/>
              </w:rPr>
              <w:t>Implementado</w:t>
            </w:r>
          </w:p>
        </w:tc>
        <w:tc>
          <w:tcPr>
            <w:tcW w:type="dxa" w:w="3685"/>
          </w:tcPr>
          <w:p>
            <w:r/>
            <w:r>
              <w:rPr>
                <w:rFonts w:ascii="Calibri" w:hAnsi="Calibri"/>
                <w:b w:val="0"/>
                <w:sz w:val="18"/>
              </w:rPr>
              <w:t>GET /api/recetascristales?clientePublicId={guid}, GET/POST /api/recetascristales, GET/PUT/DELETE /api/recetascristales/{publicId}</w:t>
            </w:r>
          </w:p>
        </w:tc>
      </w:tr>
      <w:tr>
        <w:tc>
          <w:tcPr>
            <w:tcW w:type="dxa" w:w="2551"/>
          </w:tcPr>
          <w:p>
            <w:r/>
            <w:r>
              <w:rPr>
                <w:rFonts w:ascii="Calibri" w:hAnsi="Calibri"/>
                <w:b w:val="0"/>
                <w:sz w:val="18"/>
              </w:rPr>
              <w:t>OrdenesDeTrabajoController</w:t>
            </w:r>
          </w:p>
        </w:tc>
        <w:tc>
          <w:tcPr>
            <w:tcW w:type="dxa" w:w="3402"/>
          </w:tcPr>
          <w:p>
            <w:r>
              <w:t>Implementado</w:t>
            </w:r>
            <w:r>
              <w:rPr>
                <w:rFonts w:ascii="Calibri" w:hAnsi="Calibri"/>
                <w:b w:val="0"/>
                <w:sz w:val="18"/>
              </w:rPr>
            </w:r>
          </w:p>
        </w:tc>
        <w:tc>
          <w:tcPr>
            <w:tcW w:type="dxa" w:w="3685"/>
          </w:tcPr>
          <w:p>
            <w:r>
              <w:t>GET/POST /api/ordenes-de-trabajo, GET/PUT /api/ordenes-de-trabajo/{publicId}; POST {publicId}/estado, {publicId}/anular, {publicId}/abonos, {publicId}/pagos, {publicId}/cuotas, {publicId}/cuotas/{numero}/pagar y {publicId}/cuotas/{numero}/anular</w:t>
            </w:r>
            <w:r>
              <w:rPr>
                <w:rFonts w:ascii="Calibri" w:hAnsi="Calibri"/>
                <w:b w:val="0"/>
                <w:sz w:val="18"/>
              </w:rPr>
            </w:r>
          </w:p>
        </w:tc>
      </w:tr>
      <w:tr>
        <w:tc>
          <w:tcPr>
            <w:tcW w:type="dxa" w:w="2551"/>
          </w:tcPr>
          <w:p>
            <w:r/>
            <w:r>
              <w:rPr>
                <w:rFonts w:ascii="Calibri" w:hAnsi="Calibri"/>
                <w:b w:val="0"/>
                <w:sz w:val="18"/>
              </w:rPr>
              <w:t>InventarioController</w:t>
            </w:r>
          </w:p>
        </w:tc>
        <w:tc>
          <w:tcPr>
            <w:tcW w:type="dxa" w:w="3402"/>
          </w:tcPr>
          <w:p>
            <w:r/>
            <w:r>
              <w:rPr>
                <w:rFonts w:ascii="Calibri" w:hAnsi="Calibri"/>
                <w:b w:val="0"/>
                <w:sz w:val="18"/>
              </w:rPr>
              <w:t>Stub</w:t>
            </w:r>
          </w:p>
        </w:tc>
        <w:tc>
          <w:tcPr>
            <w:tcW w:type="dxa" w:w="3685"/>
          </w:tcPr>
          <w:p>
            <w:r/>
            <w:r>
              <w:rPr>
                <w:rFonts w:ascii="Calibri" w:hAnsi="Calibri"/>
                <w:b w:val="0"/>
                <w:sz w:val="18"/>
              </w:rPr>
              <w:t>Pendiente Fase 3</w:t>
            </w:r>
          </w:p>
        </w:tc>
      </w:tr>
      <w:tr>
        <w:tc>
          <w:tcPr>
            <w:tcW w:type="dxa" w:w="2880"/>
          </w:tcPr>
          <w:p>
            <w:r>
              <w:t>SucursalesController</w:t>
            </w:r>
          </w:p>
        </w:tc>
        <w:tc>
          <w:tcPr>
            <w:tcW w:type="dxa" w:w="2880"/>
          </w:tcPr>
          <w:p>
            <w:r>
              <w:t>Implementado</w:t>
            </w:r>
          </w:p>
        </w:tc>
        <w:tc>
          <w:tcPr>
            <w:tcW w:type="dxa" w:w="2880"/>
          </w:tcPr>
          <w:p>
            <w:r>
              <w:t>GET/POST /api/sucursales, GET/PUT/DELETE /api/sucursales/{id}</w:t>
            </w:r>
          </w:p>
        </w:tc>
      </w:tr>
      <w:tr>
        <w:tc>
          <w:tcPr>
            <w:tcW w:type="dxa" w:w="2880"/>
          </w:tcPr>
          <w:p>
            <w:r>
              <w:t>EmpresasController</w:t>
            </w:r>
          </w:p>
        </w:tc>
        <w:tc>
          <w:tcPr>
            <w:tcW w:type="dxa" w:w="2880"/>
          </w:tcPr>
          <w:p>
            <w:r>
              <w:t>Implementado</w:t>
            </w:r>
          </w:p>
        </w:tc>
        <w:tc>
          <w:tcPr>
            <w:tcW w:type="dxa" w:w="2880"/>
          </w:tcPr>
          <w:p>
            <w:r>
              <w:t>GET/POST /api/empresas, GET/PUT/DELETE /api/empresas/{publicId}</w:t>
            </w:r>
          </w:p>
        </w:tc>
      </w:tr>
      <w:tr>
        <w:tc>
          <w:tcPr>
            <w:tcW w:type="dxa" w:w="2880"/>
          </w:tcPr>
          <w:p>
            <w:r>
              <w:t>UsuariosController</w:t>
            </w:r>
          </w:p>
        </w:tc>
        <w:tc>
          <w:tcPr>
            <w:tcW w:type="dxa" w:w="2880"/>
          </w:tcPr>
          <w:p>
            <w:r>
              <w:t>Implementado</w:t>
            </w:r>
          </w:p>
        </w:tc>
        <w:tc>
          <w:tcPr>
            <w:tcW w:type="dxa" w:w="2880"/>
          </w:tcPr>
          <w:p>
            <w:r>
              <w:t>GET/POST /api/usuarios, GET/PUT/DELETE /api/usuarios/{publicId}, PUT .../clave, POST .../activar, POST .../desactivar, POST/DELETE .../sucursales/{sucursalId}</w:t>
            </w:r>
          </w:p>
        </w:tc>
      </w:tr>
      <w:tr>
        <w:tc>
          <w:tcPr>
            <w:tcW w:type="dxa" w:w="2880"/>
          </w:tcPr>
          <w:p>
            <w:r>
              <w:t>RolesController</w:t>
            </w:r>
          </w:p>
        </w:tc>
        <w:tc>
          <w:tcPr>
            <w:tcW w:type="dxa" w:w="2880"/>
          </w:tcPr>
          <w:p>
            <w:r>
              <w:t>Implementado (solo lectura)</w:t>
            </w:r>
          </w:p>
        </w:tc>
        <w:tc>
          <w:tcPr>
            <w:tcW w:type="dxa" w:w="2880"/>
          </w:tcPr>
          <w:p>
            <w:r>
              <w:t>GET /api/roles</w:t>
            </w:r>
          </w:p>
        </w:tc>
      </w:tr>
      <w:tr>
        <w:tc>
          <w:tcPr>
            <w:tcW w:type="dxa" w:w="2880"/>
          </w:tcPr>
          <w:p>
            <w:r>
              <w:t>RegionesController</w:t>
            </w:r>
          </w:p>
        </w:tc>
        <w:tc>
          <w:tcPr>
            <w:tcW w:type="dxa" w:w="2880"/>
          </w:tcPr>
          <w:p>
            <w:r>
              <w:t>Implementado (solo lectura)</w:t>
            </w:r>
          </w:p>
        </w:tc>
        <w:tc>
          <w:tcPr>
            <w:tcW w:type="dxa" w:w="2880"/>
          </w:tcPr>
          <w:p>
            <w:r>
              <w:t>GET /api/regiones</w:t>
            </w:r>
          </w:p>
        </w:tc>
      </w:tr>
      <w:tr>
        <w:tc>
          <w:tcPr>
            <w:tcW w:type="dxa" w:w="2880"/>
          </w:tcPr>
          <w:p>
            <w:r>
              <w:t>ComunasController</w:t>
            </w:r>
          </w:p>
        </w:tc>
        <w:tc>
          <w:tcPr>
            <w:tcW w:type="dxa" w:w="2880"/>
          </w:tcPr>
          <w:p>
            <w:r>
              <w:t>Implementado (solo lectura)</w:t>
            </w:r>
          </w:p>
        </w:tc>
        <w:tc>
          <w:tcPr>
            <w:tcW w:type="dxa" w:w="2880"/>
          </w:tcPr>
          <w:p>
            <w:r>
              <w:t>GET /api/comunas?regionId={id}</w:t>
            </w:r>
          </w:p>
        </w:tc>
      </w:tr>
      <w:tr>
        <w:tc>
          <w:tcPr>
            <w:tcW w:type="dxa" w:w="2880"/>
          </w:tcPr>
          <w:p>
            <w:r>
              <w:t>EstadosOTController</w:t>
            </w:r>
          </w:p>
        </w:tc>
        <w:tc>
          <w:tcPr>
            <w:tcW w:type="dxa" w:w="2880"/>
          </w:tcPr>
          <w:p>
            <w:r>
              <w:t>Implementado (solo lectura)</w:t>
            </w:r>
          </w:p>
        </w:tc>
        <w:tc>
          <w:tcPr>
            <w:tcW w:type="dxa" w:w="2880"/>
          </w:tcPr>
          <w:p>
            <w:r>
              <w:t>GET /api/estados-ot (incluye esTerminal por estado)</w:t>
            </w:r>
          </w:p>
        </w:tc>
      </w:tr>
      <w:tr>
        <w:tc>
          <w:tcPr>
            <w:tcW w:type="dxa" w:w="2880"/>
          </w:tcPr>
          <w:p>
            <w:r>
              <w:t>FormasPagoController</w:t>
            </w:r>
          </w:p>
        </w:tc>
        <w:tc>
          <w:tcPr>
            <w:tcW w:type="dxa" w:w="2880"/>
          </w:tcPr>
          <w:p>
            <w:r>
              <w:t>Implementado (solo lectura)</w:t>
            </w:r>
          </w:p>
        </w:tc>
        <w:tc>
          <w:tcPr>
            <w:tcW w:type="dxa" w:w="2880"/>
          </w:tcPr>
          <w:p>
            <w:r>
              <w:t>GET /api/formas-pago</w:t>
            </w:r>
          </w:p>
        </w:tc>
      </w:tr>
      <w:tr>
        <w:tc>
          <w:tcPr>
            <w:tcW w:type="dxa" w:w="2880"/>
          </w:tcPr>
          <w:p>
            <w:r>
              <w:t>EstadosCuotaController</w:t>
            </w:r>
          </w:p>
        </w:tc>
        <w:tc>
          <w:tcPr>
            <w:tcW w:type="dxa" w:w="2880"/>
          </w:tcPr>
          <w:p>
            <w:r>
              <w:t>Implementado (solo lectura)</w:t>
            </w:r>
          </w:p>
        </w:tc>
        <w:tc>
          <w:tcPr>
            <w:tcW w:type="dxa" w:w="2880"/>
          </w:tcPr>
          <w:p>
            <w:r>
              <w:t>GET /api/estados-cuota</w:t>
            </w:r>
          </w:p>
        </w:tc>
      </w:tr>
      <w:tr>
        <w:tc>
          <w:tcPr>
            <w:tcW w:type="dxa" w:w="2880"/>
          </w:tcPr>
          <w:p>
            <w:r>
              <w:t>OrdenesDeTrabajoController (2026-08-28)</w:t>
            </w:r>
          </w:p>
        </w:tc>
        <w:tc>
          <w:tcPr>
            <w:tcW w:type="dxa" w:w="2880"/>
          </w:tcPr>
          <w:p>
            <w:r>
              <w:t>Sin endpoints nuevos — cambia la forma del DTO</w:t>
            </w:r>
          </w:p>
        </w:tc>
        <w:tc>
          <w:tcPr>
            <w:tcW w:type="dxa" w:w="2880"/>
          </w:tcPr>
          <w:p>
            <w:r>
              <w:t>GET /api/ordenes-de-trabajo/{publicId} ahora devuelve además "cliente" (ClienteOTDto: RUT, nombre, fecha de nacimiento, previsión, teléfono, correo, comuna y región resueltas por el backend) y "recetas" (las RecetaCristalesDto vinculadas a esa OT). Las líneas de detalle llevan "comentario", y POST/PUT aceptan "recetaPublicId" — en PUT es estado final: si no viene, la orden queda sin receta.</w:t>
            </w:r>
          </w:p>
        </w:tc>
      </w:tr>
      <w:tr>
        <w:tc>
          <w:tcPr>
            <w:tcW w:type="dxa" w:w="2880"/>
          </w:tcPr>
          <w:p>
            <w:r>
              <w:t>OrdenesDeTrabajoController (2026-09-22, HU-OT-02/03)</w:t>
            </w:r>
          </w:p>
        </w:tc>
        <w:tc>
          <w:tcPr>
            <w:tcW w:type="dxa" w:w="2880"/>
          </w:tcPr>
          <w:p>
            <w:r>
              <w:t>Sin endpoints nuevos — cambia la forma del DTO y suma un filtro</w:t>
            </w:r>
          </w:p>
        </w:tc>
        <w:tc>
          <w:tcPr>
            <w:tcW w:type="dxa" w:w="2880"/>
          </w:tcPr>
          <w:p>
            <w:r>
              <w:t>GET /api/ordenes-de-trabajo gana el filtro soloSucursal (excluye OT con alguna fila en OPT_OperativoOT) y el listado ahora devuelve, por fila, "operativoPublicId"/"operativoNombre" (derivados, null si es venta de Sucursal). GET /api/ordenes-de-trabajo/{publicId} suma "operativoPublicId"/"operativoCorrelativo"/"operativoNombre" al DTO completo. Ambos poblados por el método nuevo IOperativoRepositorio.ObtenerPorOrdenesDeTrabajoIdsAsync(ids) — un lookup por página o por ficha, nunca un Include desde el agregado OrdenDeTrabajo.</w:t>
            </w:r>
          </w:p>
        </w:tc>
      </w:tr>
    </w:tbl>
    <w:p>
      <w:pPr>
        <w:spacing w:after="80"/>
      </w:pPr>
    </w:p>
    <w:p>
      <w:pPr/>
      <w:r>
        <w:t>Nota (2026-09-15): la mayoría de estos controllers llevan además AutorizarRolesAttribute a nivel de clase o de acción (UsuariosController, SucursalesController/EmpresasController en sus mutaciones, ClientesController/AnamnesisController/RecetaCristalesController, OrdenesDeTrabajoController por acción, CobranzaController) — ver 8.3 para el detalle del mecanismo y el mapeo rol→acción completo. Los catálogos de solo lectura quedan sin restricción de rol.</w:t>
      </w:r>
    </w:p>
    <w:p>
      <w:pPr>
        <w:spacing w:after="200"/>
        <w:ind w:left="170"/>
      </w:pPr>
      <w:r>
        <w:rPr>
          <w:b/>
          <w:color w:val="2E74B5"/>
          <w:sz w:val="19"/>
        </w:rPr>
        <w:t>Nota: Las rutas/DTOs de Cliente, Empresa, Usuario, Anamnesis, RecetaCristales y OrdenDeTrabajo exponen PublicId, nunca el Id interno (ver sección 7.5 y ADR 0004) — ya aplicado en todos sus controllers. Los subrecursos de la OT (detalle, abonos, pagos, cuotas, bitácora) son la excepción deliberada: solo se alcanzan bajo /api/ordenes-de-trabajo/{publicId}/…, un padre ya protegido, y usan su Id interno o su número correlativo (ADR 0007).</w:t>
      </w:r>
      <w:r>
        <w:rPr>
          <w:i/>
          <w:sz w:val="19"/>
        </w:rPr>
      </w:r>
    </w:p>
    <w:p>
      <w:pPr>
        <w:pStyle w:val="Heading2"/>
      </w:pPr>
      <w:r>
        <w:t>6.3 appsettings.json</w:t>
      </w:r>
    </w:p>
    <w:p>
      <w:r>
        <w:t>ConnectionStrings:Default y Jwt:Key siempre están vacíos en el archivo versionado. Se configuran en desarrollo con dotnet user-secrets, y en producción con variables de entorno o un gestor de secretos — nunca con un valor real en un archivo que se sube al repositorio.</w:t>
      </w:r>
    </w:p>
    <w:p>
      <w:r>
        <w:br w:type="page"/>
      </w:r>
    </w:p>
    <w:p>
      <w:pPr>
        <w:pStyle w:val="Heading1"/>
      </w:pPr>
      <w:r>
        <w:t>7. Base de Datos</w:t>
      </w:r>
    </w:p>
    <w:p>
      <w:pPr>
        <w:pStyle w:val="Heading2"/>
      </w:pPr>
      <w:r>
        <w:t>7.1 Motor y gestión del esquema</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1F3A5F"/>
          </w:tcPr>
          <w:p>
            <w:r/>
            <w:r>
              <w:rPr>
                <w:rFonts w:ascii="Calibri" w:hAnsi="Calibri"/>
                <w:b/>
                <w:color w:val="FFFFFF"/>
                <w:sz w:val="19"/>
              </w:rPr>
              <w:t>Aspecto</w:t>
            </w:r>
          </w:p>
        </w:tc>
        <w:tc>
          <w:tcPr>
            <w:tcW w:type="dxa" w:w="6803"/>
            <w:shd w:val="clear" w:color="auto" w:fill="1F3A5F"/>
          </w:tcPr>
          <w:p>
            <w:r/>
            <w:r>
              <w:rPr>
                <w:rFonts w:ascii="Calibri" w:hAnsi="Calibri"/>
                <w:b/>
                <w:color w:val="FFFFFF"/>
                <w:sz w:val="19"/>
              </w:rPr>
              <w:t>Detalle</w:t>
            </w:r>
          </w:p>
        </w:tc>
      </w:tr>
      <w:tr>
        <w:tc>
          <w:tcPr>
            <w:tcW w:type="dxa" w:w="2835"/>
          </w:tcPr>
          <w:p>
            <w:r/>
            <w:r>
              <w:rPr>
                <w:rFonts w:ascii="Calibri" w:hAnsi="Calibri"/>
                <w:b w:val="0"/>
                <w:sz w:val="18"/>
              </w:rPr>
              <w:t>Motor</w:t>
            </w:r>
          </w:p>
        </w:tc>
        <w:tc>
          <w:tcPr>
            <w:tcW w:type="dxa" w:w="6803"/>
          </w:tcPr>
          <w:p>
            <w:r/>
            <w:r>
              <w:rPr>
                <w:rFonts w:ascii="Calibri" w:hAnsi="Calibri"/>
                <w:b w:val="0"/>
                <w:sz w:val="18"/>
              </w:rPr>
              <w:t>SQL Server</w:t>
            </w:r>
          </w:p>
        </w:tc>
      </w:tr>
      <w:tr>
        <w:tc>
          <w:tcPr>
            <w:tcW w:type="dxa" w:w="2835"/>
          </w:tcPr>
          <w:p>
            <w:r/>
            <w:r>
              <w:rPr>
                <w:rFonts w:ascii="Calibri" w:hAnsi="Calibri"/>
                <w:b w:val="0"/>
                <w:sz w:val="18"/>
              </w:rPr>
              <w:t>Nombre BD (desarrollo)</w:t>
            </w:r>
          </w:p>
        </w:tc>
        <w:tc>
          <w:tcPr>
            <w:tcW w:type="dxa" w:w="6803"/>
          </w:tcPr>
          <w:p>
            <w:r/>
            <w:r>
              <w:rPr>
                <w:rFonts w:ascii="Calibri" w:hAnsi="Calibri"/>
                <w:b w:val="0"/>
                <w:sz w:val="18"/>
              </w:rPr>
              <w:t>dbOPT_NET</w:t>
            </w:r>
          </w:p>
        </w:tc>
      </w:tr>
      <w:tr>
        <w:tc>
          <w:tcPr>
            <w:tcW w:type="dxa" w:w="2835"/>
          </w:tcPr>
          <w:p>
            <w:r/>
            <w:r>
              <w:rPr>
                <w:rFonts w:ascii="Calibri" w:hAnsi="Calibri"/>
                <w:b w:val="0"/>
                <w:sz w:val="18"/>
              </w:rPr>
              <w:t>Gestión de esquema</w:t>
            </w:r>
          </w:p>
        </w:tc>
        <w:tc>
          <w:tcPr>
            <w:tcW w:type="dxa" w:w="6803"/>
          </w:tcPr>
          <w:p>
            <w:r/>
            <w:r>
              <w:rPr>
                <w:rFonts w:ascii="Calibri" w:hAnsi="Calibri"/>
                <w:b w:val="0"/>
                <w:sz w:val="18"/>
              </w:rPr>
              <w:t>Script SQL versionado en src/basedatos/ — NO EF Core Migrations aplicadas en runtime</w:t>
            </w:r>
          </w:p>
        </w:tc>
      </w:tr>
      <w:tr>
        <w:tc>
          <w:tcPr>
            <w:tcW w:type="dxa" w:w="2835"/>
          </w:tcPr>
          <w:p>
            <w:r/>
            <w:r>
              <w:rPr>
                <w:rFonts w:ascii="Calibri" w:hAnsi="Calibri"/>
                <w:b w:val="0"/>
                <w:sz w:val="18"/>
              </w:rPr>
              <w:t>Fuente de verdad del diseño</w:t>
            </w:r>
          </w:p>
        </w:tc>
        <w:tc>
          <w:tcPr>
            <w:tcW w:type="dxa" w:w="6803"/>
          </w:tcPr>
          <w:p>
            <w:r/>
            <w:r>
              <w:rPr>
                <w:rFonts w:ascii="Calibri" w:hAnsi="Calibri"/>
                <w:b w:val="0"/>
                <w:sz w:val="18"/>
              </w:rPr>
              <w:t>El modelo de EF Core (entidades de OPT.Domain + IEntityTypeConfiguration&lt;T&gt; de OPT.Infrastructure)</w:t>
            </w:r>
          </w:p>
        </w:tc>
      </w:tr>
      <w:tr>
        <w:tc>
          <w:tcPr>
            <w:tcW w:type="dxa" w:w="2835"/>
          </w:tcPr>
          <w:p>
            <w:r/>
            <w:r>
              <w:rPr>
                <w:rFonts w:ascii="Calibri" w:hAnsi="Calibri"/>
                <w:b w:val="0"/>
                <w:sz w:val="18"/>
              </w:rPr>
              <w:t>Artefacto que se aplica a cada ambiente</w:t>
            </w:r>
          </w:p>
        </w:tc>
        <w:tc>
          <w:tcPr>
            <w:tcW w:type="dxa" w:w="6803"/>
          </w:tcPr>
          <w:p>
            <w:r>
              <w:t>src/basedatos/00N_*.sql (idempotentes). Aplicados: 001_esquema_inicial.sql, 002_catalogos.sql, 003_extras_cliente_receta.sql, 004_comercial_pagos_cuotas.sql, 005_ot_publicid_estado_anulado.sql. La carga de datos históricos del legacy va aparte, en src/basedatos/migracion/M00N_*.sql (no idempotente) — ver src/basedatos/README.md.</w:t>
            </w:r>
            <w:r>
              <w:rPr>
                <w:rFonts w:ascii="Calibri" w:hAnsi="Calibri"/>
                <w:b w:val="0"/>
                <w:sz w:val="18"/>
              </w:rPr>
            </w:r>
          </w:p>
        </w:tc>
      </w:tr>
    </w:tbl>
    <w:p>
      <w:pPr>
        <w:spacing w:after="80"/>
      </w:pPr>
    </w:p>
    <w:p>
      <w:pPr>
        <w:spacing w:after="200"/>
        <w:ind w:left="170"/>
      </w:pPr>
      <w:r>
        <w:rPr>
          <w:b/>
          <w:color w:val="2E74B5"/>
          <w:sz w:val="19"/>
        </w:rPr>
        <w:t xml:space="preserve">Regla no negociable: </w:t>
      </w:r>
      <w:r>
        <w:rPr>
          <w:i/>
          <w:sz w:val="19"/>
        </w:rPr>
        <w:t>dotnet ef database update NUNCA se ejecuta contra desarrollo, QA ni producción. Es una decisión explícita del equipo (ADR 0004) para mantener el control total sobre el script que se aplica a cada ambiente, con revisión humana posible antes de ejecutarlo.</w:t>
      </w:r>
    </w:p>
    <w:p>
      <w:pPr>
        <w:pStyle w:val="Heading2"/>
      </w:pPr>
      <w:r>
        <w:t>7.2 Procedimiento para regenerar el script</w:t>
      </w:r>
    </w:p>
    <w:p>
      <w:r>
        <w:t>Cuando el modelo de EF Core cambia (nueva entidad, propiedad, índice), el script se regenera así — nunca se edita el .sql a mano:</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cd src/backend</w:t>
            </w:r>
          </w:p>
          <w:p>
            <w:r>
              <w:rPr>
                <w:rFonts w:ascii="Consolas" w:hAnsi="Consolas"/>
                <w:sz w:val="17"/>
              </w:rPr>
              <w:t xml:space="preserve"> </w:t>
            </w:r>
          </w:p>
          <w:p>
            <w:r>
              <w:rPr>
                <w:rFonts w:ascii="Consolas" w:hAnsi="Consolas"/>
                <w:sz w:val="17"/>
              </w:rPr>
              <w:t># 1. Migration temporal a partir del modelo actual</w:t>
            </w:r>
          </w:p>
          <w:p>
            <w:r>
              <w:rPr>
                <w:rFonts w:ascii="Consolas" w:hAnsi="Consolas"/>
                <w:sz w:val="17"/>
              </w:rPr>
              <w:t>dotnet ef migrations add CambioDescriptivo --project OPT.Infrastructure --startup-project OPT.API</w:t>
            </w:r>
          </w:p>
          <w:p>
            <w:r>
              <w:rPr>
                <w:rFonts w:ascii="Consolas" w:hAnsi="Consolas"/>
                <w:sz w:val="17"/>
              </w:rPr>
              <w:t xml:space="preserve"> </w:t>
            </w:r>
          </w:p>
          <w:p>
            <w:r>
              <w:rPr>
                <w:rFonts w:ascii="Consolas" w:hAnsi="Consolas"/>
                <w:sz w:val="17"/>
              </w:rPr>
              <w:t># 2. Exportar el script idempotente</w:t>
            </w:r>
          </w:p>
          <w:p>
            <w:r>
              <w:rPr>
                <w:rFonts w:ascii="Consolas" w:hAnsi="Consolas"/>
                <w:sz w:val="17"/>
              </w:rPr>
              <w:t>dotnet ef migrations script --project OPT.Infrastructure --startup-project OPT.API \</w:t>
            </w:r>
          </w:p>
          <w:p>
            <w:r>
              <w:rPr>
                <w:rFonts w:ascii="Consolas" w:hAnsi="Consolas"/>
                <w:sz w:val="17"/>
              </w:rPr>
              <w:t xml:space="preserve">    --idempotent --output ../basedatos/00N_descripcion.sql</w:t>
            </w:r>
          </w:p>
          <w:p>
            <w:r>
              <w:rPr>
                <w:rFonts w:ascii="Consolas" w:hAnsi="Consolas"/>
                <w:sz w:val="17"/>
              </w:rPr>
              <w:t xml:space="preserve"> </w:t>
            </w:r>
          </w:p>
          <w:p>
            <w:r>
              <w:rPr>
                <w:rFonts w:ascii="Consolas" w:hAnsi="Consolas"/>
                <w:sz w:val="17"/>
              </w:rPr>
              <w:t># 3. Eliminar la migration — el .sql exportado es el único artefacto que se conserva</w:t>
            </w:r>
          </w:p>
          <w:p>
            <w:r>
              <w:rPr>
                <w:rFonts w:ascii="Consolas" w:hAnsi="Consolas"/>
                <w:sz w:val="17"/>
              </w:rPr>
              <w:t>dotnet ef migrations remove --project OPT.Infrastructure --startup-project OPT.API</w:t>
            </w:r>
          </w:p>
        </w:tc>
      </w:tr>
    </w:tbl>
    <w:p>
      <w:pPr>
        <w:spacing w:after="40"/>
      </w:pPr>
    </w:p>
    <w:p>
      <w:r>
        <w:t>Requiere la herramienta dotnet-ef instalada globalmente (dotnet tool install --global dotnet-ef) y el paquete Microsoft.EntityFrameworkCore.Design referenciado en OPT.API.csproj (proyecto de arranque) — ya incluido en el scaffold.</w:t>
      </w:r>
    </w:p>
    <w:p>
      <w:pPr>
        <w:pStyle w:val="Heading2"/>
      </w:pPr>
      <w:r>
        <w:t>7.3 Convenciones de diseño (ADR 0003 y 0004)</w:t>
      </w:r>
    </w:p>
    <w:tbl>
      <w:tblPr>
        <w:tblStyle w:val="TableGrid"/>
        <w:tblW w:type="auto" w:w="0"/>
        <w:jc w:val="center"/>
        <w:tblLook w:firstColumn="1" w:firstRow="1" w:lastColumn="0" w:lastRow="0" w:noHBand="0" w:noVBand="1" w:val="04A0"/>
      </w:tblPr>
      <w:tblGrid>
        <w:gridCol w:w="4320"/>
        <w:gridCol w:w="4320"/>
      </w:tblGrid>
      <w:tr>
        <w:tc>
          <w:tcPr>
            <w:tcW w:type="dxa" w:w="2551"/>
            <w:shd w:val="clear" w:color="auto" w:fill="1F3A5F"/>
          </w:tcPr>
          <w:p>
            <w:r/>
            <w:r>
              <w:rPr>
                <w:rFonts w:ascii="Calibri" w:hAnsi="Calibri"/>
                <w:b/>
                <w:color w:val="FFFFFF"/>
                <w:sz w:val="19"/>
              </w:rPr>
              <w:t>Regla</w:t>
            </w:r>
          </w:p>
        </w:tc>
        <w:tc>
          <w:tcPr>
            <w:tcW w:type="dxa" w:w="7087"/>
            <w:shd w:val="clear" w:color="auto" w:fill="1F3A5F"/>
          </w:tcPr>
          <w:p>
            <w:r/>
            <w:r>
              <w:rPr>
                <w:rFonts w:ascii="Calibri" w:hAnsi="Calibri"/>
                <w:b/>
                <w:color w:val="FFFFFF"/>
                <w:sz w:val="19"/>
              </w:rPr>
              <w:t>Detalle</w:t>
            </w:r>
          </w:p>
        </w:tc>
      </w:tr>
      <w:tr>
        <w:tc>
          <w:tcPr>
            <w:tcW w:type="dxa" w:w="2551"/>
          </w:tcPr>
          <w:p>
            <w:r/>
            <w:r>
              <w:rPr>
                <w:rFonts w:ascii="Calibri" w:hAnsi="Calibri"/>
                <w:b w:val="0"/>
                <w:sz w:val="18"/>
              </w:rPr>
              <w:t>Identidad de registros</w:t>
            </w:r>
          </w:p>
        </w:tc>
        <w:tc>
          <w:tcPr>
            <w:tcW w:type="dxa" w:w="7087"/>
          </w:tcPr>
          <w:p>
            <w:r/>
            <w:r>
              <w:rPr>
                <w:rFonts w:ascii="Calibri" w:hAnsi="Calibri"/>
                <w:b w:val="0"/>
                <w:sz w:val="18"/>
              </w:rPr>
              <w:t>Ninguna tabla usa un dato de negocio (RUT, código) como clave primaria. PK sintética int IDENTITY; el dato externo queda como atributo UNIQUE.</w:t>
            </w:r>
          </w:p>
        </w:tc>
      </w:tr>
      <w:tr>
        <w:tc>
          <w:tcPr>
            <w:tcW w:type="dxa" w:w="2551"/>
          </w:tcPr>
          <w:p>
            <w:r/>
            <w:r>
              <w:rPr>
                <w:rFonts w:ascii="Calibri" w:hAnsi="Calibri"/>
                <w:b w:val="0"/>
                <w:sz w:val="18"/>
              </w:rPr>
              <w:t>Identificador público no enumerable</w:t>
            </w:r>
          </w:p>
        </w:tc>
        <w:tc>
          <w:tcPr>
            <w:tcW w:type="dxa" w:w="7087"/>
          </w:tcPr>
          <w:p>
            <w:r>
              <w:t>Cliente, Empresa, Usuario, Anamnesis, RecetaCristales y OrdenDeTrabajo agregan PublicId (uniqueidentifier, DEFAULT NEWID(), UNIQUE) — es el que se expone en API/URLs. El Id interno nunca cambia de tipo ni se usa como FK externa (ADR 0004).</w:t>
            </w:r>
            <w:r>
              <w:rPr>
                <w:rFonts w:ascii="Calibri" w:hAnsi="Calibri"/>
                <w:b w:val="0"/>
                <w:sz w:val="18"/>
              </w:rPr>
            </w:r>
          </w:p>
        </w:tc>
      </w:tr>
      <w:tr>
        <w:tc>
          <w:tcPr>
            <w:tcW w:type="dxa" w:w="2551"/>
          </w:tcPr>
          <w:p>
            <w:r/>
            <w:r>
              <w:rPr>
                <w:rFonts w:ascii="Calibri" w:hAnsi="Calibri"/>
                <w:b w:val="0"/>
                <w:sz w:val="18"/>
              </w:rPr>
              <w:t>Generación de IDs secuenciales</w:t>
            </w:r>
          </w:p>
        </w:tc>
        <w:tc>
          <w:tcPr>
            <w:tcW w:type="dxa" w:w="7087"/>
          </w:tcPr>
          <w:p>
            <w:r/>
            <w:r>
              <w:rPr>
                <w:rFonts w:ascii="Calibri" w:hAnsi="Calibri"/>
                <w:b w:val="0"/>
                <w:sz w:val="18"/>
              </w:rPr>
              <w:t>Siempre en la base de datos (IDENTITY o SEQUENCE), nunca calculados en la app. Ejemplo: OrdenDeTrabajo.NumeroOT usa SEQ_NumeroOT.</w:t>
            </w:r>
          </w:p>
        </w:tc>
      </w:tr>
      <w:tr>
        <w:tc>
          <w:tcPr>
            <w:tcW w:type="dxa" w:w="2551"/>
          </w:tcPr>
          <w:p>
            <w:r/>
            <w:r>
              <w:rPr>
                <w:rFonts w:ascii="Calibri" w:hAnsi="Calibri"/>
                <w:b w:val="0"/>
                <w:sz w:val="18"/>
              </w:rPr>
              <w:t>Auditoría</w:t>
            </w:r>
          </w:p>
        </w:tc>
        <w:tc>
          <w:tcPr>
            <w:tcW w:type="dxa" w:w="7087"/>
          </w:tcPr>
          <w:p>
            <w:r/>
            <w:r>
              <w:rPr>
                <w:rFonts w:ascii="Calibri" w:hAnsi="Calibri"/>
                <w:b w:val="0"/>
                <w:sz w:val="18"/>
              </w:rPr>
              <w:t>Toda tabla transaccional tiene CreadoEn, CreadoPor, ModificadoEn, ModificadoPor — rellenados por AuditInterceptor, nunca a mano.</w:t>
            </w:r>
          </w:p>
        </w:tc>
      </w:tr>
      <w:tr>
        <w:tc>
          <w:tcPr>
            <w:tcW w:type="dxa" w:w="2551"/>
          </w:tcPr>
          <w:p>
            <w:r/>
            <w:r>
              <w:rPr>
                <w:rFonts w:ascii="Calibri" w:hAnsi="Calibri"/>
                <w:b w:val="0"/>
                <w:sz w:val="18"/>
              </w:rPr>
              <w:t>Borrado lógico</w:t>
            </w:r>
          </w:p>
        </w:tc>
        <w:tc>
          <w:tcPr>
            <w:tcW w:type="dxa" w:w="7087"/>
          </w:tcPr>
          <w:p>
            <w:r/>
            <w:r>
              <w:rPr>
                <w:rFonts w:ascii="Calibri" w:hAnsi="Calibri"/>
                <w:b w:val="0"/>
                <w:sz w:val="18"/>
              </w:rPr>
              <w:t>Eliminado (bit) + EliminadoEn + EliminadoPor. Nunca DELETE físico en tablas de negocio.</w:t>
            </w:r>
          </w:p>
        </w:tc>
      </w:tr>
      <w:tr>
        <w:tc>
          <w:tcPr>
            <w:tcW w:type="dxa" w:w="2551"/>
          </w:tcPr>
          <w:p>
            <w:r/>
            <w:r>
              <w:rPr>
                <w:rFonts w:ascii="Calibri" w:hAnsi="Calibri"/>
                <w:b w:val="0"/>
                <w:sz w:val="18"/>
              </w:rPr>
              <w:t>Catálogos</w:t>
            </w:r>
          </w:p>
        </w:tc>
        <w:tc>
          <w:tcPr>
            <w:tcW w:type="dxa" w:w="7087"/>
          </w:tcPr>
          <w:p>
            <w:r/>
            <w:r>
              <w:rPr>
                <w:rFonts w:ascii="Calibri" w:hAnsi="Calibri"/>
                <w:b w:val="0"/>
                <w:sz w:val="18"/>
              </w:rPr>
              <w:t>Estado/categoría se modela como referencia a catálogo (FK), nunca texto libre — con la excepción documentada en 7.6.</w:t>
            </w:r>
          </w:p>
        </w:tc>
      </w:tr>
      <w:tr>
        <w:tc>
          <w:tcPr>
            <w:tcW w:type="dxa" w:w="2551"/>
          </w:tcPr>
          <w:p>
            <w:r/>
            <w:r>
              <w:rPr>
                <w:rFonts w:ascii="Calibri" w:hAnsi="Calibri"/>
                <w:b w:val="0"/>
                <w:sz w:val="18"/>
              </w:rPr>
              <w:t>Campos calculados persistidos</w:t>
            </w:r>
          </w:p>
        </w:tc>
        <w:tc>
          <w:tcPr>
            <w:tcW w:type="dxa" w:w="7087"/>
          </w:tcPr>
          <w:p>
            <w:r/>
            <w:r>
              <w:rPr>
                <w:rFonts w:ascii="Calibri" w:hAnsi="Calibri"/>
                <w:b w:val="0"/>
                <w:sz w:val="18"/>
              </w:rPr>
              <w:t>Se recalculan dentro de la misma transacción que el movimiento que los origina (ej.: OrdenDeTrabajo.Saldo se recalcula en RegistrarAbono()).</w:t>
            </w:r>
          </w:p>
        </w:tc>
      </w:tr>
      <w:tr>
        <w:tc>
          <w:tcPr>
            <w:tcW w:type="dxa" w:w="2551"/>
          </w:tcPr>
          <w:p>
            <w:r/>
            <w:r>
              <w:rPr>
                <w:rFonts w:ascii="Calibri" w:hAnsi="Calibri"/>
                <w:b w:val="0"/>
                <w:sz w:val="18"/>
              </w:rPr>
              <w:t>Índices explícitos</w:t>
            </w:r>
          </w:p>
        </w:tc>
        <w:tc>
          <w:tcPr>
            <w:tcW w:type="dxa" w:w="7087"/>
          </w:tcPr>
          <w:p>
            <w:r/>
            <w:r>
              <w:rPr>
                <w:rFonts w:ascii="Calibri" w:hAnsi="Calibri"/>
                <w:b w:val="0"/>
                <w:sz w:val="18"/>
              </w:rPr>
              <w:t>SQL Server no crea índices automáticamente sobre FKs — se definen explícitamente sobre las columnas más consultadas.</w:t>
            </w:r>
          </w:p>
        </w:tc>
      </w:tr>
      <w:tr>
        <w:tc>
          <w:tcPr>
            <w:tcW w:type="dxa" w:w="2551"/>
          </w:tcPr>
          <w:p>
            <w:r/>
            <w:r>
              <w:rPr>
                <w:rFonts w:ascii="Calibri" w:hAnsi="Calibri"/>
                <w:b w:val="0"/>
                <w:sz w:val="18"/>
              </w:rPr>
              <w:t>Restricciones nombradas</w:t>
            </w:r>
          </w:p>
        </w:tc>
        <w:tc>
          <w:tcPr>
            <w:tcW w:type="dxa" w:w="7087"/>
          </w:tcPr>
          <w:p>
            <w:r/>
            <w:r>
              <w:rPr>
                <w:rFonts w:ascii="Calibri" w:hAnsi="Calibri"/>
                <w:b w:val="0"/>
                <w:sz w:val="18"/>
              </w:rPr>
              <w:t>Toda PK, FK, UNIQUE tiene nombre explícito, nunca autogenerado por el motor.</w:t>
            </w:r>
          </w:p>
        </w:tc>
      </w:tr>
      <w:tr>
        <w:tc>
          <w:tcPr>
            <w:tcW w:type="dxa" w:w="2551"/>
          </w:tcPr>
          <w:p>
            <w:r/>
            <w:r>
              <w:rPr>
                <w:rFonts w:ascii="Calibri" w:hAnsi="Calibri"/>
                <w:b w:val="0"/>
                <w:sz w:val="18"/>
              </w:rPr>
              <w:t>Nomenclatura de tablas</w:t>
            </w:r>
          </w:p>
        </w:tc>
        <w:tc>
          <w:tcPr>
            <w:tcW w:type="dxa" w:w="7087"/>
          </w:tcPr>
          <w:p>
            <w:r>
              <w:t>Prefijo OPT_ + nombre de entidad en singular (OPT_Cliente, OPT_OrdenDeTrabajo) — las 20 tablas, incluidos catálogos (ADR 0004).</w:t>
            </w:r>
            <w:r>
              <w:rPr>
                <w:rFonts w:ascii="Calibri" w:hAnsi="Calibri"/>
                <w:b w:val="0"/>
                <w:sz w:val="18"/>
              </w:rPr>
            </w:r>
          </w:p>
        </w:tc>
      </w:tr>
    </w:tbl>
    <w:p>
      <w:pPr>
        <w:spacing w:after="80"/>
      </w:pPr>
    </w:p>
    <w:p>
      <w:pPr>
        <w:pStyle w:val="Heading2"/>
      </w:pPr>
      <w:r>
        <w:t>7.4 Diagrama de relaciones (resumen)</w:t>
      </w:r>
    </w:p>
    <w:p>
      <w:r>
        <w:t>Relaciones principales entre tablas (FK → tabla referenciada). El detalle completo de cada tabla está en la sección 7.7.</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OPT_Region ← OPT_Comuna ← OPT_Cliente ← OPT_Anamnesis</w:t>
            </w:r>
          </w:p>
          <w:p>
            <w:r>
              <w:rPr>
                <w:rFonts w:ascii="Consolas" w:hAnsi="Consolas"/>
                <w:sz w:val="17"/>
              </w:rPr>
              <w:t xml:space="preserve">                              Cliente  ← OPT_RecetaCristales</w:t>
            </w:r>
          </w:p>
          <w:p>
            <w:r>
              <w:rPr>
                <w:rFonts w:ascii="Consolas" w:hAnsi="Consolas"/>
                <w:sz w:val="17"/>
              </w:rPr>
              <w:t xml:space="preserve">                              Cliente  ← OPT_OrdenDeTrabajo → OPT_Sucursal</w:t>
            </w:r>
          </w:p>
          <w:p>
            <w:r>
              <w:rPr>
                <w:rFonts w:ascii="Consolas" w:hAnsi="Consolas"/>
                <w:sz w:val="17"/>
              </w:rPr>
              <w:t xml:space="preserve">                                            OrdenDeTrabajo  → OPT_Empresa</w:t>
            </w:r>
          </w:p>
          <w:p>
            <w:r>
              <w:rPr>
                <w:rFonts w:ascii="Consolas" w:hAnsi="Consolas"/>
                <w:sz w:val="17"/>
              </w:rPr>
              <w:t xml:space="preserve">                                            OrdenDeTrabajo ← OPT_DetalleOT → OPT_Producto → OPT_ProductoSucursal → OPT_Sucursal</w:t>
            </w:r>
          </w:p>
          <w:p>
            <w:r>
              <w:rPr>
                <w:rFonts w:ascii="Consolas" w:hAnsi="Consolas"/>
                <w:sz w:val="17"/>
              </w:rPr>
              <w:t xml:space="preserve">                                            OrdenDeTrabajo ← OPT_Abono</w:t>
            </w:r>
          </w:p>
          <w:p>
            <w:r>
              <w:rPr>
                <w:rFonts w:ascii="Consolas" w:hAnsi="Consolas"/>
                <w:sz w:val="17"/>
              </w:rPr>
              <w:t xml:space="preserve">                                            OrdenDeTrabajo ← OPT_BitacoraOT</w:t>
            </w:r>
          </w:p>
          <w:p>
            <w:r>
              <w:rPr>
                <w:rFonts w:ascii="Consolas" w:hAnsi="Consolas"/>
                <w:sz w:val="17"/>
              </w:rPr>
              <w:t xml:space="preserve">                                            OrdenDeTrabajo ← OPT_Pago  → OPT_FormaPago</w:t>
            </w:r>
          </w:p>
          <w:p>
            <w:r>
              <w:rPr>
                <w:rFonts w:ascii="Consolas" w:hAnsi="Consolas"/>
                <w:sz w:val="17"/>
              </w:rPr>
              <w:t xml:space="preserve">                                            OrdenDeTrabajo ← OPT_Cuota → OPT_FormaPago</w:t>
            </w:r>
          </w:p>
          <w:p>
            <w:r>
              <w:rPr>
                <w:rFonts w:ascii="Consolas" w:hAnsi="Consolas"/>
                <w:sz w:val="17"/>
              </w:rPr>
              <w:t xml:space="preserve">                                                             OPT_Cuota → OPT_EstadoCuota</w:t>
            </w:r>
          </w:p>
          <w:p>
            <w:r>
              <w:rPr>
                <w:rFonts w:ascii="Consolas" w:hAnsi="Consolas"/>
                <w:sz w:val="17"/>
              </w:rPr>
              <w:t xml:space="preserve"> </w:t>
            </w:r>
          </w:p>
          <w:p>
            <w:r>
              <w:rPr>
                <w:rFonts w:ascii="Consolas" w:hAnsi="Consolas"/>
                <w:sz w:val="17"/>
              </w:rPr>
              <w:t>OPT_Empresa ← OPT_EmpresaSucursal → OPT_Sucursal</w:t>
            </w:r>
          </w:p>
          <w:p>
            <w:r>
              <w:rPr>
                <w:rFonts w:ascii="Consolas" w:hAnsi="Consolas"/>
                <w:sz w:val="17"/>
              </w:rPr>
              <w:t>OPT_Rol     ← OPT_Usuario → OPT_Sucursal (SucursalActivaId)</w:t>
            </w:r>
          </w:p>
          <w:p>
            <w:r>
              <w:rPr>
                <w:rFonts w:ascii="Consolas" w:hAnsi="Consolas"/>
                <w:sz w:val="17"/>
              </w:rPr>
              <w:t xml:space="preserve">               Usuario  ← OPT_UsuarioSucursal → OPT_Sucursal</w:t>
            </w:r>
          </w:p>
        </w:tc>
      </w:tr>
    </w:tbl>
    <w:p>
      <w:pPr>
        <w:spacing w:after="40"/>
      </w:pPr>
    </w:p>
    <w:p>
      <w:pPr>
        <w:pStyle w:val="Heading2"/>
      </w:pPr>
      <w:r>
        <w:t>7.5 Identificador público no enumerable — PublicId</w:t>
      </w:r>
    </w:p>
    <w:p>
      <w:r>
        <w:t>Motivación (ADR 0004, Ley N° 21.719 de Protección de Datos Personales): exponer el Id interno (int IDENTITY) en una URL de API permite enumerar registros de forma trivial (/api/clientes/1, /api/clientes/2, ...). Esto es un riesgo de seguridad concreto sobre datos personales (Cliente, Empresa, Usuario) y datos sensibles de salud (Anamnesis, RecetaCristales, y la OrdenDeTrabajo que los vincula).</w:t>
      </w:r>
    </w:p>
    <w:tbl>
      <w:tblPr>
        <w:tblStyle w:val="TableGrid"/>
        <w:tblW w:type="auto" w:w="0"/>
        <w:jc w:val="center"/>
        <w:tblLook w:firstColumn="1" w:firstRow="1" w:lastColumn="0" w:lastRow="0" w:noHBand="0" w:noVBand="1" w:val="04A0"/>
      </w:tblPr>
      <w:tblGrid>
        <w:gridCol w:w="4320"/>
        <w:gridCol w:w="4320"/>
      </w:tblGrid>
      <w:tr>
        <w:tc>
          <w:tcPr>
            <w:tcW w:type="dxa" w:w="2551"/>
            <w:shd w:val="clear" w:color="auto" w:fill="1F3A5F"/>
          </w:tcPr>
          <w:p>
            <w:r/>
            <w:r>
              <w:rPr>
                <w:rFonts w:ascii="Calibri" w:hAnsi="Calibri"/>
                <w:b/>
                <w:color w:val="FFFFFF"/>
                <w:sz w:val="19"/>
              </w:rPr>
              <w:t>Tabla</w:t>
            </w:r>
          </w:p>
        </w:tc>
        <w:tc>
          <w:tcPr>
            <w:tcW w:type="dxa" w:w="7087"/>
            <w:shd w:val="clear" w:color="auto" w:fill="1F3A5F"/>
          </w:tcPr>
          <w:p>
            <w:r/>
            <w:r>
              <w:rPr>
                <w:rFonts w:ascii="Calibri" w:hAnsi="Calibri"/>
                <w:b/>
                <w:color w:val="FFFFFF"/>
                <w:sz w:val="19"/>
              </w:rPr>
              <w:t>¿Por qué?</w:t>
            </w:r>
          </w:p>
        </w:tc>
      </w:tr>
      <w:tr>
        <w:tc>
          <w:tcPr>
            <w:tcW w:type="dxa" w:w="2551"/>
          </w:tcPr>
          <w:p>
            <w:r/>
            <w:r>
              <w:rPr>
                <w:rFonts w:ascii="Calibri" w:hAnsi="Calibri"/>
                <w:b w:val="0"/>
                <w:sz w:val="18"/>
              </w:rPr>
              <w:t>OPT_Cliente</w:t>
            </w:r>
          </w:p>
        </w:tc>
        <w:tc>
          <w:tcPr>
            <w:tcW w:type="dxa" w:w="7087"/>
          </w:tcPr>
          <w:p>
            <w:r/>
            <w:r>
              <w:rPr>
                <w:rFonts w:ascii="Calibri" w:hAnsi="Calibri"/>
                <w:b w:val="0"/>
                <w:sz w:val="18"/>
              </w:rPr>
              <w:t>Datos personales de identificación directa (RUT, nombre, dirección).</w:t>
            </w:r>
          </w:p>
        </w:tc>
      </w:tr>
      <w:tr>
        <w:tc>
          <w:tcPr>
            <w:tcW w:type="dxa" w:w="2551"/>
          </w:tcPr>
          <w:p>
            <w:r/>
            <w:r>
              <w:rPr>
                <w:rFonts w:ascii="Calibri" w:hAnsi="Calibri"/>
                <w:b w:val="0"/>
                <w:sz w:val="18"/>
              </w:rPr>
              <w:t>OPT_Empresa</w:t>
            </w:r>
          </w:p>
        </w:tc>
        <w:tc>
          <w:tcPr>
            <w:tcW w:type="dxa" w:w="7087"/>
          </w:tcPr>
          <w:p>
            <w:r/>
            <w:r>
              <w:rPr>
                <w:rFonts w:ascii="Calibri" w:hAnsi="Calibri"/>
                <w:b w:val="0"/>
                <w:sz w:val="18"/>
              </w:rPr>
              <w:t>Datos personales/comerciales críticos (RUT, contacto).</w:t>
            </w:r>
          </w:p>
        </w:tc>
      </w:tr>
      <w:tr>
        <w:tc>
          <w:tcPr>
            <w:tcW w:type="dxa" w:w="2551"/>
          </w:tcPr>
          <w:p>
            <w:r/>
            <w:r>
              <w:rPr>
                <w:rFonts w:ascii="Calibri" w:hAnsi="Calibri"/>
                <w:b w:val="0"/>
                <w:sz w:val="18"/>
              </w:rPr>
              <w:t>OPT_Usuario</w:t>
            </w:r>
          </w:p>
        </w:tc>
        <w:tc>
          <w:tcPr>
            <w:tcW w:type="dxa" w:w="7087"/>
          </w:tcPr>
          <w:p>
            <w:r/>
            <w:r>
              <w:rPr>
                <w:rFonts w:ascii="Calibri" w:hAnsi="Calibri"/>
                <w:b w:val="0"/>
                <w:sz w:val="18"/>
              </w:rPr>
              <w:t>Credenciales de acceso al sistema — superficie de ataque adicional.</w:t>
            </w:r>
          </w:p>
        </w:tc>
      </w:tr>
      <w:tr>
        <w:tc>
          <w:tcPr>
            <w:tcW w:type="dxa" w:w="2551"/>
          </w:tcPr>
          <w:p>
            <w:r/>
            <w:r>
              <w:rPr>
                <w:rFonts w:ascii="Calibri" w:hAnsi="Calibri"/>
                <w:b w:val="0"/>
                <w:sz w:val="18"/>
              </w:rPr>
              <w:t>OPT_Anamnesis</w:t>
            </w:r>
          </w:p>
        </w:tc>
        <w:tc>
          <w:tcPr>
            <w:tcW w:type="dxa" w:w="7087"/>
          </w:tcPr>
          <w:p>
            <w:r/>
            <w:r>
              <w:rPr>
                <w:rFonts w:ascii="Calibri" w:hAnsi="Calibri"/>
                <w:b w:val="0"/>
                <w:sz w:val="18"/>
              </w:rPr>
              <w:t>Dato de salud — sensible bajo Ley 21.719.</w:t>
            </w:r>
          </w:p>
        </w:tc>
      </w:tr>
      <w:tr>
        <w:tc>
          <w:tcPr>
            <w:tcW w:type="dxa" w:w="2551"/>
          </w:tcPr>
          <w:p>
            <w:r/>
            <w:r>
              <w:rPr>
                <w:rFonts w:ascii="Calibri" w:hAnsi="Calibri"/>
                <w:b w:val="0"/>
                <w:sz w:val="18"/>
              </w:rPr>
              <w:t>OPT_RecetaCristales</w:t>
            </w:r>
          </w:p>
        </w:tc>
        <w:tc>
          <w:tcPr>
            <w:tcW w:type="dxa" w:w="7087"/>
          </w:tcPr>
          <w:p>
            <w:r/>
            <w:r>
              <w:rPr>
                <w:rFonts w:ascii="Calibri" w:hAnsi="Calibri"/>
                <w:b w:val="0"/>
                <w:sz w:val="18"/>
              </w:rPr>
              <w:t>Dato de salud/biométrico-adyacente — sensible bajo Ley 21.719.</w:t>
            </w:r>
          </w:p>
        </w:tc>
      </w:tr>
      <w:tr>
        <w:tc>
          <w:tcPr>
            <w:tcW w:type="dxa" w:w="2551"/>
          </w:tcPr>
          <w:p>
            <w:r>
              <w:t>OPT_OrdenDeTrabajo</w:t>
            </w:r>
            <w:r>
              <w:rPr>
                <w:rFonts w:ascii="Calibri" w:hAnsi="Calibri"/>
                <w:b w:val="0"/>
                <w:sz w:val="18"/>
              </w:rPr>
            </w:r>
          </w:p>
        </w:tc>
        <w:tc>
          <w:tcPr>
            <w:tcW w:type="dxa" w:w="7087"/>
          </w:tcPr>
          <w:p>
            <w:r>
              <w:t>Recurso de primer nivel que vincula cliente &lt;-&gt; atención clínica: enumerarlo expone la relación paciente-prestación (dato de salud). Agregado en 005_ot_publicid_estado_anulado.sql (2026-08-27), antes de publicar el primer endpoint de OT, con las 12.578 filas migradas pobladas.</w:t>
            </w:r>
            <w:r>
              <w:rPr>
                <w:rFonts w:ascii="Calibri" w:hAnsi="Calibri"/>
                <w:b w:val="0"/>
                <w:sz w:val="18"/>
              </w:rPr>
            </w:r>
          </w:p>
        </w:tc>
      </w:tr>
      <w:tr>
        <w:tc>
          <w:tcPr>
            <w:tcW w:type="dxa" w:w="2551"/>
          </w:tcPr>
          <w:p>
            <w:r>
              <w:t>OPT_Abono / OPT_Pago / OPT_Cuota / OPT_DetalleOT — NO corresponde</w:t>
            </w:r>
            <w:r>
              <w:rPr>
                <w:rFonts w:ascii="Calibri" w:hAnsi="Calibri"/>
                <w:b w:val="0"/>
                <w:sz w:val="18"/>
              </w:rPr>
            </w:r>
          </w:p>
        </w:tc>
        <w:tc>
          <w:tcPr>
            <w:tcW w:type="dxa" w:w="7087"/>
          </w:tcPr>
          <w:p>
            <w:r>
              <w:t>Decidido en el ADR 0007: se exponen anidados bajo /api/ordenes-de-trabajo/{publicId}/…, es decir bajo un padre ya protegido, así que su Id interno solo es alcanzable por quien ya tiene acceso a esa OT. Se reconsidera solo si alguna vez se direccionan como recurso propio.</w:t>
            </w:r>
            <w:r>
              <w:rPr>
                <w:rFonts w:ascii="Calibri" w:hAnsi="Calibri"/>
                <w:b w:val="0"/>
                <w:sz w:val="18"/>
              </w:rPr>
            </w:r>
          </w:p>
        </w:tc>
      </w:tr>
    </w:tbl>
    <w:p>
      <w:pPr>
        <w:spacing w:after="80"/>
      </w:pPr>
    </w:p>
    <w:p>
      <w:r>
        <w:t>Estrategia elegida: el Id interno (int IDENTITY) se mantiene como PK y como FK en todas las relaciones (sin cascada de cambios de tipo, sin fragmentación de índice clustered). Se agrega una columna PublicId adicional, no enumerable, que es la única que debe usarse en rutas de API, DTOs o tokens de recurso.</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builder.Property(c =&gt; c.PublicId)</w:t>
            </w:r>
          </w:p>
          <w:p>
            <w:r>
              <w:rPr>
                <w:rFonts w:ascii="Consolas" w:hAnsi="Consolas"/>
                <w:sz w:val="17"/>
              </w:rPr>
              <w:t xml:space="preserve">       .IsRequired()</w:t>
            </w:r>
          </w:p>
          <w:p>
            <w:r>
              <w:rPr>
                <w:rFonts w:ascii="Consolas" w:hAnsi="Consolas"/>
                <w:sz w:val="17"/>
              </w:rPr>
              <w:t xml:space="preserve">       .ValueGeneratedOnAdd()</w:t>
            </w:r>
          </w:p>
          <w:p>
            <w:r>
              <w:rPr>
                <w:rFonts w:ascii="Consolas" w:hAnsi="Consolas"/>
                <w:sz w:val="17"/>
              </w:rPr>
              <w:t xml:space="preserve">       .HasDefaultValueSql("NEWID()");</w:t>
            </w:r>
          </w:p>
          <w:p>
            <w:r>
              <w:rPr>
                <w:rFonts w:ascii="Consolas" w:hAnsi="Consolas"/>
                <w:sz w:val="17"/>
              </w:rPr>
              <w:t xml:space="preserve"> </w:t>
            </w:r>
          </w:p>
          <w:p>
            <w:r>
              <w:rPr>
                <w:rFonts w:ascii="Consolas" w:hAnsi="Consolas"/>
                <w:sz w:val="17"/>
              </w:rPr>
              <w:t>builder.HasIndex(c =&gt; c.PublicId)</w:t>
            </w:r>
          </w:p>
          <w:p>
            <w:r>
              <w:rPr>
                <w:rFonts w:ascii="Consolas" w:hAnsi="Consolas"/>
                <w:sz w:val="17"/>
              </w:rPr>
              <w:t xml:space="preserve">       .IsUnique()</w:t>
            </w:r>
          </w:p>
          <w:p>
            <w:r>
              <w:rPr>
                <w:rFonts w:ascii="Consolas" w:hAnsi="Consolas"/>
                <w:sz w:val="17"/>
              </w:rPr>
              <w:t xml:space="preserve">       .HasDatabaseName("UQ_Clientes_PublicId");</w:t>
            </w:r>
          </w:p>
        </w:tc>
      </w:tr>
    </w:tbl>
    <w:p>
      <w:r>
        <w:t>Criterio para decidir si una tabla necesita PublicId (hacen falta las DOS condiciones): (1) la entidad es un recurso direccionable de primer nivel en la API, no un hijo que solo se accede anidado bajo un padre ya protegido; y (2) enumerar su id filtra datos personales, sensibles o financieros de una persona identificable. Por eso NO corresponde en OPT_BitacoraOT ni OPT_ProductoSucursal (solo se leen anidadas), ni en OPT_Producto / OPT_Sucursal (no son datos personales; Sucursal además ya usa el Id interno en su API por decisión de 2026-08-24), ni en los 7 catálogos y las 2 tablas de relación. OPT_DetalleOT se evaluó al diseñar la API (2026-08-27) y NO lo necesita: las líneas se manipulan como parte del agregado OT (PUT con la lista completa). Mismo criterio para OPT_Abono, OPT_Pago y OPT_Cuota, que quedaron como subrecursos. MATIZ IMPORTANTE: NumeroOT es un correlativo visible por diseño (va impreso en el ticket del cliente), así que ahí PublicId no protege nada — esa superficie se cubre con autorización por sucursal en el endpoint. Son medidas complementarias, no alternativas. Detalle completo en ADR 0004, sección «Revisión de cobertura de PublicId (2026-08-27)».</w:t>
      </w:r>
    </w:p>
    <w:p>
      <w:pPr>
        <w:spacing w:after="40"/>
      </w:pPr>
    </w:p>
    <w:p>
      <w:pPr>
        <w:pStyle w:val="Heading2"/>
      </w:pPr>
      <w:r>
        <w:t>7.6 Deuda técnica conocida</w:t>
      </w:r>
    </w:p>
    <w:p>
      <w:pPr>
        <w:spacing w:after="200"/>
        <w:ind w:left="170"/>
      </w:pPr>
      <w:r>
        <w:rPr>
          <w:b/>
          <w:color w:val="2E74B5"/>
          <w:sz w:val="19"/>
        </w:rPr>
        <w:t>Resuelto en 002_catalogos.sql (2026-08-21): EstadoOTId (OPT_OrdenDeTrabajo), FormaPagoId (OPT_Abono) y CategoriaId (OPT_Producto) ya tienen FK real contra las entidades de catálogo OPT_EstadoOT, OPT_FormaPago y OPT_CategoriaProducto (ver 7.7). OPT_BitacoraOT.EstadoAnteriorId/EstadoNuevoId siguen sin FK real (int simple) — deuda técnica vigente. RESUELTA (2026-08-27, misma jornada): las tablas OPT_Pago, OPT_Cuota y OPT_EstadoCuota y las 4 columnas nuevas de OPT_OrdenDeTrabajo se habían creado con SQL escrito a mano en 004_comercial_pagos_cuotas.sql (ADR 0006), dejando el modelo de EF Core desalineado con dbOPT_NET. Al implementar la API del módulo (ADR 0007) se crearon las 3 entidades con sus IEntityTypeConfiguration&lt;T&gt;, las 4 propiedades, PublicId y el seed del estado ANULADO: el modelo y la base vuelven a estar alineados y el procedimiento de 7.2 es utilizable otra vez. La regla general sigue vigente: todo script de esquema escrito a mano vuelve a desalinear el modelo, así que la entidad y su configuración deben crearse en la misma sesión. RESUELTA (2026-09-15, misma jornada): 009_modulo_operativo.sql crea OPT_EstadoOperativo/OPT_Operativo/OPT_OperativoOT/OPT_GastoOperativo escrito a mano; a diferencia de 004, las entidades OPT.Domain y sus IEntityTypeConfiguration&lt;T&gt; se crearon en la MISMA sesión (ADR 0011) — el modelo y el script quedan alineados columna por columna, aunque el script todavía no se aplicó a dbOPT_NET (ver sección 14.4/14.7).</w:t>
      </w:r>
      <w:r>
        <w:rPr>
          <w:i/>
          <w:sz w:val="19"/>
        </w:rPr>
      </w:r>
      <w:r/>
    </w:p>
    <w:p>
      <w:r>
        <w:t>RESUELTA (2026-08-27) — Cobertura de PublicId: OPT_OrdenDeTrabajo obtuvo su identificador público no enumerable en el script 005, antes de publicar su primer endpoint (ver 7.5). OPT_Abono, OPT_Pago, OPT_Cuota y OPT_DetalleOT quedaron deliberadamente sin él, por ser subrecursos de la OT. Descartado explícitamente cambiar la PK a Guid: obligaría a reescribir 5 tablas hijas con sus FKs e índices, el modelo de EF Core y la migración ya ejecutada, con costo de rendimiento (índice clustered aleatorio, 4x de espacio replicado en cada FK) y sin ganar nada que PublicId no dé. VIGENTE (2026-08-27) — Autorización por sucursal: los endpoints de OT son [Authorize] genérico, así que cualquier usuario autenticado puede ver cualquier OT. Es la medida que el ADR 0004 señala para proteger la superficie de NumeroOT, que es visible por diseño. También queda pendiente poder anular un abono o un pago ya registrado. VIGENTE — OPT_BitacoraOT.EstadoAnteriorId/EstadoNuevoId siguen sin FK real contra OPT_EstadoOT (columnas int simples).</w:t>
      </w:r>
    </w:p>
    <w:p>
      <w:r>
        <w:t>VIGENTE — Scripts de esquema escritos a mano: 004, 005 y 006 no se generaron con "dotnet ef migrations script" sino a mano. Hoy el modelo de EF Core y dbOPT_NET están alineados porque en cada caso las entidades y sus IEntityTypeConfiguration se actualizaron en la misma sesión. La regla se reactiva ante cualquier script nuevo escrito a mano: si el modelo queda desalineado, un "migrations add" genera un script que recrea todo el esquema e ignora lo que el modelo no conoce (ver el gotcha correspondiente en §11).</w:t>
      </w:r>
    </w:p>
    <w:p>
      <w:r>
        <w:br w:type="page"/>
      </w:r>
    </w:p>
    <w:p>
      <w:pPr>
        <w:pStyle w:val="Heading2"/>
      </w:pPr>
      <w:r>
        <w:t>7.7 Referencia completa de tablas</w:t>
      </w:r>
    </w:p>
    <w:p>
      <w:r>
        <w:t>Las 23 tablas de negocio, agrupadas por módulo. PK = clave primaria. FK = clave foránea (tabla referenciada entre paréntesis). Los campos de auditoría estándar (CreadoEn, CreadoPor, ModificadoEn, ModificadoPor, Eliminado, EliminadoEn, EliminadoPor) se omiten de las tablas de columnas por brevedad — están presentes en toda tabla marcada «Auditable» y se documentan una sola vez en la sección 7.3.</w:t>
      </w:r>
    </w:p>
    <w:p>
      <w:r>
        <w:t>Actualización 2026-08-28 (script 006): OPT_RecetaCristales suma OrdenDeTrabajoId (int NULL, FK FK_RecetasCristales_OrdenesDeTrabajo, índice IX_RecetasCristales_OrdenDeTrabajoId) y OPT_DetalleOT suma Comentario (nvarchar(200)). No hay tablas nuevas: siguen siendo 23. El detalle columna por columna está en Diccionario_Datos_OPT.docx.</w:t>
      </w:r>
    </w:p>
    <w:p>
      <w:pPr>
        <w:pStyle w:val="Heading3"/>
      </w:pPr>
      <w:r>
        <w:t>Módulo Organización</w:t>
      </w:r>
    </w:p>
    <w:p>
      <w:pPr>
        <w:spacing w:before="160" w:after="40"/>
      </w:pPr>
      <w:r>
        <w:rPr>
          <w:b/>
          <w:color w:val="2E74B5"/>
          <w:sz w:val="21"/>
        </w:rPr>
        <w:t>OPT_Region</w:t>
      </w:r>
      <w:r>
        <w:rPr>
          <w:i/>
          <w:color w:val="595959"/>
          <w:sz w:val="19"/>
        </w:rPr>
        <w:t xml:space="preserve">  —  Catálogo (sin auditoría)</w:t>
      </w:r>
    </w:p>
    <w:p>
      <w:pPr>
        <w:spacing w:after="80"/>
      </w:pPr>
      <w:r>
        <w:t>16 regiones de Chile (fuente INE). Sembrada con HasData().</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r>
              <w:rPr>
                <w:rFonts w:ascii="Calibri" w:hAnsi="Calibri"/>
                <w:b w:val="0"/>
                <w:sz w:val="18"/>
              </w:rPr>
              <w:t>Id</w:t>
            </w:r>
          </w:p>
        </w:tc>
        <w:tc>
          <w:tcPr>
            <w:tcW w:type="dxa" w:w="1984"/>
          </w:tcPr>
          <w:p>
            <w:r/>
            <w:r>
              <w:rPr>
                <w:rFonts w:ascii="Calibri" w:hAnsi="Calibri"/>
                <w:b w:val="0"/>
                <w:sz w:val="18"/>
              </w:rPr>
              <w:t>int</w:t>
            </w:r>
          </w:p>
        </w:tc>
        <w:tc>
          <w:tcPr>
            <w:tcW w:type="dxa" w:w="4252"/>
          </w:tcPr>
          <w:p>
            <w:r/>
            <w:r>
              <w:rPr>
                <w:rFonts w:ascii="Calibri" w:hAnsi="Calibri"/>
                <w:b w:val="0"/>
                <w:sz w:val="18"/>
              </w:rPr>
              <w:t>PK, ValueGeneratedNever</w:t>
            </w:r>
          </w:p>
        </w:tc>
      </w:tr>
      <w:tr>
        <w:tc>
          <w:tcPr>
            <w:tcW w:type="dxa" w:w="3402"/>
          </w:tcPr>
          <w:p>
            <w:r/>
            <w:r>
              <w:rPr>
                <w:rFonts w:ascii="Calibri" w:hAnsi="Calibri"/>
                <w:b w:val="0"/>
                <w:sz w:val="18"/>
              </w:rPr>
              <w:t>CodigoOficial</w:t>
            </w:r>
          </w:p>
        </w:tc>
        <w:tc>
          <w:tcPr>
            <w:tcW w:type="dxa" w:w="1984"/>
          </w:tcPr>
          <w:p>
            <w:r/>
            <w:r>
              <w:rPr>
                <w:rFonts w:ascii="Calibri" w:hAnsi="Calibri"/>
                <w:b w:val="0"/>
                <w:sz w:val="18"/>
              </w:rPr>
              <w:t>nvarchar(10)</w:t>
            </w:r>
          </w:p>
        </w:tc>
        <w:tc>
          <w:tcPr>
            <w:tcW w:type="dxa" w:w="4252"/>
          </w:tcPr>
          <w:p>
            <w:r/>
            <w:r>
              <w:rPr>
                <w:rFonts w:ascii="Calibri" w:hAnsi="Calibri"/>
                <w:b w:val="0"/>
                <w:sz w:val="18"/>
              </w:rPr>
              <w:t>UNIQUE (número romano I-XVI)</w:t>
            </w:r>
          </w:p>
        </w:tc>
      </w:tr>
      <w:tr>
        <w:tc>
          <w:tcPr>
            <w:tcW w:type="dxa" w:w="3402"/>
          </w:tcPr>
          <w:p>
            <w:r/>
            <w:r>
              <w:rPr>
                <w:rFonts w:ascii="Calibri" w:hAnsi="Calibri"/>
                <w:b w:val="0"/>
                <w:sz w:val="18"/>
              </w:rPr>
              <w:t>Nombre</w:t>
            </w:r>
          </w:p>
        </w:tc>
        <w:tc>
          <w:tcPr>
            <w:tcW w:type="dxa" w:w="1984"/>
          </w:tcPr>
          <w:p>
            <w:r/>
            <w:r>
              <w:rPr>
                <w:rFonts w:ascii="Calibri" w:hAnsi="Calibri"/>
                <w:b w:val="0"/>
                <w:sz w:val="18"/>
              </w:rPr>
              <w:t>nvarchar(100)</w:t>
            </w:r>
          </w:p>
        </w:tc>
        <w:tc>
          <w:tcPr>
            <w:tcW w:type="dxa" w:w="4252"/>
          </w:tcPr>
          <w:p>
            <w:r/>
            <w:r>
              <w:rPr>
                <w:rFonts w:ascii="Calibri" w:hAnsi="Calibri"/>
                <w:b w:val="0"/>
                <w:sz w:val="18"/>
              </w:rPr>
              <w:t>NOT NULL</w:t>
            </w:r>
          </w:p>
        </w:tc>
      </w:tr>
    </w:tbl>
    <w:p>
      <w:pPr>
        <w:spacing w:after="80"/>
      </w:pPr>
    </w:p>
    <w:p>
      <w:pPr>
        <w:spacing w:before="160" w:after="40"/>
      </w:pPr>
      <w:r>
        <w:rPr>
          <w:b/>
          <w:color w:val="2E74B5"/>
          <w:sz w:val="21"/>
        </w:rPr>
        <w:t>OPT_Comuna</w:t>
      </w:r>
      <w:r>
        <w:rPr>
          <w:i/>
          <w:color w:val="595959"/>
          <w:sz w:val="19"/>
        </w:rPr>
        <w:t xml:space="preserve">  —  Catálogo (sin auditoría)</w:t>
      </w:r>
    </w:p>
    <w:p>
      <w:pPr>
        <w:spacing w:after="80"/>
      </w:pPr>
      <w:r>
        <w:t>346 comunas de Chile (fuente INE). Sembrada con HasData().</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r>
              <w:rPr>
                <w:rFonts w:ascii="Calibri" w:hAnsi="Calibri"/>
                <w:b w:val="0"/>
                <w:sz w:val="18"/>
              </w:rPr>
              <w:t>Id</w:t>
            </w:r>
          </w:p>
        </w:tc>
        <w:tc>
          <w:tcPr>
            <w:tcW w:type="dxa" w:w="1984"/>
          </w:tcPr>
          <w:p>
            <w:r/>
            <w:r>
              <w:rPr>
                <w:rFonts w:ascii="Calibri" w:hAnsi="Calibri"/>
                <w:b w:val="0"/>
                <w:sz w:val="18"/>
              </w:rPr>
              <w:t>int</w:t>
            </w:r>
          </w:p>
        </w:tc>
        <w:tc>
          <w:tcPr>
            <w:tcW w:type="dxa" w:w="4252"/>
          </w:tcPr>
          <w:p>
            <w:r/>
            <w:r>
              <w:rPr>
                <w:rFonts w:ascii="Calibri" w:hAnsi="Calibri"/>
                <w:b w:val="0"/>
                <w:sz w:val="18"/>
              </w:rPr>
              <w:t>PK, ValueGeneratedNever</w:t>
            </w:r>
          </w:p>
        </w:tc>
      </w:tr>
      <w:tr>
        <w:tc>
          <w:tcPr>
            <w:tcW w:type="dxa" w:w="3402"/>
          </w:tcPr>
          <w:p>
            <w:r/>
            <w:r>
              <w:rPr>
                <w:rFonts w:ascii="Calibri" w:hAnsi="Calibri"/>
                <w:b w:val="0"/>
                <w:sz w:val="18"/>
              </w:rPr>
              <w:t>RegionId</w:t>
            </w:r>
          </w:p>
        </w:tc>
        <w:tc>
          <w:tcPr>
            <w:tcW w:type="dxa" w:w="1984"/>
          </w:tcPr>
          <w:p>
            <w:r/>
            <w:r>
              <w:rPr>
                <w:rFonts w:ascii="Calibri" w:hAnsi="Calibri"/>
                <w:b w:val="0"/>
                <w:sz w:val="18"/>
              </w:rPr>
              <w:t>int</w:t>
            </w:r>
          </w:p>
        </w:tc>
        <w:tc>
          <w:tcPr>
            <w:tcW w:type="dxa" w:w="4252"/>
          </w:tcPr>
          <w:p>
            <w:r/>
            <w:r>
              <w:rPr>
                <w:rFonts w:ascii="Calibri" w:hAnsi="Calibri"/>
                <w:b w:val="0"/>
                <w:sz w:val="18"/>
              </w:rPr>
              <w:t>FK → OPT_Region</w:t>
            </w:r>
          </w:p>
        </w:tc>
      </w:tr>
      <w:tr>
        <w:tc>
          <w:tcPr>
            <w:tcW w:type="dxa" w:w="3402"/>
          </w:tcPr>
          <w:p>
            <w:r/>
            <w:r>
              <w:rPr>
                <w:rFonts w:ascii="Calibri" w:hAnsi="Calibri"/>
                <w:b w:val="0"/>
                <w:sz w:val="18"/>
              </w:rPr>
              <w:t>Nombre</w:t>
            </w:r>
          </w:p>
        </w:tc>
        <w:tc>
          <w:tcPr>
            <w:tcW w:type="dxa" w:w="1984"/>
          </w:tcPr>
          <w:p>
            <w:r/>
            <w:r>
              <w:rPr>
                <w:rFonts w:ascii="Calibri" w:hAnsi="Calibri"/>
                <w:b w:val="0"/>
                <w:sz w:val="18"/>
              </w:rPr>
              <w:t>nvarchar(100)</w:t>
            </w:r>
          </w:p>
        </w:tc>
        <w:tc>
          <w:tcPr>
            <w:tcW w:type="dxa" w:w="4252"/>
          </w:tcPr>
          <w:p>
            <w:r/>
            <w:r>
              <w:rPr>
                <w:rFonts w:ascii="Calibri" w:hAnsi="Calibri"/>
                <w:b w:val="0"/>
                <w:sz w:val="18"/>
              </w:rPr>
              <w:t>NOT NULL</w:t>
            </w:r>
          </w:p>
        </w:tc>
      </w:tr>
    </w:tbl>
    <w:p>
      <w:pPr>
        <w:spacing w:after="80"/>
      </w:pPr>
    </w:p>
    <w:p>
      <w:pPr>
        <w:spacing w:before="160" w:after="40"/>
      </w:pPr>
      <w:r>
        <w:rPr>
          <w:b/>
          <w:color w:val="2E74B5"/>
          <w:sz w:val="21"/>
        </w:rPr>
        <w:t>OPT_Rol</w:t>
      </w:r>
      <w:r>
        <w:rPr>
          <w:i/>
          <w:color w:val="595959"/>
          <w:sz w:val="19"/>
        </w:rPr>
        <w:t xml:space="preserve">  —  Catálogo (sin auditoría)</w:t>
      </w:r>
    </w:p>
    <w:p>
      <w:pPr>
        <w:spacing w:after="80"/>
      </w:pPr>
      <w:r>
        <w:t>Roles del sistema. Sembrada: 8 filas — 3 genéricos (Administrador, Supervisor, Operador) + 5 roles reales heredados del legacy, agregados en 002_catalogos.sql (Jefe Sucursal, Vendedor, Tecnico Medico, Control Calidad, Externo).</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r>
              <w:rPr>
                <w:rFonts w:ascii="Calibri" w:hAnsi="Calibri"/>
                <w:b w:val="0"/>
                <w:sz w:val="18"/>
              </w:rPr>
              <w:t>Id</w:t>
            </w:r>
          </w:p>
        </w:tc>
        <w:tc>
          <w:tcPr>
            <w:tcW w:type="dxa" w:w="1984"/>
          </w:tcPr>
          <w:p>
            <w:r/>
            <w:r>
              <w:rPr>
                <w:rFonts w:ascii="Calibri" w:hAnsi="Calibri"/>
                <w:b w:val="0"/>
                <w:sz w:val="18"/>
              </w:rPr>
              <w:t>int</w:t>
            </w:r>
          </w:p>
        </w:tc>
        <w:tc>
          <w:tcPr>
            <w:tcW w:type="dxa" w:w="4252"/>
          </w:tcPr>
          <w:p>
            <w:r/>
            <w:r>
              <w:rPr>
                <w:rFonts w:ascii="Calibri" w:hAnsi="Calibri"/>
                <w:b w:val="0"/>
                <w:sz w:val="18"/>
              </w:rPr>
              <w:t>PK, ValueGeneratedNever</w:t>
            </w:r>
          </w:p>
        </w:tc>
      </w:tr>
      <w:tr>
        <w:tc>
          <w:tcPr>
            <w:tcW w:type="dxa" w:w="3402"/>
          </w:tcPr>
          <w:p>
            <w:r/>
            <w:r>
              <w:rPr>
                <w:rFonts w:ascii="Calibri" w:hAnsi="Calibri"/>
                <w:b w:val="0"/>
                <w:sz w:val="18"/>
              </w:rPr>
              <w:t>Nombre</w:t>
            </w:r>
          </w:p>
        </w:tc>
        <w:tc>
          <w:tcPr>
            <w:tcW w:type="dxa" w:w="1984"/>
          </w:tcPr>
          <w:p>
            <w:r/>
            <w:r>
              <w:rPr>
                <w:rFonts w:ascii="Calibri" w:hAnsi="Calibri"/>
                <w:b w:val="0"/>
                <w:sz w:val="18"/>
              </w:rPr>
              <w:t>nvarchar(50)</w:t>
            </w:r>
          </w:p>
        </w:tc>
        <w:tc>
          <w:tcPr>
            <w:tcW w:type="dxa" w:w="4252"/>
          </w:tcPr>
          <w:p>
            <w:r/>
            <w:r>
              <w:rPr>
                <w:rFonts w:ascii="Calibri" w:hAnsi="Calibri"/>
                <w:b w:val="0"/>
                <w:sz w:val="18"/>
              </w:rPr>
              <w:t>UNIQUE</w:t>
            </w:r>
          </w:p>
        </w:tc>
      </w:tr>
      <w:tr>
        <w:tc>
          <w:tcPr>
            <w:tcW w:type="dxa" w:w="3402"/>
          </w:tcPr>
          <w:p>
            <w:r/>
            <w:r>
              <w:rPr>
                <w:rFonts w:ascii="Calibri" w:hAnsi="Calibri"/>
                <w:b w:val="0"/>
                <w:sz w:val="18"/>
              </w:rPr>
              <w:t>Descripcion</w:t>
            </w:r>
          </w:p>
        </w:tc>
        <w:tc>
          <w:tcPr>
            <w:tcW w:type="dxa" w:w="1984"/>
          </w:tcPr>
          <w:p>
            <w:r/>
            <w:r>
              <w:rPr>
                <w:rFonts w:ascii="Calibri" w:hAnsi="Calibri"/>
                <w:b w:val="0"/>
                <w:sz w:val="18"/>
              </w:rPr>
              <w:t>nvarchar(max)</w:t>
            </w:r>
          </w:p>
        </w:tc>
        <w:tc>
          <w:tcPr>
            <w:tcW w:type="dxa" w:w="4252"/>
          </w:tcPr>
          <w:p>
            <w:r/>
            <w:r>
              <w:rPr>
                <w:rFonts w:ascii="Calibri" w:hAnsi="Calibri"/>
                <w:b w:val="0"/>
                <w:sz w:val="18"/>
              </w:rPr>
              <w:t>NULL</w:t>
            </w:r>
          </w:p>
        </w:tc>
      </w:tr>
    </w:tbl>
    <w:p>
      <w:pPr>
        <w:spacing w:after="80"/>
      </w:pPr>
    </w:p>
    <w:p>
      <w:pPr>
        <w:spacing w:before="160" w:after="40"/>
      </w:pPr>
      <w:r>
        <w:rPr>
          <w:b/>
          <w:color w:val="2E74B5"/>
          <w:sz w:val="21"/>
        </w:rPr>
        <w:t>OPT_Empresa</w:t>
      </w:r>
      <w:r>
        <w:rPr>
          <w:i/>
          <w:color w:val="595959"/>
          <w:sz w:val="19"/>
        </w:rPr>
        <w:t xml:space="preserve">  —  Auditable</w:t>
      </w:r>
    </w:p>
    <w:p>
      <w:pPr>
        <w:spacing w:after="80"/>
      </w:pPr>
      <w:r>
        <w:t>Empresa dueña de la(s) óptica(s).</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r>
              <w:rPr>
                <w:rFonts w:ascii="Calibri" w:hAnsi="Calibri"/>
                <w:b w:val="0"/>
                <w:sz w:val="18"/>
              </w:rPr>
              <w:t>EmpresaId</w:t>
            </w:r>
          </w:p>
        </w:tc>
        <w:tc>
          <w:tcPr>
            <w:tcW w:type="dxa" w:w="1984"/>
          </w:tcPr>
          <w:p>
            <w:r/>
            <w:r>
              <w:rPr>
                <w:rFonts w:ascii="Calibri" w:hAnsi="Calibri"/>
                <w:b w:val="0"/>
                <w:sz w:val="18"/>
              </w:rPr>
              <w:t>int</w:t>
            </w:r>
          </w:p>
        </w:tc>
        <w:tc>
          <w:tcPr>
            <w:tcW w:type="dxa" w:w="4252"/>
          </w:tcPr>
          <w:p>
            <w:r/>
            <w:r>
              <w:rPr>
                <w:rFonts w:ascii="Calibri" w:hAnsi="Calibri"/>
                <w:b w:val="0"/>
                <w:sz w:val="18"/>
              </w:rPr>
              <w:t>PK IDENTITY</w:t>
            </w:r>
          </w:p>
        </w:tc>
      </w:tr>
      <w:tr>
        <w:tc>
          <w:tcPr>
            <w:tcW w:type="dxa" w:w="3402"/>
          </w:tcPr>
          <w:p>
            <w:r/>
            <w:r>
              <w:rPr>
                <w:rFonts w:ascii="Calibri" w:hAnsi="Calibri"/>
                <w:b w:val="0"/>
                <w:sz w:val="18"/>
              </w:rPr>
              <w:t>PublicId</w:t>
            </w:r>
          </w:p>
        </w:tc>
        <w:tc>
          <w:tcPr>
            <w:tcW w:type="dxa" w:w="1984"/>
          </w:tcPr>
          <w:p>
            <w:r/>
            <w:r>
              <w:rPr>
                <w:rFonts w:ascii="Calibri" w:hAnsi="Calibri"/>
                <w:b w:val="0"/>
                <w:sz w:val="18"/>
              </w:rPr>
              <w:t>uniqueidentifier</w:t>
            </w:r>
          </w:p>
        </w:tc>
        <w:tc>
          <w:tcPr>
            <w:tcW w:type="dxa" w:w="4252"/>
          </w:tcPr>
          <w:p>
            <w:r/>
            <w:r>
              <w:rPr>
                <w:rFonts w:ascii="Calibri" w:hAnsi="Calibri"/>
                <w:b w:val="0"/>
                <w:sz w:val="18"/>
              </w:rPr>
              <w:t>UNIQUE, DEFAULT NEWID() — expuesto en API</w:t>
            </w:r>
          </w:p>
        </w:tc>
      </w:tr>
      <w:tr>
        <w:tc>
          <w:tcPr>
            <w:tcW w:type="dxa" w:w="3402"/>
          </w:tcPr>
          <w:p>
            <w:r/>
            <w:r>
              <w:rPr>
                <w:rFonts w:ascii="Calibri" w:hAnsi="Calibri"/>
                <w:b w:val="0"/>
                <w:sz w:val="18"/>
              </w:rPr>
              <w:t>Nombre</w:t>
            </w:r>
          </w:p>
        </w:tc>
        <w:tc>
          <w:tcPr>
            <w:tcW w:type="dxa" w:w="1984"/>
          </w:tcPr>
          <w:p>
            <w:r/>
            <w:r>
              <w:rPr>
                <w:rFonts w:ascii="Calibri" w:hAnsi="Calibri"/>
                <w:b w:val="0"/>
                <w:sz w:val="18"/>
              </w:rPr>
              <w:t>nvarchar(100)</w:t>
            </w:r>
          </w:p>
        </w:tc>
        <w:tc>
          <w:tcPr>
            <w:tcW w:type="dxa" w:w="4252"/>
          </w:tcPr>
          <w:p>
            <w:r/>
            <w:r>
              <w:rPr>
                <w:rFonts w:ascii="Calibri" w:hAnsi="Calibri"/>
                <w:b w:val="0"/>
                <w:sz w:val="18"/>
              </w:rPr>
              <w:t>NOT NULL</w:t>
            </w:r>
          </w:p>
        </w:tc>
      </w:tr>
      <w:tr>
        <w:tc>
          <w:tcPr>
            <w:tcW w:type="dxa" w:w="3402"/>
          </w:tcPr>
          <w:p>
            <w:r/>
            <w:r>
              <w:rPr>
                <w:rFonts w:ascii="Calibri" w:hAnsi="Calibri"/>
                <w:b w:val="0"/>
                <w:sz w:val="18"/>
              </w:rPr>
              <w:t>Rut</w:t>
            </w:r>
          </w:p>
        </w:tc>
        <w:tc>
          <w:tcPr>
            <w:tcW w:type="dxa" w:w="1984"/>
          </w:tcPr>
          <w:p>
            <w:r/>
            <w:r>
              <w:rPr>
                <w:rFonts w:ascii="Calibri" w:hAnsi="Calibri"/>
                <w:b w:val="0"/>
                <w:sz w:val="18"/>
              </w:rPr>
              <w:t>nvarchar(12)</w:t>
            </w:r>
          </w:p>
        </w:tc>
        <w:tc>
          <w:tcPr>
            <w:tcW w:type="dxa" w:w="4252"/>
          </w:tcPr>
          <w:p>
            <w:r/>
            <w:r>
              <w:rPr>
                <w:rFonts w:ascii="Calibri" w:hAnsi="Calibri"/>
                <w:b w:val="0"/>
                <w:sz w:val="18"/>
              </w:rPr>
              <w:t>UNIQUE — no es la PK</w:t>
            </w:r>
          </w:p>
        </w:tc>
      </w:tr>
      <w:tr>
        <w:tc>
          <w:tcPr>
            <w:tcW w:type="dxa" w:w="3402"/>
          </w:tcPr>
          <w:p>
            <w:r/>
            <w:r>
              <w:rPr>
                <w:rFonts w:ascii="Calibri" w:hAnsi="Calibri"/>
                <w:b w:val="0"/>
                <w:sz w:val="18"/>
              </w:rPr>
              <w:t>RazonSocial</w:t>
            </w:r>
          </w:p>
        </w:tc>
        <w:tc>
          <w:tcPr>
            <w:tcW w:type="dxa" w:w="1984"/>
          </w:tcPr>
          <w:p>
            <w:r/>
            <w:r>
              <w:rPr>
                <w:rFonts w:ascii="Calibri" w:hAnsi="Calibri"/>
                <w:b w:val="0"/>
                <w:sz w:val="18"/>
              </w:rPr>
              <w:t>nvarchar(150)</w:t>
            </w:r>
          </w:p>
        </w:tc>
        <w:tc>
          <w:tcPr>
            <w:tcW w:type="dxa" w:w="4252"/>
          </w:tcPr>
          <w:p>
            <w:r/>
            <w:r>
              <w:rPr>
                <w:rFonts w:ascii="Calibri" w:hAnsi="Calibri"/>
                <w:b w:val="0"/>
                <w:sz w:val="18"/>
              </w:rPr>
              <w:t>NOT NULL</w:t>
            </w:r>
          </w:p>
        </w:tc>
      </w:tr>
      <w:tr>
        <w:tc>
          <w:tcPr>
            <w:tcW w:type="dxa" w:w="3402"/>
          </w:tcPr>
          <w:p>
            <w:r/>
            <w:r>
              <w:rPr>
                <w:rFonts w:ascii="Calibri" w:hAnsi="Calibri"/>
                <w:b w:val="0"/>
                <w:sz w:val="18"/>
              </w:rPr>
              <w:t>Giro / Direccion / Telefono / Email / Contacto</w:t>
            </w:r>
          </w:p>
        </w:tc>
        <w:tc>
          <w:tcPr>
            <w:tcW w:type="dxa" w:w="1984"/>
          </w:tcPr>
          <w:p>
            <w:r/>
            <w:r>
              <w:rPr>
                <w:rFonts w:ascii="Calibri" w:hAnsi="Calibri"/>
                <w:b w:val="0"/>
                <w:sz w:val="18"/>
              </w:rPr>
              <w:t>nvarchar</w:t>
            </w:r>
          </w:p>
        </w:tc>
        <w:tc>
          <w:tcPr>
            <w:tcW w:type="dxa" w:w="4252"/>
          </w:tcPr>
          <w:p>
            <w:r/>
            <w:r>
              <w:rPr>
                <w:rFonts w:ascii="Calibri" w:hAnsi="Calibri"/>
                <w:b w:val="0"/>
                <w:sz w:val="18"/>
              </w:rPr>
              <w:t>NOT NULL, DEFAULT ''</w:t>
            </w:r>
          </w:p>
        </w:tc>
      </w:tr>
    </w:tbl>
    <w:p>
      <w:pPr>
        <w:spacing w:after="80"/>
      </w:pPr>
    </w:p>
    <w:p>
      <w:pPr>
        <w:spacing w:before="160" w:after="40"/>
      </w:pPr>
      <w:r>
        <w:rPr>
          <w:b/>
          <w:color w:val="2E74B5"/>
          <w:sz w:val="21"/>
        </w:rPr>
        <w:t>OPT_EmpresaSucursal</w:t>
      </w:r>
      <w:r>
        <w:rPr>
          <w:i/>
          <w:color w:val="595959"/>
          <w:sz w:val="19"/>
        </w:rPr>
        <w:t xml:space="preserve">  —  Tabla de unión</w:t>
      </w:r>
    </w:p>
    <w:p>
      <w:pPr>
        <w:spacing w:after="80"/>
      </w:pPr>
      <w:r>
        <w:t>Relación muchos-a-muchos Empresa ↔ Sucursal.</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r>
              <w:rPr>
                <w:rFonts w:ascii="Calibri" w:hAnsi="Calibri"/>
                <w:b w:val="0"/>
                <w:sz w:val="18"/>
              </w:rPr>
              <w:t>EmpresaSucursalId</w:t>
            </w:r>
          </w:p>
        </w:tc>
        <w:tc>
          <w:tcPr>
            <w:tcW w:type="dxa" w:w="1984"/>
          </w:tcPr>
          <w:p>
            <w:r/>
            <w:r>
              <w:rPr>
                <w:rFonts w:ascii="Calibri" w:hAnsi="Calibri"/>
                <w:b w:val="0"/>
                <w:sz w:val="18"/>
              </w:rPr>
              <w:t>int</w:t>
            </w:r>
          </w:p>
        </w:tc>
        <w:tc>
          <w:tcPr>
            <w:tcW w:type="dxa" w:w="4252"/>
          </w:tcPr>
          <w:p>
            <w:r/>
            <w:r>
              <w:rPr>
                <w:rFonts w:ascii="Calibri" w:hAnsi="Calibri"/>
                <w:b w:val="0"/>
                <w:sz w:val="18"/>
              </w:rPr>
              <w:t>PK IDENTITY</w:t>
            </w:r>
          </w:p>
        </w:tc>
      </w:tr>
      <w:tr>
        <w:tc>
          <w:tcPr>
            <w:tcW w:type="dxa" w:w="3402"/>
          </w:tcPr>
          <w:p>
            <w:r/>
            <w:r>
              <w:rPr>
                <w:rFonts w:ascii="Calibri" w:hAnsi="Calibri"/>
                <w:b w:val="0"/>
                <w:sz w:val="18"/>
              </w:rPr>
              <w:t>EmpresaId</w:t>
            </w:r>
          </w:p>
        </w:tc>
        <w:tc>
          <w:tcPr>
            <w:tcW w:type="dxa" w:w="1984"/>
          </w:tcPr>
          <w:p>
            <w:r/>
            <w:r>
              <w:rPr>
                <w:rFonts w:ascii="Calibri" w:hAnsi="Calibri"/>
                <w:b w:val="0"/>
                <w:sz w:val="18"/>
              </w:rPr>
              <w:t>int</w:t>
            </w:r>
          </w:p>
        </w:tc>
        <w:tc>
          <w:tcPr>
            <w:tcW w:type="dxa" w:w="4252"/>
          </w:tcPr>
          <w:p>
            <w:r/>
            <w:r>
              <w:rPr>
                <w:rFonts w:ascii="Calibri" w:hAnsi="Calibri"/>
                <w:b w:val="0"/>
                <w:sz w:val="18"/>
              </w:rPr>
              <w:t>FK → OPT_Empresa (cascade)</w:t>
            </w:r>
          </w:p>
        </w:tc>
      </w:tr>
      <w:tr>
        <w:tc>
          <w:tcPr>
            <w:tcW w:type="dxa" w:w="3402"/>
          </w:tcPr>
          <w:p>
            <w:r/>
            <w:r>
              <w:rPr>
                <w:rFonts w:ascii="Calibri" w:hAnsi="Calibri"/>
                <w:b w:val="0"/>
                <w:sz w:val="18"/>
              </w:rPr>
              <w:t>SucursalId</w:t>
            </w:r>
          </w:p>
        </w:tc>
        <w:tc>
          <w:tcPr>
            <w:tcW w:type="dxa" w:w="1984"/>
          </w:tcPr>
          <w:p>
            <w:r/>
            <w:r>
              <w:rPr>
                <w:rFonts w:ascii="Calibri" w:hAnsi="Calibri"/>
                <w:b w:val="0"/>
                <w:sz w:val="18"/>
              </w:rPr>
              <w:t>int</w:t>
            </w:r>
          </w:p>
        </w:tc>
        <w:tc>
          <w:tcPr>
            <w:tcW w:type="dxa" w:w="4252"/>
          </w:tcPr>
          <w:p>
            <w:r/>
            <w:r>
              <w:rPr>
                <w:rFonts w:ascii="Calibri" w:hAnsi="Calibri"/>
                <w:b w:val="0"/>
                <w:sz w:val="18"/>
              </w:rPr>
              <w:t>FK → OPT_Sucursal</w:t>
            </w:r>
          </w:p>
        </w:tc>
      </w:tr>
      <w:tr>
        <w:tc>
          <w:tcPr>
            <w:tcW w:type="dxa" w:w="3402"/>
          </w:tcPr>
          <w:p>
            <w:r/>
            <w:r>
              <w:rPr>
                <w:rFonts w:ascii="Calibri" w:hAnsi="Calibri"/>
                <w:b w:val="0"/>
                <w:sz w:val="18"/>
              </w:rPr>
              <w:t>(EmpresaId, SucursalId)</w:t>
            </w:r>
          </w:p>
        </w:tc>
        <w:tc>
          <w:tcPr>
            <w:tcW w:type="dxa" w:w="1984"/>
          </w:tcPr>
          <w:p>
            <w:r/>
            <w:r>
              <w:rPr>
                <w:rFonts w:ascii="Calibri" w:hAnsi="Calibri"/>
                <w:b w:val="0"/>
                <w:sz w:val="18"/>
              </w:rPr>
              <w:t>—</w:t>
            </w:r>
          </w:p>
        </w:tc>
        <w:tc>
          <w:tcPr>
            <w:tcW w:type="dxa" w:w="4252"/>
          </w:tcPr>
          <w:p>
            <w:r/>
            <w:r>
              <w:rPr>
                <w:rFonts w:ascii="Calibri" w:hAnsi="Calibri"/>
                <w:b w:val="0"/>
                <w:sz w:val="18"/>
              </w:rPr>
              <w:t>UNIQUE compuesto</w:t>
            </w:r>
          </w:p>
        </w:tc>
      </w:tr>
    </w:tbl>
    <w:p>
      <w:pPr>
        <w:spacing w:after="80"/>
      </w:pPr>
    </w:p>
    <w:p>
      <w:pPr>
        <w:spacing w:before="160" w:after="40"/>
      </w:pPr>
      <w:r>
        <w:rPr>
          <w:b/>
          <w:color w:val="2E74B5"/>
          <w:sz w:val="21"/>
        </w:rPr>
        <w:t>OPT_Sucursal</w:t>
      </w:r>
      <w:r>
        <w:rPr>
          <w:i/>
          <w:color w:val="595959"/>
          <w:sz w:val="19"/>
        </w:rPr>
        <w:t xml:space="preserve">  —  Auditable</w:t>
      </w:r>
    </w:p>
    <w:p>
      <w:pPr>
        <w:spacing w:after="80"/>
      </w:pPr>
      <w:r>
        <w:t>Punto de atención físico.</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r>
              <w:rPr>
                <w:rFonts w:ascii="Calibri" w:hAnsi="Calibri"/>
                <w:b w:val="0"/>
                <w:sz w:val="18"/>
              </w:rPr>
              <w:t>SucursalId</w:t>
            </w:r>
          </w:p>
        </w:tc>
        <w:tc>
          <w:tcPr>
            <w:tcW w:type="dxa" w:w="1984"/>
          </w:tcPr>
          <w:p>
            <w:r/>
            <w:r>
              <w:rPr>
                <w:rFonts w:ascii="Calibri" w:hAnsi="Calibri"/>
                <w:b w:val="0"/>
                <w:sz w:val="18"/>
              </w:rPr>
              <w:t>int</w:t>
            </w:r>
          </w:p>
        </w:tc>
        <w:tc>
          <w:tcPr>
            <w:tcW w:type="dxa" w:w="4252"/>
          </w:tcPr>
          <w:p>
            <w:r/>
            <w:r>
              <w:rPr>
                <w:rFonts w:ascii="Calibri" w:hAnsi="Calibri"/>
                <w:b w:val="0"/>
                <w:sz w:val="18"/>
              </w:rPr>
              <w:t>PK IDENTITY</w:t>
            </w:r>
          </w:p>
        </w:tc>
      </w:tr>
      <w:tr>
        <w:tc>
          <w:tcPr>
            <w:tcW w:type="dxa" w:w="3402"/>
          </w:tcPr>
          <w:p>
            <w:r/>
            <w:r>
              <w:rPr>
                <w:rFonts w:ascii="Calibri" w:hAnsi="Calibri"/>
                <w:b w:val="0"/>
                <w:sz w:val="18"/>
              </w:rPr>
              <w:t>Nombre</w:t>
            </w:r>
          </w:p>
        </w:tc>
        <w:tc>
          <w:tcPr>
            <w:tcW w:type="dxa" w:w="1984"/>
          </w:tcPr>
          <w:p>
            <w:r/>
            <w:r>
              <w:rPr>
                <w:rFonts w:ascii="Calibri" w:hAnsi="Calibri"/>
                <w:b w:val="0"/>
                <w:sz w:val="18"/>
              </w:rPr>
              <w:t>nvarchar(100)</w:t>
            </w:r>
          </w:p>
        </w:tc>
        <w:tc>
          <w:tcPr>
            <w:tcW w:type="dxa" w:w="4252"/>
          </w:tcPr>
          <w:p>
            <w:r/>
            <w:r>
              <w:rPr>
                <w:rFonts w:ascii="Calibri" w:hAnsi="Calibri"/>
                <w:b w:val="0"/>
                <w:sz w:val="18"/>
              </w:rPr>
              <w:t>NOT NULL</w:t>
            </w:r>
          </w:p>
        </w:tc>
      </w:tr>
      <w:tr>
        <w:tc>
          <w:tcPr>
            <w:tcW w:type="dxa" w:w="3402"/>
          </w:tcPr>
          <w:p>
            <w:r/>
            <w:r>
              <w:rPr>
                <w:rFonts w:ascii="Calibri" w:hAnsi="Calibri"/>
                <w:b w:val="0"/>
                <w:sz w:val="18"/>
              </w:rPr>
              <w:t>Direccion / Telefono</w:t>
            </w:r>
          </w:p>
        </w:tc>
        <w:tc>
          <w:tcPr>
            <w:tcW w:type="dxa" w:w="1984"/>
          </w:tcPr>
          <w:p>
            <w:r/>
            <w:r>
              <w:rPr>
                <w:rFonts w:ascii="Calibri" w:hAnsi="Calibri"/>
                <w:b w:val="0"/>
                <w:sz w:val="18"/>
              </w:rPr>
              <w:t>nvarchar</w:t>
            </w:r>
          </w:p>
        </w:tc>
        <w:tc>
          <w:tcPr>
            <w:tcW w:type="dxa" w:w="4252"/>
          </w:tcPr>
          <w:p>
            <w:r/>
            <w:r>
              <w:rPr>
                <w:rFonts w:ascii="Calibri" w:hAnsi="Calibri"/>
                <w:b w:val="0"/>
                <w:sz w:val="18"/>
              </w:rPr>
              <w:t>NULL, DEFAULT ''</w:t>
            </w:r>
          </w:p>
        </w:tc>
      </w:tr>
      <w:tr>
        <w:tc>
          <w:tcPr>
            <w:tcW w:type="dxa" w:w="3402"/>
          </w:tcPr>
          <w:p>
            <w:r/>
            <w:r>
              <w:rPr>
                <w:rFonts w:ascii="Calibri" w:hAnsi="Calibri"/>
                <w:b w:val="0"/>
                <w:sz w:val="18"/>
              </w:rPr>
              <w:t>EsMatriz</w:t>
            </w:r>
          </w:p>
        </w:tc>
        <w:tc>
          <w:tcPr>
            <w:tcW w:type="dxa" w:w="1984"/>
          </w:tcPr>
          <w:p>
            <w:r/>
            <w:r>
              <w:rPr>
                <w:rFonts w:ascii="Calibri" w:hAnsi="Calibri"/>
                <w:b w:val="0"/>
                <w:sz w:val="18"/>
              </w:rPr>
              <w:t>bit</w:t>
            </w:r>
          </w:p>
        </w:tc>
        <w:tc>
          <w:tcPr>
            <w:tcW w:type="dxa" w:w="4252"/>
          </w:tcPr>
          <w:p>
            <w:r/>
            <w:r>
              <w:rPr>
                <w:rFonts w:ascii="Calibri" w:hAnsi="Calibri"/>
                <w:b w:val="0"/>
                <w:sz w:val="18"/>
              </w:rPr>
              <w:t>UNIQUE filtrado: solo 1 matriz activa (WHERE EsMatriz=1 AND Eliminado=0)</w:t>
            </w:r>
          </w:p>
        </w:tc>
      </w:tr>
    </w:tbl>
    <w:p>
      <w:pPr>
        <w:spacing w:after="80"/>
      </w:pPr>
    </w:p>
    <w:p>
      <w:pPr>
        <w:spacing w:before="160" w:after="40"/>
      </w:pPr>
      <w:r>
        <w:rPr>
          <w:b/>
          <w:color w:val="2E74B5"/>
          <w:sz w:val="21"/>
        </w:rPr>
        <w:t>OPT_Usuario</w:t>
      </w:r>
      <w:r>
        <w:rPr>
          <w:i/>
          <w:color w:val="595959"/>
          <w:sz w:val="19"/>
        </w:rPr>
        <w:t xml:space="preserve">  —  Auditable</w:t>
      </w:r>
    </w:p>
    <w:p>
      <w:pPr>
        <w:spacing w:after="80"/>
      </w:pPr>
      <w:r>
        <w:t>Operador del sistema. Login por RUT.</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r>
              <w:rPr>
                <w:rFonts w:ascii="Calibri" w:hAnsi="Calibri"/>
                <w:b w:val="0"/>
                <w:sz w:val="18"/>
              </w:rPr>
              <w:t>UsuarioId</w:t>
            </w:r>
          </w:p>
        </w:tc>
        <w:tc>
          <w:tcPr>
            <w:tcW w:type="dxa" w:w="1984"/>
          </w:tcPr>
          <w:p>
            <w:r/>
            <w:r>
              <w:rPr>
                <w:rFonts w:ascii="Calibri" w:hAnsi="Calibri"/>
                <w:b w:val="0"/>
                <w:sz w:val="18"/>
              </w:rPr>
              <w:t>int</w:t>
            </w:r>
          </w:p>
        </w:tc>
        <w:tc>
          <w:tcPr>
            <w:tcW w:type="dxa" w:w="4252"/>
          </w:tcPr>
          <w:p>
            <w:r/>
            <w:r>
              <w:rPr>
                <w:rFonts w:ascii="Calibri" w:hAnsi="Calibri"/>
                <w:b w:val="0"/>
                <w:sz w:val="18"/>
              </w:rPr>
              <w:t>PK IDENTITY</w:t>
            </w:r>
          </w:p>
        </w:tc>
      </w:tr>
      <w:tr>
        <w:tc>
          <w:tcPr>
            <w:tcW w:type="dxa" w:w="3402"/>
          </w:tcPr>
          <w:p>
            <w:r/>
            <w:r>
              <w:rPr>
                <w:rFonts w:ascii="Calibri" w:hAnsi="Calibri"/>
                <w:b w:val="0"/>
                <w:sz w:val="18"/>
              </w:rPr>
              <w:t>PublicId</w:t>
            </w:r>
          </w:p>
        </w:tc>
        <w:tc>
          <w:tcPr>
            <w:tcW w:type="dxa" w:w="1984"/>
          </w:tcPr>
          <w:p>
            <w:r/>
            <w:r>
              <w:rPr>
                <w:rFonts w:ascii="Calibri" w:hAnsi="Calibri"/>
                <w:b w:val="0"/>
                <w:sz w:val="18"/>
              </w:rPr>
              <w:t>uniqueidentifier</w:t>
            </w:r>
          </w:p>
        </w:tc>
        <w:tc>
          <w:tcPr>
            <w:tcW w:type="dxa" w:w="4252"/>
          </w:tcPr>
          <w:p>
            <w:r/>
            <w:r>
              <w:rPr>
                <w:rFonts w:ascii="Calibri" w:hAnsi="Calibri"/>
                <w:b w:val="0"/>
                <w:sz w:val="18"/>
              </w:rPr>
              <w:t>UNIQUE, DEFAULT NEWID() — expuesto en API</w:t>
            </w:r>
          </w:p>
        </w:tc>
      </w:tr>
      <w:tr>
        <w:tc>
          <w:tcPr>
            <w:tcW w:type="dxa" w:w="3402"/>
          </w:tcPr>
          <w:p>
            <w:r/>
            <w:r>
              <w:rPr>
                <w:rFonts w:ascii="Calibri" w:hAnsi="Calibri"/>
                <w:b w:val="0"/>
                <w:sz w:val="18"/>
              </w:rPr>
              <w:t>Rut</w:t>
            </w:r>
          </w:p>
        </w:tc>
        <w:tc>
          <w:tcPr>
            <w:tcW w:type="dxa" w:w="1984"/>
          </w:tcPr>
          <w:p>
            <w:r/>
            <w:r>
              <w:rPr>
                <w:rFonts w:ascii="Calibri" w:hAnsi="Calibri"/>
                <w:b w:val="0"/>
                <w:sz w:val="18"/>
              </w:rPr>
              <w:t>nvarchar(12)</w:t>
            </w:r>
          </w:p>
        </w:tc>
        <w:tc>
          <w:tcPr>
            <w:tcW w:type="dxa" w:w="4252"/>
          </w:tcPr>
          <w:p>
            <w:r/>
            <w:r>
              <w:rPr>
                <w:rFonts w:ascii="Calibri" w:hAnsi="Calibri"/>
                <w:b w:val="0"/>
                <w:sz w:val="18"/>
              </w:rPr>
              <w:t>UNIQUE — no es la PK</w:t>
            </w:r>
          </w:p>
        </w:tc>
      </w:tr>
      <w:tr>
        <w:tc>
          <w:tcPr>
            <w:tcW w:type="dxa" w:w="3402"/>
          </w:tcPr>
          <w:p>
            <w:r/>
            <w:r>
              <w:rPr>
                <w:rFonts w:ascii="Calibri" w:hAnsi="Calibri"/>
                <w:b w:val="0"/>
                <w:sz w:val="18"/>
              </w:rPr>
              <w:t>Nombre / Apellido</w:t>
            </w:r>
          </w:p>
        </w:tc>
        <w:tc>
          <w:tcPr>
            <w:tcW w:type="dxa" w:w="1984"/>
          </w:tcPr>
          <w:p>
            <w:r/>
            <w:r>
              <w:rPr>
                <w:rFonts w:ascii="Calibri" w:hAnsi="Calibri"/>
                <w:b w:val="0"/>
                <w:sz w:val="18"/>
              </w:rPr>
              <w:t>nvarchar(100)</w:t>
            </w:r>
          </w:p>
        </w:tc>
        <w:tc>
          <w:tcPr>
            <w:tcW w:type="dxa" w:w="4252"/>
          </w:tcPr>
          <w:p>
            <w:r/>
            <w:r>
              <w:rPr>
                <w:rFonts w:ascii="Calibri" w:hAnsi="Calibri"/>
                <w:b w:val="0"/>
                <w:sz w:val="18"/>
              </w:rPr>
              <w:t>NOT NULL</w:t>
            </w:r>
          </w:p>
        </w:tc>
      </w:tr>
      <w:tr>
        <w:tc>
          <w:tcPr>
            <w:tcW w:type="dxa" w:w="3402"/>
          </w:tcPr>
          <w:p>
            <w:r/>
            <w:r>
              <w:rPr>
                <w:rFonts w:ascii="Calibri" w:hAnsi="Calibri"/>
                <w:b w:val="0"/>
                <w:sz w:val="18"/>
              </w:rPr>
              <w:t>Email</w:t>
            </w:r>
          </w:p>
        </w:tc>
        <w:tc>
          <w:tcPr>
            <w:tcW w:type="dxa" w:w="1984"/>
          </w:tcPr>
          <w:p>
            <w:r/>
            <w:r>
              <w:rPr>
                <w:rFonts w:ascii="Calibri" w:hAnsi="Calibri"/>
                <w:b w:val="0"/>
                <w:sz w:val="18"/>
              </w:rPr>
              <w:t>nvarchar(150)</w:t>
            </w:r>
          </w:p>
        </w:tc>
        <w:tc>
          <w:tcPr>
            <w:tcW w:type="dxa" w:w="4252"/>
          </w:tcPr>
          <w:p>
            <w:r/>
            <w:r>
              <w:rPr>
                <w:rFonts w:ascii="Calibri" w:hAnsi="Calibri"/>
                <w:b w:val="0"/>
                <w:sz w:val="18"/>
              </w:rPr>
              <w:t>UNIQUE, NOT NULL</w:t>
            </w:r>
          </w:p>
        </w:tc>
      </w:tr>
      <w:tr>
        <w:tc>
          <w:tcPr>
            <w:tcW w:type="dxa" w:w="3402"/>
          </w:tcPr>
          <w:p>
            <w:r/>
            <w:r>
              <w:rPr>
                <w:rFonts w:ascii="Calibri" w:hAnsi="Calibri"/>
                <w:b w:val="0"/>
                <w:sz w:val="18"/>
              </w:rPr>
              <w:t>ClaveHash</w:t>
            </w:r>
          </w:p>
        </w:tc>
        <w:tc>
          <w:tcPr>
            <w:tcW w:type="dxa" w:w="1984"/>
          </w:tcPr>
          <w:p>
            <w:r/>
            <w:r>
              <w:rPr>
                <w:rFonts w:ascii="Calibri" w:hAnsi="Calibri"/>
                <w:b w:val="0"/>
                <w:sz w:val="18"/>
              </w:rPr>
              <w:t>nvarchar(100)</w:t>
            </w:r>
          </w:p>
        </w:tc>
        <w:tc>
          <w:tcPr>
            <w:tcW w:type="dxa" w:w="4252"/>
          </w:tcPr>
          <w:p>
            <w:r/>
            <w:r>
              <w:rPr>
                <w:rFonts w:ascii="Calibri" w:hAnsi="Calibri"/>
                <w:b w:val="0"/>
                <w:sz w:val="18"/>
              </w:rPr>
              <w:t>NOT NULL — BCrypt, nunca texto plano</w:t>
            </w:r>
          </w:p>
        </w:tc>
      </w:tr>
      <w:tr>
        <w:tc>
          <w:tcPr>
            <w:tcW w:type="dxa" w:w="3402"/>
          </w:tcPr>
          <w:p>
            <w:r/>
            <w:r>
              <w:rPr>
                <w:rFonts w:ascii="Calibri" w:hAnsi="Calibri"/>
                <w:b w:val="0"/>
                <w:sz w:val="18"/>
              </w:rPr>
              <w:t>RolId</w:t>
            </w:r>
          </w:p>
        </w:tc>
        <w:tc>
          <w:tcPr>
            <w:tcW w:type="dxa" w:w="1984"/>
          </w:tcPr>
          <w:p>
            <w:r/>
            <w:r>
              <w:rPr>
                <w:rFonts w:ascii="Calibri" w:hAnsi="Calibri"/>
                <w:b w:val="0"/>
                <w:sz w:val="18"/>
              </w:rPr>
              <w:t>int</w:t>
            </w:r>
          </w:p>
        </w:tc>
        <w:tc>
          <w:tcPr>
            <w:tcW w:type="dxa" w:w="4252"/>
          </w:tcPr>
          <w:p>
            <w:r/>
            <w:r>
              <w:rPr>
                <w:rFonts w:ascii="Calibri" w:hAnsi="Calibri"/>
                <w:b w:val="0"/>
                <w:sz w:val="18"/>
              </w:rPr>
              <w:t>FK → OPT_Rol</w:t>
            </w:r>
          </w:p>
        </w:tc>
      </w:tr>
      <w:tr>
        <w:tc>
          <w:tcPr>
            <w:tcW w:type="dxa" w:w="3402"/>
          </w:tcPr>
          <w:p>
            <w:r/>
            <w:r>
              <w:rPr>
                <w:rFonts w:ascii="Calibri" w:hAnsi="Calibri"/>
                <w:b w:val="0"/>
                <w:sz w:val="18"/>
              </w:rPr>
              <w:t>SucursalActivaId</w:t>
            </w:r>
          </w:p>
        </w:tc>
        <w:tc>
          <w:tcPr>
            <w:tcW w:type="dxa" w:w="1984"/>
          </w:tcPr>
          <w:p>
            <w:r/>
            <w:r>
              <w:rPr>
                <w:rFonts w:ascii="Calibri" w:hAnsi="Calibri"/>
                <w:b w:val="0"/>
                <w:sz w:val="18"/>
              </w:rPr>
              <w:t>int</w:t>
            </w:r>
          </w:p>
        </w:tc>
        <w:tc>
          <w:tcPr>
            <w:tcW w:type="dxa" w:w="4252"/>
          </w:tcPr>
          <w:p>
            <w:r/>
            <w:r>
              <w:rPr>
                <w:rFonts w:ascii="Calibri" w:hAnsi="Calibri"/>
                <w:b w:val="0"/>
                <w:sz w:val="18"/>
              </w:rPr>
              <w:t>FK → OPT_Sucursal, NULL, ON DELETE SET NULL</w:t>
            </w:r>
          </w:p>
        </w:tc>
      </w:tr>
      <w:tr>
        <w:tc>
          <w:tcPr>
            <w:tcW w:type="dxa" w:w="3402"/>
          </w:tcPr>
          <w:p>
            <w:r/>
            <w:r>
              <w:rPr>
                <w:rFonts w:ascii="Calibri" w:hAnsi="Calibri"/>
                <w:b w:val="0"/>
                <w:sz w:val="18"/>
              </w:rPr>
              <w:t>Activo</w:t>
            </w:r>
          </w:p>
        </w:tc>
        <w:tc>
          <w:tcPr>
            <w:tcW w:type="dxa" w:w="1984"/>
          </w:tcPr>
          <w:p>
            <w:r/>
            <w:r>
              <w:rPr>
                <w:rFonts w:ascii="Calibri" w:hAnsi="Calibri"/>
                <w:b w:val="0"/>
                <w:sz w:val="18"/>
              </w:rPr>
              <w:t>bit</w:t>
            </w:r>
          </w:p>
        </w:tc>
        <w:tc>
          <w:tcPr>
            <w:tcW w:type="dxa" w:w="4252"/>
          </w:tcPr>
          <w:p>
            <w:r/>
            <w:r>
              <w:rPr>
                <w:rFonts w:ascii="Calibri" w:hAnsi="Calibri"/>
                <w:b w:val="0"/>
                <w:sz w:val="18"/>
              </w:rPr>
              <w:t>DEFAULT 1</w:t>
            </w:r>
          </w:p>
        </w:tc>
      </w:tr>
    </w:tbl>
    <w:p>
      <w:pPr>
        <w:spacing w:after="80"/>
      </w:pPr>
    </w:p>
    <w:p>
      <w:pPr>
        <w:spacing w:before="160" w:after="40"/>
      </w:pPr>
      <w:r>
        <w:rPr>
          <w:b/>
          <w:color w:val="2E74B5"/>
          <w:sz w:val="21"/>
        </w:rPr>
        <w:t>OPT_UsuarioSucursal</w:t>
      </w:r>
      <w:r>
        <w:rPr>
          <w:i/>
          <w:color w:val="595959"/>
          <w:sz w:val="19"/>
        </w:rPr>
        <w:t xml:space="preserve">  —  Tabla de unión</w:t>
      </w:r>
    </w:p>
    <w:p>
      <w:pPr>
        <w:spacing w:after="80"/>
      </w:pPr>
      <w:r>
        <w:t>Relación muchos-a-muchos Usuario ↔ Sucursal.</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r>
              <w:rPr>
                <w:rFonts w:ascii="Calibri" w:hAnsi="Calibri"/>
                <w:b w:val="0"/>
                <w:sz w:val="18"/>
              </w:rPr>
              <w:t>UsuarioSucursalId</w:t>
            </w:r>
          </w:p>
        </w:tc>
        <w:tc>
          <w:tcPr>
            <w:tcW w:type="dxa" w:w="1984"/>
          </w:tcPr>
          <w:p>
            <w:r/>
            <w:r>
              <w:rPr>
                <w:rFonts w:ascii="Calibri" w:hAnsi="Calibri"/>
                <w:b w:val="0"/>
                <w:sz w:val="18"/>
              </w:rPr>
              <w:t>int</w:t>
            </w:r>
          </w:p>
        </w:tc>
        <w:tc>
          <w:tcPr>
            <w:tcW w:type="dxa" w:w="4252"/>
          </w:tcPr>
          <w:p>
            <w:r/>
            <w:r>
              <w:rPr>
                <w:rFonts w:ascii="Calibri" w:hAnsi="Calibri"/>
                <w:b w:val="0"/>
                <w:sz w:val="18"/>
              </w:rPr>
              <w:t>PK IDENTITY</w:t>
            </w:r>
          </w:p>
        </w:tc>
      </w:tr>
      <w:tr>
        <w:tc>
          <w:tcPr>
            <w:tcW w:type="dxa" w:w="3402"/>
          </w:tcPr>
          <w:p>
            <w:r/>
            <w:r>
              <w:rPr>
                <w:rFonts w:ascii="Calibri" w:hAnsi="Calibri"/>
                <w:b w:val="0"/>
                <w:sz w:val="18"/>
              </w:rPr>
              <w:t>UsuarioId</w:t>
            </w:r>
          </w:p>
        </w:tc>
        <w:tc>
          <w:tcPr>
            <w:tcW w:type="dxa" w:w="1984"/>
          </w:tcPr>
          <w:p>
            <w:r/>
            <w:r>
              <w:rPr>
                <w:rFonts w:ascii="Calibri" w:hAnsi="Calibri"/>
                <w:b w:val="0"/>
                <w:sz w:val="18"/>
              </w:rPr>
              <w:t>int</w:t>
            </w:r>
          </w:p>
        </w:tc>
        <w:tc>
          <w:tcPr>
            <w:tcW w:type="dxa" w:w="4252"/>
          </w:tcPr>
          <w:p>
            <w:r/>
            <w:r>
              <w:rPr>
                <w:rFonts w:ascii="Calibri" w:hAnsi="Calibri"/>
                <w:b w:val="0"/>
                <w:sz w:val="18"/>
              </w:rPr>
              <w:t>FK → OPT_Usuario (cascade)</w:t>
            </w:r>
          </w:p>
        </w:tc>
      </w:tr>
      <w:tr>
        <w:tc>
          <w:tcPr>
            <w:tcW w:type="dxa" w:w="3402"/>
          </w:tcPr>
          <w:p>
            <w:r/>
            <w:r>
              <w:rPr>
                <w:rFonts w:ascii="Calibri" w:hAnsi="Calibri"/>
                <w:b w:val="0"/>
                <w:sz w:val="18"/>
              </w:rPr>
              <w:t>SucursalId</w:t>
            </w:r>
          </w:p>
        </w:tc>
        <w:tc>
          <w:tcPr>
            <w:tcW w:type="dxa" w:w="1984"/>
          </w:tcPr>
          <w:p>
            <w:r/>
            <w:r>
              <w:rPr>
                <w:rFonts w:ascii="Calibri" w:hAnsi="Calibri"/>
                <w:b w:val="0"/>
                <w:sz w:val="18"/>
              </w:rPr>
              <w:t>int</w:t>
            </w:r>
          </w:p>
        </w:tc>
        <w:tc>
          <w:tcPr>
            <w:tcW w:type="dxa" w:w="4252"/>
          </w:tcPr>
          <w:p>
            <w:r/>
            <w:r>
              <w:rPr>
                <w:rFonts w:ascii="Calibri" w:hAnsi="Calibri"/>
                <w:b w:val="0"/>
                <w:sz w:val="18"/>
              </w:rPr>
              <w:t>FK → OPT_Sucursal</w:t>
            </w:r>
          </w:p>
        </w:tc>
      </w:tr>
      <w:tr>
        <w:tc>
          <w:tcPr>
            <w:tcW w:type="dxa" w:w="3402"/>
          </w:tcPr>
          <w:p>
            <w:r/>
            <w:r>
              <w:rPr>
                <w:rFonts w:ascii="Calibri" w:hAnsi="Calibri"/>
                <w:b w:val="0"/>
                <w:sz w:val="18"/>
              </w:rPr>
              <w:t>(UsuarioId, SucursalId)</w:t>
            </w:r>
          </w:p>
        </w:tc>
        <w:tc>
          <w:tcPr>
            <w:tcW w:type="dxa" w:w="1984"/>
          </w:tcPr>
          <w:p>
            <w:r/>
            <w:r>
              <w:rPr>
                <w:rFonts w:ascii="Calibri" w:hAnsi="Calibri"/>
                <w:b w:val="0"/>
                <w:sz w:val="18"/>
              </w:rPr>
              <w:t>—</w:t>
            </w:r>
          </w:p>
        </w:tc>
        <w:tc>
          <w:tcPr>
            <w:tcW w:type="dxa" w:w="4252"/>
          </w:tcPr>
          <w:p>
            <w:r/>
            <w:r>
              <w:rPr>
                <w:rFonts w:ascii="Calibri" w:hAnsi="Calibri"/>
                <w:b w:val="0"/>
                <w:sz w:val="18"/>
              </w:rPr>
              <w:t>UNIQUE compuesto</w:t>
            </w:r>
          </w:p>
        </w:tc>
      </w:tr>
    </w:tbl>
    <w:p>
      <w:pPr>
        <w:spacing w:after="80"/>
      </w:pPr>
    </w:p>
    <w:p>
      <w:pPr>
        <w:pStyle w:val="Heading3"/>
      </w:pPr>
      <w:r>
        <w:t>Módulo Clínico — datos sensibles (Ley 21.719)</w:t>
      </w:r>
    </w:p>
    <w:p>
      <w:pPr>
        <w:spacing w:before="160" w:after="40"/>
      </w:pPr>
      <w:r>
        <w:rPr>
          <w:b/>
          <w:color w:val="2E74B5"/>
          <w:sz w:val="21"/>
        </w:rPr>
        <w:t>OPT_Cliente</w:t>
      </w:r>
      <w:r>
        <w:rPr>
          <w:i/>
          <w:color w:val="595959"/>
          <w:sz w:val="19"/>
        </w:rPr>
        <w:t xml:space="preserve">  —  Auditable</w:t>
      </w:r>
    </w:p>
    <w:p>
      <w:pPr>
        <w:spacing w:after="80"/>
      </w:pPr>
      <w:r>
        <w:t>Persona atendida (paciente/beneficiario).</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r>
              <w:rPr>
                <w:rFonts w:ascii="Calibri" w:hAnsi="Calibri"/>
                <w:b w:val="0"/>
                <w:sz w:val="18"/>
              </w:rPr>
              <w:t>ClienteId</w:t>
            </w:r>
          </w:p>
        </w:tc>
        <w:tc>
          <w:tcPr>
            <w:tcW w:type="dxa" w:w="1984"/>
          </w:tcPr>
          <w:p>
            <w:r/>
            <w:r>
              <w:rPr>
                <w:rFonts w:ascii="Calibri" w:hAnsi="Calibri"/>
                <w:b w:val="0"/>
                <w:sz w:val="18"/>
              </w:rPr>
              <w:t>int</w:t>
            </w:r>
          </w:p>
        </w:tc>
        <w:tc>
          <w:tcPr>
            <w:tcW w:type="dxa" w:w="4252"/>
          </w:tcPr>
          <w:p>
            <w:r/>
            <w:r>
              <w:rPr>
                <w:rFonts w:ascii="Calibri" w:hAnsi="Calibri"/>
                <w:b w:val="0"/>
                <w:sz w:val="18"/>
              </w:rPr>
              <w:t>PK IDENTITY</w:t>
            </w:r>
          </w:p>
        </w:tc>
      </w:tr>
      <w:tr>
        <w:tc>
          <w:tcPr>
            <w:tcW w:type="dxa" w:w="3402"/>
          </w:tcPr>
          <w:p>
            <w:r/>
            <w:r>
              <w:rPr>
                <w:rFonts w:ascii="Calibri" w:hAnsi="Calibri"/>
                <w:b w:val="0"/>
                <w:sz w:val="18"/>
              </w:rPr>
              <w:t>PublicId</w:t>
            </w:r>
          </w:p>
        </w:tc>
        <w:tc>
          <w:tcPr>
            <w:tcW w:type="dxa" w:w="1984"/>
          </w:tcPr>
          <w:p>
            <w:r/>
            <w:r>
              <w:rPr>
                <w:rFonts w:ascii="Calibri" w:hAnsi="Calibri"/>
                <w:b w:val="0"/>
                <w:sz w:val="18"/>
              </w:rPr>
              <w:t>uniqueidentifier</w:t>
            </w:r>
          </w:p>
        </w:tc>
        <w:tc>
          <w:tcPr>
            <w:tcW w:type="dxa" w:w="4252"/>
          </w:tcPr>
          <w:p>
            <w:r/>
            <w:r>
              <w:rPr>
                <w:rFonts w:ascii="Calibri" w:hAnsi="Calibri"/>
                <w:b w:val="0"/>
                <w:sz w:val="18"/>
              </w:rPr>
              <w:t>UNIQUE, DEFAULT NEWID() — expuesto en API</w:t>
            </w:r>
          </w:p>
        </w:tc>
      </w:tr>
      <w:tr>
        <w:tc>
          <w:tcPr>
            <w:tcW w:type="dxa" w:w="3402"/>
          </w:tcPr>
          <w:p>
            <w:r/>
            <w:r>
              <w:rPr>
                <w:rFonts w:ascii="Calibri" w:hAnsi="Calibri"/>
                <w:b w:val="0"/>
                <w:sz w:val="18"/>
              </w:rPr>
              <w:t>Rut</w:t>
            </w:r>
          </w:p>
        </w:tc>
        <w:tc>
          <w:tcPr>
            <w:tcW w:type="dxa" w:w="1984"/>
          </w:tcPr>
          <w:p>
            <w:r/>
            <w:r>
              <w:rPr>
                <w:rFonts w:ascii="Calibri" w:hAnsi="Calibri"/>
                <w:b w:val="0"/>
                <w:sz w:val="18"/>
              </w:rPr>
              <w:t>nvarchar(12)</w:t>
            </w:r>
          </w:p>
        </w:tc>
        <w:tc>
          <w:tcPr>
            <w:tcW w:type="dxa" w:w="4252"/>
          </w:tcPr>
          <w:p>
            <w:r/>
            <w:r>
              <w:rPr>
                <w:rFonts w:ascii="Calibri" w:hAnsi="Calibri"/>
                <w:b w:val="0"/>
                <w:sz w:val="18"/>
              </w:rPr>
              <w:t>UNIQUE — no es la PK</w:t>
            </w:r>
          </w:p>
        </w:tc>
      </w:tr>
      <w:tr>
        <w:tc>
          <w:tcPr>
            <w:tcW w:type="dxa" w:w="3402"/>
          </w:tcPr>
          <w:p>
            <w:r/>
            <w:r>
              <w:rPr>
                <w:rFonts w:ascii="Calibri" w:hAnsi="Calibri"/>
                <w:b w:val="0"/>
                <w:sz w:val="18"/>
              </w:rPr>
              <w:t>Nombre / Apellido</w:t>
            </w:r>
          </w:p>
        </w:tc>
        <w:tc>
          <w:tcPr>
            <w:tcW w:type="dxa" w:w="1984"/>
          </w:tcPr>
          <w:p>
            <w:r/>
            <w:r>
              <w:rPr>
                <w:rFonts w:ascii="Calibri" w:hAnsi="Calibri"/>
                <w:b w:val="0"/>
                <w:sz w:val="18"/>
              </w:rPr>
              <w:t>nvarchar(100)</w:t>
            </w:r>
          </w:p>
        </w:tc>
        <w:tc>
          <w:tcPr>
            <w:tcW w:type="dxa" w:w="4252"/>
          </w:tcPr>
          <w:p>
            <w:r/>
            <w:r>
              <w:rPr>
                <w:rFonts w:ascii="Calibri" w:hAnsi="Calibri"/>
                <w:b w:val="0"/>
                <w:sz w:val="18"/>
              </w:rPr>
              <w:t>NOT NULL</w:t>
            </w:r>
          </w:p>
        </w:tc>
      </w:tr>
      <w:tr>
        <w:tc>
          <w:tcPr>
            <w:tcW w:type="dxa" w:w="3402"/>
          </w:tcPr>
          <w:p>
            <w:r/>
            <w:r>
              <w:rPr>
                <w:rFonts w:ascii="Calibri" w:hAnsi="Calibri"/>
                <w:b w:val="0"/>
                <w:sz w:val="18"/>
              </w:rPr>
              <w:t>Email / Telefono / Direccion</w:t>
            </w:r>
          </w:p>
        </w:tc>
        <w:tc>
          <w:tcPr>
            <w:tcW w:type="dxa" w:w="1984"/>
          </w:tcPr>
          <w:p>
            <w:r/>
            <w:r>
              <w:rPr>
                <w:rFonts w:ascii="Calibri" w:hAnsi="Calibri"/>
                <w:b w:val="0"/>
                <w:sz w:val="18"/>
              </w:rPr>
              <w:t>nvarchar</w:t>
            </w:r>
          </w:p>
        </w:tc>
        <w:tc>
          <w:tcPr>
            <w:tcW w:type="dxa" w:w="4252"/>
          </w:tcPr>
          <w:p>
            <w:r/>
            <w:r>
              <w:rPr>
                <w:rFonts w:ascii="Calibri" w:hAnsi="Calibri"/>
                <w:b w:val="0"/>
                <w:sz w:val="18"/>
              </w:rPr>
              <w:t>NULL</w:t>
            </w:r>
          </w:p>
        </w:tc>
      </w:tr>
      <w:tr>
        <w:tc>
          <w:tcPr>
            <w:tcW w:type="dxa" w:w="3402"/>
          </w:tcPr>
          <w:p>
            <w:r/>
            <w:r>
              <w:rPr>
                <w:rFonts w:ascii="Calibri" w:hAnsi="Calibri"/>
                <w:b w:val="0"/>
                <w:sz w:val="18"/>
              </w:rPr>
              <w:t>ComunaId</w:t>
            </w:r>
          </w:p>
        </w:tc>
        <w:tc>
          <w:tcPr>
            <w:tcW w:type="dxa" w:w="1984"/>
          </w:tcPr>
          <w:p>
            <w:r/>
            <w:r>
              <w:rPr>
                <w:rFonts w:ascii="Calibri" w:hAnsi="Calibri"/>
                <w:b w:val="0"/>
                <w:sz w:val="18"/>
              </w:rPr>
              <w:t>int</w:t>
            </w:r>
          </w:p>
        </w:tc>
        <w:tc>
          <w:tcPr>
            <w:tcW w:type="dxa" w:w="4252"/>
          </w:tcPr>
          <w:p>
            <w:r/>
            <w:r>
              <w:rPr>
                <w:rFonts w:ascii="Calibri" w:hAnsi="Calibri"/>
                <w:b w:val="0"/>
                <w:sz w:val="18"/>
              </w:rPr>
              <w:t>FK → OPT_Comuna, NULL</w:t>
            </w:r>
          </w:p>
        </w:tc>
      </w:tr>
    </w:tbl>
    <w:p>
      <w:pPr>
        <w:spacing w:after="80"/>
      </w:pPr>
    </w:p>
    <w:p>
      <w:pPr>
        <w:spacing w:before="160" w:after="40"/>
      </w:pPr>
      <w:r>
        <w:rPr>
          <w:b/>
          <w:color w:val="2E74B5"/>
          <w:sz w:val="21"/>
        </w:rPr>
        <w:t>OPT_Anamnesis</w:t>
      </w:r>
      <w:r>
        <w:rPr>
          <w:i/>
          <w:color w:val="595959"/>
          <w:sz w:val="19"/>
        </w:rPr>
        <w:t xml:space="preserve">  —  Auditable — dato sensible</w:t>
      </w:r>
    </w:p>
    <w:p>
      <w:pPr>
        <w:spacing w:after="80"/>
      </w:pPr>
      <w:r>
        <w:t>Antecedentes de salud del cliente.</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r>
              <w:rPr>
                <w:rFonts w:ascii="Calibri" w:hAnsi="Calibri"/>
                <w:b w:val="0"/>
                <w:sz w:val="18"/>
              </w:rPr>
              <w:t>AnamnesisId</w:t>
            </w:r>
          </w:p>
        </w:tc>
        <w:tc>
          <w:tcPr>
            <w:tcW w:type="dxa" w:w="1984"/>
          </w:tcPr>
          <w:p>
            <w:r/>
            <w:r>
              <w:rPr>
                <w:rFonts w:ascii="Calibri" w:hAnsi="Calibri"/>
                <w:b w:val="0"/>
                <w:sz w:val="18"/>
              </w:rPr>
              <w:t>int</w:t>
            </w:r>
          </w:p>
        </w:tc>
        <w:tc>
          <w:tcPr>
            <w:tcW w:type="dxa" w:w="4252"/>
          </w:tcPr>
          <w:p>
            <w:r/>
            <w:r>
              <w:rPr>
                <w:rFonts w:ascii="Calibri" w:hAnsi="Calibri"/>
                <w:b w:val="0"/>
                <w:sz w:val="18"/>
              </w:rPr>
              <w:t>PK IDENTITY</w:t>
            </w:r>
          </w:p>
        </w:tc>
      </w:tr>
      <w:tr>
        <w:tc>
          <w:tcPr>
            <w:tcW w:type="dxa" w:w="3402"/>
          </w:tcPr>
          <w:p>
            <w:r/>
            <w:r>
              <w:rPr>
                <w:rFonts w:ascii="Calibri" w:hAnsi="Calibri"/>
                <w:b w:val="0"/>
                <w:sz w:val="18"/>
              </w:rPr>
              <w:t>PublicId</w:t>
            </w:r>
          </w:p>
        </w:tc>
        <w:tc>
          <w:tcPr>
            <w:tcW w:type="dxa" w:w="1984"/>
          </w:tcPr>
          <w:p>
            <w:r/>
            <w:r>
              <w:rPr>
                <w:rFonts w:ascii="Calibri" w:hAnsi="Calibri"/>
                <w:b w:val="0"/>
                <w:sz w:val="18"/>
              </w:rPr>
              <w:t>uniqueidentifier</w:t>
            </w:r>
          </w:p>
        </w:tc>
        <w:tc>
          <w:tcPr>
            <w:tcW w:type="dxa" w:w="4252"/>
          </w:tcPr>
          <w:p>
            <w:r/>
            <w:r>
              <w:rPr>
                <w:rFonts w:ascii="Calibri" w:hAnsi="Calibri"/>
                <w:b w:val="0"/>
                <w:sz w:val="18"/>
              </w:rPr>
              <w:t>UNIQUE, DEFAULT NEWID()</w:t>
            </w:r>
          </w:p>
        </w:tc>
      </w:tr>
      <w:tr>
        <w:tc>
          <w:tcPr>
            <w:tcW w:type="dxa" w:w="3402"/>
          </w:tcPr>
          <w:p>
            <w:r/>
            <w:r>
              <w:rPr>
                <w:rFonts w:ascii="Calibri" w:hAnsi="Calibri"/>
                <w:b w:val="0"/>
                <w:sz w:val="18"/>
              </w:rPr>
              <w:t>ClienteId</w:t>
            </w:r>
          </w:p>
        </w:tc>
        <w:tc>
          <w:tcPr>
            <w:tcW w:type="dxa" w:w="1984"/>
          </w:tcPr>
          <w:p>
            <w:r/>
            <w:r>
              <w:rPr>
                <w:rFonts w:ascii="Calibri" w:hAnsi="Calibri"/>
                <w:b w:val="0"/>
                <w:sz w:val="18"/>
              </w:rPr>
              <w:t>int</w:t>
            </w:r>
          </w:p>
        </w:tc>
        <w:tc>
          <w:tcPr>
            <w:tcW w:type="dxa" w:w="4252"/>
          </w:tcPr>
          <w:p>
            <w:r/>
            <w:r>
              <w:rPr>
                <w:rFonts w:ascii="Calibri" w:hAnsi="Calibri"/>
                <w:b w:val="0"/>
                <w:sz w:val="18"/>
              </w:rPr>
              <w:t>FK → OPT_Cliente</w:t>
            </w:r>
          </w:p>
        </w:tc>
      </w:tr>
      <w:tr>
        <w:tc>
          <w:tcPr>
            <w:tcW w:type="dxa" w:w="3402"/>
          </w:tcPr>
          <w:p>
            <w:r/>
            <w:r>
              <w:rPr>
                <w:rFonts w:ascii="Calibri" w:hAnsi="Calibri"/>
                <w:b w:val="0"/>
                <w:sz w:val="18"/>
              </w:rPr>
              <w:t>Hipertension / Diabetes / Alergias / UsaLentesPrevio</w:t>
            </w:r>
          </w:p>
        </w:tc>
        <w:tc>
          <w:tcPr>
            <w:tcW w:type="dxa" w:w="1984"/>
          </w:tcPr>
          <w:p>
            <w:r/>
            <w:r>
              <w:rPr>
                <w:rFonts w:ascii="Calibri" w:hAnsi="Calibri"/>
                <w:b w:val="0"/>
                <w:sz w:val="18"/>
              </w:rPr>
              <w:t>bit</w:t>
            </w:r>
          </w:p>
        </w:tc>
        <w:tc>
          <w:tcPr>
            <w:tcW w:type="dxa" w:w="4252"/>
          </w:tcPr>
          <w:p>
            <w:r/>
            <w:r>
              <w:rPr>
                <w:rFonts w:ascii="Calibri" w:hAnsi="Calibri"/>
                <w:b w:val="0"/>
                <w:sz w:val="18"/>
              </w:rPr>
              <w:t>NOT NULL</w:t>
            </w:r>
          </w:p>
        </w:tc>
      </w:tr>
      <w:tr>
        <w:tc>
          <w:tcPr>
            <w:tcW w:type="dxa" w:w="3402"/>
          </w:tcPr>
          <w:p>
            <w:r/>
            <w:r>
              <w:rPr>
                <w:rFonts w:ascii="Calibri" w:hAnsi="Calibri"/>
                <w:b w:val="0"/>
                <w:sz w:val="18"/>
              </w:rPr>
              <w:t>DetalleAlergias / Observaciones</w:t>
            </w:r>
          </w:p>
        </w:tc>
        <w:tc>
          <w:tcPr>
            <w:tcW w:type="dxa" w:w="1984"/>
          </w:tcPr>
          <w:p>
            <w:r/>
            <w:r>
              <w:rPr>
                <w:rFonts w:ascii="Calibri" w:hAnsi="Calibri"/>
                <w:b w:val="0"/>
                <w:sz w:val="18"/>
              </w:rPr>
              <w:t>nvarchar(500)</w:t>
            </w:r>
          </w:p>
        </w:tc>
        <w:tc>
          <w:tcPr>
            <w:tcW w:type="dxa" w:w="4252"/>
          </w:tcPr>
          <w:p>
            <w:r/>
            <w:r>
              <w:rPr>
                <w:rFonts w:ascii="Calibri" w:hAnsi="Calibri"/>
                <w:b w:val="0"/>
                <w:sz w:val="18"/>
              </w:rPr>
              <w:t>NULL</w:t>
            </w:r>
          </w:p>
        </w:tc>
      </w:tr>
    </w:tbl>
    <w:p>
      <w:pPr>
        <w:spacing w:after="80"/>
      </w:pPr>
    </w:p>
    <w:p>
      <w:pPr>
        <w:spacing w:before="160" w:after="40"/>
      </w:pPr>
      <w:r>
        <w:rPr>
          <w:b/>
          <w:color w:val="2E74B5"/>
          <w:sz w:val="21"/>
        </w:rPr>
        <w:t>OPT_RecetaCristales</w:t>
      </w:r>
      <w:r>
        <w:rPr>
          <w:i/>
          <w:color w:val="595959"/>
          <w:sz w:val="19"/>
        </w:rPr>
        <w:t xml:space="preserve">  —  Auditable — dato sensible</w:t>
      </w:r>
    </w:p>
    <w:p>
      <w:pPr>
        <w:spacing w:after="80"/>
      </w:pPr>
      <w:r>
        <w:t>Graduación óptica por ojo, lejos y cerca.</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r>
              <w:rPr>
                <w:rFonts w:ascii="Calibri" w:hAnsi="Calibri"/>
                <w:b w:val="0"/>
                <w:sz w:val="18"/>
              </w:rPr>
              <w:t>RecetaCristalesId</w:t>
            </w:r>
          </w:p>
        </w:tc>
        <w:tc>
          <w:tcPr>
            <w:tcW w:type="dxa" w:w="1984"/>
          </w:tcPr>
          <w:p>
            <w:r/>
            <w:r>
              <w:rPr>
                <w:rFonts w:ascii="Calibri" w:hAnsi="Calibri"/>
                <w:b w:val="0"/>
                <w:sz w:val="18"/>
              </w:rPr>
              <w:t>int</w:t>
            </w:r>
          </w:p>
        </w:tc>
        <w:tc>
          <w:tcPr>
            <w:tcW w:type="dxa" w:w="4252"/>
          </w:tcPr>
          <w:p>
            <w:r/>
            <w:r>
              <w:rPr>
                <w:rFonts w:ascii="Calibri" w:hAnsi="Calibri"/>
                <w:b w:val="0"/>
                <w:sz w:val="18"/>
              </w:rPr>
              <w:t>PK IDENTITY</w:t>
            </w:r>
          </w:p>
        </w:tc>
      </w:tr>
      <w:tr>
        <w:tc>
          <w:tcPr>
            <w:tcW w:type="dxa" w:w="3402"/>
          </w:tcPr>
          <w:p>
            <w:r/>
            <w:r>
              <w:rPr>
                <w:rFonts w:ascii="Calibri" w:hAnsi="Calibri"/>
                <w:b w:val="0"/>
                <w:sz w:val="18"/>
              </w:rPr>
              <w:t>PublicId</w:t>
            </w:r>
          </w:p>
        </w:tc>
        <w:tc>
          <w:tcPr>
            <w:tcW w:type="dxa" w:w="1984"/>
          </w:tcPr>
          <w:p>
            <w:r/>
            <w:r>
              <w:rPr>
                <w:rFonts w:ascii="Calibri" w:hAnsi="Calibri"/>
                <w:b w:val="0"/>
                <w:sz w:val="18"/>
              </w:rPr>
              <w:t>uniqueidentifier</w:t>
            </w:r>
          </w:p>
        </w:tc>
        <w:tc>
          <w:tcPr>
            <w:tcW w:type="dxa" w:w="4252"/>
          </w:tcPr>
          <w:p>
            <w:r/>
            <w:r>
              <w:rPr>
                <w:rFonts w:ascii="Calibri" w:hAnsi="Calibri"/>
                <w:b w:val="0"/>
                <w:sz w:val="18"/>
              </w:rPr>
              <w:t>UNIQUE, DEFAULT NEWID()</w:t>
            </w:r>
          </w:p>
        </w:tc>
      </w:tr>
      <w:tr>
        <w:tc>
          <w:tcPr>
            <w:tcW w:type="dxa" w:w="3402"/>
          </w:tcPr>
          <w:p>
            <w:r/>
            <w:r>
              <w:rPr>
                <w:rFonts w:ascii="Calibri" w:hAnsi="Calibri"/>
                <w:b w:val="0"/>
                <w:sz w:val="18"/>
              </w:rPr>
              <w:t>ClienteId</w:t>
            </w:r>
          </w:p>
        </w:tc>
        <w:tc>
          <w:tcPr>
            <w:tcW w:type="dxa" w:w="1984"/>
          </w:tcPr>
          <w:p>
            <w:r/>
            <w:r>
              <w:rPr>
                <w:rFonts w:ascii="Calibri" w:hAnsi="Calibri"/>
                <w:b w:val="0"/>
                <w:sz w:val="18"/>
              </w:rPr>
              <w:t>int</w:t>
            </w:r>
          </w:p>
        </w:tc>
        <w:tc>
          <w:tcPr>
            <w:tcW w:type="dxa" w:w="4252"/>
          </w:tcPr>
          <w:p>
            <w:r/>
            <w:r>
              <w:rPr>
                <w:rFonts w:ascii="Calibri" w:hAnsi="Calibri"/>
                <w:b w:val="0"/>
                <w:sz w:val="18"/>
              </w:rPr>
              <w:t>FK → OPT_Cliente</w:t>
            </w:r>
          </w:p>
        </w:tc>
      </w:tr>
      <w:tr>
        <w:tc>
          <w:tcPr>
            <w:tcW w:type="dxa" w:w="3402"/>
          </w:tcPr>
          <w:p>
            <w:r/>
            <w:r>
              <w:rPr>
                <w:rFonts w:ascii="Calibri" w:hAnsi="Calibri"/>
                <w:b w:val="0"/>
                <w:sz w:val="18"/>
              </w:rPr>
              <w:t>Od/Oi Esfera/Cilindro Lejos/Cerca</w:t>
            </w:r>
          </w:p>
        </w:tc>
        <w:tc>
          <w:tcPr>
            <w:tcW w:type="dxa" w:w="1984"/>
          </w:tcPr>
          <w:p>
            <w:r/>
            <w:r>
              <w:rPr>
                <w:rFonts w:ascii="Calibri" w:hAnsi="Calibri"/>
                <w:b w:val="0"/>
                <w:sz w:val="18"/>
              </w:rPr>
              <w:t>decimal(5,2)</w:t>
            </w:r>
          </w:p>
        </w:tc>
        <w:tc>
          <w:tcPr>
            <w:tcW w:type="dxa" w:w="4252"/>
          </w:tcPr>
          <w:p>
            <w:r/>
            <w:r>
              <w:rPr>
                <w:rFonts w:ascii="Calibri" w:hAnsi="Calibri"/>
                <w:b w:val="0"/>
                <w:sz w:val="18"/>
              </w:rPr>
              <w:t>NULL — 12 columnas de graduación</w:t>
            </w:r>
          </w:p>
        </w:tc>
      </w:tr>
      <w:tr>
        <w:tc>
          <w:tcPr>
            <w:tcW w:type="dxa" w:w="3402"/>
          </w:tcPr>
          <w:p>
            <w:r/>
            <w:r>
              <w:rPr>
                <w:rFonts w:ascii="Calibri" w:hAnsi="Calibri"/>
                <w:b w:val="0"/>
                <w:sz w:val="18"/>
              </w:rPr>
              <w:t>Od/Oi Eje Lejos/Cerca</w:t>
            </w:r>
          </w:p>
        </w:tc>
        <w:tc>
          <w:tcPr>
            <w:tcW w:type="dxa" w:w="1984"/>
          </w:tcPr>
          <w:p>
            <w:r/>
            <w:r>
              <w:rPr>
                <w:rFonts w:ascii="Calibri" w:hAnsi="Calibri"/>
                <w:b w:val="0"/>
                <w:sz w:val="18"/>
              </w:rPr>
              <w:t>int</w:t>
            </w:r>
          </w:p>
        </w:tc>
        <w:tc>
          <w:tcPr>
            <w:tcW w:type="dxa" w:w="4252"/>
          </w:tcPr>
          <w:p>
            <w:r/>
            <w:r>
              <w:rPr>
                <w:rFonts w:ascii="Calibri" w:hAnsi="Calibri"/>
                <w:b w:val="0"/>
                <w:sz w:val="18"/>
              </w:rPr>
              <w:t>NULL — 4 columnas</w:t>
            </w:r>
          </w:p>
        </w:tc>
      </w:tr>
      <w:tr>
        <w:tc>
          <w:tcPr>
            <w:tcW w:type="dxa" w:w="3402"/>
          </w:tcPr>
          <w:p>
            <w:r/>
            <w:r>
              <w:rPr>
                <w:rFonts w:ascii="Calibri" w:hAnsi="Calibri"/>
                <w:b w:val="0"/>
                <w:sz w:val="18"/>
              </w:rPr>
              <w:t>Urgente / RequiereLab</w:t>
            </w:r>
          </w:p>
        </w:tc>
        <w:tc>
          <w:tcPr>
            <w:tcW w:type="dxa" w:w="1984"/>
          </w:tcPr>
          <w:p>
            <w:r/>
            <w:r>
              <w:rPr>
                <w:rFonts w:ascii="Calibri" w:hAnsi="Calibri"/>
                <w:b w:val="0"/>
                <w:sz w:val="18"/>
              </w:rPr>
              <w:t>bit</w:t>
            </w:r>
          </w:p>
        </w:tc>
        <w:tc>
          <w:tcPr>
            <w:tcW w:type="dxa" w:w="4252"/>
          </w:tcPr>
          <w:p>
            <w:r/>
            <w:r>
              <w:rPr>
                <w:rFonts w:ascii="Calibri" w:hAnsi="Calibri"/>
                <w:b w:val="0"/>
                <w:sz w:val="18"/>
              </w:rPr>
              <w:t>NOT NULL</w:t>
            </w:r>
          </w:p>
        </w:tc>
      </w:tr>
      <w:tr>
        <w:tc>
          <w:tcPr>
            <w:tcW w:type="dxa" w:w="3402"/>
          </w:tcPr>
          <w:p>
            <w:r/>
            <w:r>
              <w:rPr>
                <w:rFonts w:ascii="Calibri" w:hAnsi="Calibri"/>
                <w:b w:val="0"/>
                <w:sz w:val="18"/>
              </w:rPr>
              <w:t>Observaciones</w:t>
            </w:r>
          </w:p>
        </w:tc>
        <w:tc>
          <w:tcPr>
            <w:tcW w:type="dxa" w:w="1984"/>
          </w:tcPr>
          <w:p>
            <w:r/>
            <w:r>
              <w:rPr>
                <w:rFonts w:ascii="Calibri" w:hAnsi="Calibri"/>
                <w:b w:val="0"/>
                <w:sz w:val="18"/>
              </w:rPr>
              <w:t>nvarchar(500)</w:t>
            </w:r>
          </w:p>
        </w:tc>
        <w:tc>
          <w:tcPr>
            <w:tcW w:type="dxa" w:w="4252"/>
          </w:tcPr>
          <w:p>
            <w:r/>
            <w:r>
              <w:rPr>
                <w:rFonts w:ascii="Calibri" w:hAnsi="Calibri"/>
                <w:b w:val="0"/>
                <w:sz w:val="18"/>
              </w:rPr>
              <w:t>NULL</w:t>
            </w:r>
          </w:p>
        </w:tc>
      </w:tr>
    </w:tbl>
    <w:p>
      <w:pPr>
        <w:spacing w:after="80"/>
      </w:pPr>
    </w:p>
    <w:p>
      <w:pPr>
        <w:pStyle w:val="Heading3"/>
      </w:pPr>
      <w:r>
        <w:t>Módulo Comercial</w:t>
      </w:r>
    </w:p>
    <w:p>
      <w:pPr>
        <w:spacing w:before="160" w:after="40"/>
      </w:pPr>
      <w:r>
        <w:rPr>
          <w:b/>
          <w:color w:val="2E74B5"/>
          <w:sz w:val="21"/>
        </w:rPr>
        <w:t>OPT_OrdenDeTrabajo  —  Auditable + PublicId</w:t>
      </w:r>
      <w:r>
        <w:rPr>
          <w:i/>
          <w:color w:val="595959"/>
          <w:sz w:val="19"/>
        </w:rPr>
      </w:r>
    </w:p>
    <w:p>
      <w:pPr>
        <w:spacing w:after="80"/>
      </w:pPr>
      <w:r>
        <w:t>Documento comercial central del sistema y raíz del agregado Comercial. PublicId se agregó en 005_ot_publicid_estado_anulado.sql: es el identificador que se expone en la API (ADR 0007).</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r>
              <w:rPr>
                <w:rFonts w:ascii="Calibri" w:hAnsi="Calibri"/>
                <w:b w:val="0"/>
                <w:sz w:val="18"/>
              </w:rPr>
              <w:t>OrdenDeTrabajoId</w:t>
            </w:r>
          </w:p>
        </w:tc>
        <w:tc>
          <w:tcPr>
            <w:tcW w:type="dxa" w:w="1984"/>
          </w:tcPr>
          <w:p>
            <w:r/>
            <w:r>
              <w:rPr>
                <w:rFonts w:ascii="Calibri" w:hAnsi="Calibri"/>
                <w:b w:val="0"/>
                <w:sz w:val="18"/>
              </w:rPr>
              <w:t>int</w:t>
            </w:r>
          </w:p>
        </w:tc>
        <w:tc>
          <w:tcPr>
            <w:tcW w:type="dxa" w:w="4252"/>
          </w:tcPr>
          <w:p>
            <w:r/>
            <w:r>
              <w:rPr>
                <w:rFonts w:ascii="Calibri" w:hAnsi="Calibri"/>
                <w:b w:val="0"/>
                <w:sz w:val="18"/>
              </w:rPr>
              <w:t>PK IDENTITY</w:t>
            </w:r>
          </w:p>
        </w:tc>
      </w:tr>
      <w:tr>
        <w:tc>
          <w:tcPr>
            <w:tcW w:type="dxa" w:w="3402"/>
          </w:tcPr>
          <w:p>
            <w:r>
              <w:t>PublicId</w:t>
            </w:r>
            <w:r>
              <w:rPr>
                <w:rFonts w:ascii="Calibri" w:hAnsi="Calibri"/>
                <w:b w:val="0"/>
                <w:sz w:val="18"/>
              </w:rPr>
            </w:r>
          </w:p>
        </w:tc>
        <w:tc>
          <w:tcPr>
            <w:tcW w:type="dxa" w:w="1984"/>
          </w:tcPr>
          <w:p>
            <w:r>
              <w:t>uniqueidentifier</w:t>
            </w:r>
            <w:r>
              <w:rPr>
                <w:rFonts w:ascii="Calibri" w:hAnsi="Calibri"/>
                <w:b w:val="0"/>
                <w:sz w:val="18"/>
              </w:rPr>
            </w:r>
          </w:p>
        </w:tc>
        <w:tc>
          <w:tcPr>
            <w:tcW w:type="dxa" w:w="4252"/>
          </w:tcPr>
          <w:p>
            <w:r>
              <w:t>UNIQUE, DEFAULT NEWID() — expuesto en API (005)</w:t>
            </w:r>
            <w:r>
              <w:rPr>
                <w:rFonts w:ascii="Calibri" w:hAnsi="Calibri"/>
                <w:b w:val="0"/>
                <w:sz w:val="18"/>
              </w:rPr>
            </w:r>
          </w:p>
        </w:tc>
      </w:tr>
      <w:tr>
        <w:tc>
          <w:tcPr>
            <w:tcW w:type="dxa" w:w="3402"/>
          </w:tcPr>
          <w:p>
            <w:r/>
            <w:r>
              <w:rPr>
                <w:rFonts w:ascii="Calibri" w:hAnsi="Calibri"/>
                <w:b w:val="0"/>
                <w:sz w:val="18"/>
              </w:rPr>
              <w:t>NumeroOT</w:t>
            </w:r>
          </w:p>
        </w:tc>
        <w:tc>
          <w:tcPr>
            <w:tcW w:type="dxa" w:w="1984"/>
          </w:tcPr>
          <w:p>
            <w:r/>
            <w:r>
              <w:rPr>
                <w:rFonts w:ascii="Calibri" w:hAnsi="Calibri"/>
                <w:b w:val="0"/>
                <w:sz w:val="18"/>
              </w:rPr>
              <w:t>int</w:t>
            </w:r>
          </w:p>
        </w:tc>
        <w:tc>
          <w:tcPr>
            <w:tcW w:type="dxa" w:w="4252"/>
          </w:tcPr>
          <w:p>
            <w:r>
              <w:t>Ingresado manualmente (script 008, 2026-09-11) — único entre OT vigentes del mismo año, validado en la app; índice UQ_OrdenesDeTrabajo_NumeroOT_Vigente filtrado (WHERE EstadoOTId &lt;&gt; 7) como respaldo de la BD</w:t>
            </w:r>
            <w:r>
              <w:rPr>
                <w:rFonts w:ascii="Calibri" w:hAnsi="Calibri"/>
                <w:b w:val="0"/>
                <w:sz w:val="18"/>
              </w:rPr>
            </w:r>
          </w:p>
        </w:tc>
      </w:tr>
      <w:tr>
        <w:tc>
          <w:tcPr>
            <w:tcW w:type="dxa" w:w="3402"/>
          </w:tcPr>
          <w:p>
            <w:r/>
            <w:r>
              <w:rPr>
                <w:rFonts w:ascii="Calibri" w:hAnsi="Calibri"/>
                <w:b w:val="0"/>
                <w:sz w:val="18"/>
              </w:rPr>
              <w:t>ClienteId</w:t>
            </w:r>
          </w:p>
        </w:tc>
        <w:tc>
          <w:tcPr>
            <w:tcW w:type="dxa" w:w="1984"/>
          </w:tcPr>
          <w:p>
            <w:r/>
            <w:r>
              <w:rPr>
                <w:rFonts w:ascii="Calibri" w:hAnsi="Calibri"/>
                <w:b w:val="0"/>
                <w:sz w:val="18"/>
              </w:rPr>
              <w:t>int</w:t>
            </w:r>
          </w:p>
        </w:tc>
        <w:tc>
          <w:tcPr>
            <w:tcW w:type="dxa" w:w="4252"/>
          </w:tcPr>
          <w:p>
            <w:r/>
            <w:r>
              <w:rPr>
                <w:rFonts w:ascii="Calibri" w:hAnsi="Calibri"/>
                <w:b w:val="0"/>
                <w:sz w:val="18"/>
              </w:rPr>
              <w:t>FK → OPT_Cliente</w:t>
            </w:r>
          </w:p>
        </w:tc>
      </w:tr>
      <w:tr>
        <w:tc>
          <w:tcPr>
            <w:tcW w:type="dxa" w:w="3402"/>
          </w:tcPr>
          <w:p>
            <w:r/>
            <w:r>
              <w:rPr>
                <w:rFonts w:ascii="Calibri" w:hAnsi="Calibri"/>
                <w:b w:val="0"/>
                <w:sz w:val="18"/>
              </w:rPr>
              <w:t>SucursalId</w:t>
            </w:r>
          </w:p>
        </w:tc>
        <w:tc>
          <w:tcPr>
            <w:tcW w:type="dxa" w:w="1984"/>
          </w:tcPr>
          <w:p>
            <w:r/>
            <w:r>
              <w:rPr>
                <w:rFonts w:ascii="Calibri" w:hAnsi="Calibri"/>
                <w:b w:val="0"/>
                <w:sz w:val="18"/>
              </w:rPr>
              <w:t>int</w:t>
            </w:r>
          </w:p>
        </w:tc>
        <w:tc>
          <w:tcPr>
            <w:tcW w:type="dxa" w:w="4252"/>
          </w:tcPr>
          <w:p>
            <w:r/>
            <w:r>
              <w:rPr>
                <w:rFonts w:ascii="Calibri" w:hAnsi="Calibri"/>
                <w:b w:val="0"/>
                <w:sz w:val="18"/>
              </w:rPr>
              <w:t>FK → OPT_Sucursal</w:t>
            </w:r>
          </w:p>
        </w:tc>
      </w:tr>
      <w:tr>
        <w:tc>
          <w:tcPr>
            <w:tcW w:type="dxa" w:w="3402"/>
          </w:tcPr>
          <w:p>
            <w:r/>
            <w:r>
              <w:rPr>
                <w:rFonts w:ascii="Calibri" w:hAnsi="Calibri"/>
                <w:b w:val="0"/>
                <w:sz w:val="18"/>
              </w:rPr>
              <w:t>EstadoOTId</w:t>
            </w:r>
          </w:p>
        </w:tc>
        <w:tc>
          <w:tcPr>
            <w:tcW w:type="dxa" w:w="1984"/>
          </w:tcPr>
          <w:p>
            <w:r/>
            <w:r>
              <w:rPr>
                <w:rFonts w:ascii="Calibri" w:hAnsi="Calibri"/>
                <w:b w:val="0"/>
                <w:sz w:val="18"/>
              </w:rPr>
              <w:t>int</w:t>
            </w:r>
          </w:p>
        </w:tc>
        <w:tc>
          <w:tcPr>
            <w:tcW w:type="dxa" w:w="4252"/>
          </w:tcPr>
          <w:p>
            <w:r>
              <w:t>FK → OPT_EstadoOT (FK_OrdenesDeTrabajo_EstadosOT)</w:t>
            </w:r>
            <w:r>
              <w:rPr>
                <w:rFonts w:ascii="Calibri" w:hAnsi="Calibri"/>
                <w:b w:val="0"/>
                <w:sz w:val="18"/>
              </w:rPr>
            </w:r>
          </w:p>
        </w:tc>
      </w:tr>
      <w:tr>
        <w:tc>
          <w:tcPr>
            <w:tcW w:type="dxa" w:w="3402"/>
          </w:tcPr>
          <w:p>
            <w:r/>
            <w:r>
              <w:rPr>
                <w:rFonts w:ascii="Calibri" w:hAnsi="Calibri"/>
                <w:b w:val="0"/>
                <w:sz w:val="18"/>
              </w:rPr>
              <w:t>EmpresaId</w:t>
            </w:r>
          </w:p>
        </w:tc>
        <w:tc>
          <w:tcPr>
            <w:tcW w:type="dxa" w:w="1984"/>
          </w:tcPr>
          <w:p>
            <w:r/>
            <w:r>
              <w:rPr>
                <w:rFonts w:ascii="Calibri" w:hAnsi="Calibri"/>
                <w:b w:val="0"/>
                <w:sz w:val="18"/>
              </w:rPr>
              <w:t>int</w:t>
            </w:r>
          </w:p>
        </w:tc>
        <w:tc>
          <w:tcPr>
            <w:tcW w:type="dxa" w:w="4252"/>
          </w:tcPr>
          <w:p>
            <w:r/>
            <w:r>
              <w:rPr>
                <w:rFonts w:ascii="Calibri" w:hAnsi="Calibri"/>
                <w:b w:val="0"/>
                <w:sz w:val="18"/>
              </w:rPr>
              <w:t>FK → OPT_Empresa, NULL</w:t>
            </w:r>
          </w:p>
        </w:tc>
      </w:tr>
      <w:tr>
        <w:tc>
          <w:tcPr>
            <w:tcW w:type="dxa" w:w="3402"/>
          </w:tcPr>
          <w:p>
            <w:r/>
            <w:r>
              <w:rPr>
                <w:rFonts w:ascii="Calibri" w:hAnsi="Calibri"/>
                <w:b w:val="0"/>
                <w:sz w:val="18"/>
              </w:rPr>
              <w:t>Precio / TotalAbonado / Saldo</w:t>
            </w:r>
          </w:p>
        </w:tc>
        <w:tc>
          <w:tcPr>
            <w:tcW w:type="dxa" w:w="1984"/>
          </w:tcPr>
          <w:p>
            <w:r/>
            <w:r>
              <w:rPr>
                <w:rFonts w:ascii="Calibri" w:hAnsi="Calibri"/>
                <w:b w:val="0"/>
                <w:sz w:val="18"/>
              </w:rPr>
              <w:t>decimal(18,2)</w:t>
            </w:r>
          </w:p>
        </w:tc>
        <w:tc>
          <w:tcPr>
            <w:tcW w:type="dxa" w:w="4252"/>
          </w:tcPr>
          <w:p>
            <w:r/>
            <w:r>
              <w:rPr>
                <w:rFonts w:ascii="Calibri" w:hAnsi="Calibri"/>
                <w:b w:val="0"/>
                <w:sz w:val="18"/>
              </w:rPr>
              <w:t>NOT NULL</w:t>
            </w:r>
          </w:p>
        </w:tc>
      </w:tr>
      <w:tr>
        <w:tc>
          <w:tcPr>
            <w:tcW w:type="dxa" w:w="3402"/>
          </w:tcPr>
          <w:p>
            <w:r/>
            <w:r>
              <w:rPr>
                <w:rFonts w:ascii="Calibri" w:hAnsi="Calibri"/>
                <w:b w:val="0"/>
                <w:sz w:val="18"/>
              </w:rPr>
              <w:t>Observaciones</w:t>
            </w:r>
          </w:p>
        </w:tc>
        <w:tc>
          <w:tcPr>
            <w:tcW w:type="dxa" w:w="1984"/>
          </w:tcPr>
          <w:p>
            <w:r/>
            <w:r>
              <w:rPr>
                <w:rFonts w:ascii="Calibri" w:hAnsi="Calibri"/>
                <w:b w:val="0"/>
                <w:sz w:val="18"/>
              </w:rPr>
              <w:t>nvarchar(500)</w:t>
            </w:r>
          </w:p>
        </w:tc>
        <w:tc>
          <w:tcPr>
            <w:tcW w:type="dxa" w:w="4252"/>
          </w:tcPr>
          <w:p>
            <w:r/>
            <w:r>
              <w:rPr>
                <w:rFonts w:ascii="Calibri" w:hAnsi="Calibri"/>
                <w:b w:val="0"/>
                <w:sz w:val="18"/>
              </w:rPr>
              <w:t>NULL</w:t>
            </w:r>
          </w:p>
        </w:tc>
      </w:tr>
      <w:tr>
        <w:tc>
          <w:tcPr>
            <w:tcW w:type="dxa" w:w="3402"/>
          </w:tcPr>
          <w:p>
            <w:r/>
            <w:r>
              <w:rPr>
                <w:rFonts w:ascii="Calibri" w:hAnsi="Calibri"/>
                <w:b w:val="0"/>
                <w:sz w:val="18"/>
              </w:rPr>
              <w:t>FechaEntrega</w:t>
            </w:r>
          </w:p>
        </w:tc>
        <w:tc>
          <w:tcPr>
            <w:tcW w:type="dxa" w:w="1984"/>
          </w:tcPr>
          <w:p>
            <w:r/>
            <w:r>
              <w:rPr>
                <w:rFonts w:ascii="Calibri" w:hAnsi="Calibri"/>
                <w:b w:val="0"/>
                <w:sz w:val="18"/>
              </w:rPr>
              <w:t>datetimeoffset</w:t>
            </w:r>
          </w:p>
        </w:tc>
        <w:tc>
          <w:tcPr>
            <w:tcW w:type="dxa" w:w="4252"/>
          </w:tcPr>
          <w:p>
            <w:r/>
            <w:r>
              <w:rPr>
                <w:rFonts w:ascii="Calibri" w:hAnsi="Calibri"/>
                <w:b w:val="0"/>
                <w:sz w:val="18"/>
              </w:rPr>
              <w:t>NOT NULL</w:t>
            </w:r>
          </w:p>
        </w:tc>
      </w:tr>
      <w:tr>
        <w:tc>
          <w:tcPr>
            <w:tcW w:type="dxa" w:w="3402"/>
          </w:tcPr>
          <w:p>
            <w:r/>
            <w:r>
              <w:rPr>
                <w:rFonts w:ascii="Calibri" w:hAnsi="Calibri"/>
                <w:b w:val="0"/>
                <w:sz w:val="18"/>
              </w:rPr>
              <w:t>Beneficiario</w:t>
            </w:r>
          </w:p>
        </w:tc>
        <w:tc>
          <w:tcPr>
            <w:tcW w:type="dxa" w:w="1984"/>
          </w:tcPr>
          <w:p>
            <w:r/>
            <w:r>
              <w:rPr>
                <w:rFonts w:ascii="Calibri" w:hAnsi="Calibri"/>
                <w:b w:val="0"/>
                <w:sz w:val="18"/>
              </w:rPr>
              <w:t>nvarchar(100)</w:t>
            </w:r>
          </w:p>
        </w:tc>
        <w:tc>
          <w:tcPr>
            <w:tcW w:type="dxa" w:w="4252"/>
          </w:tcPr>
          <w:p>
            <w:r/>
            <w:r>
              <w:rPr>
                <w:rFonts w:ascii="Calibri" w:hAnsi="Calibri"/>
                <w:b w:val="0"/>
                <w:sz w:val="18"/>
              </w:rPr>
              <w:t>NULL — texto libre, agregada en 004</w:t>
            </w:r>
          </w:p>
        </w:tc>
      </w:tr>
      <w:tr>
        <w:tc>
          <w:tcPr>
            <w:tcW w:type="dxa" w:w="3402"/>
          </w:tcPr>
          <w:p>
            <w:r/>
            <w:r>
              <w:rPr>
                <w:rFonts w:ascii="Calibri" w:hAnsi="Calibri"/>
                <w:b w:val="0"/>
                <w:sz w:val="18"/>
              </w:rPr>
              <w:t>FechaAtencion</w:t>
            </w:r>
          </w:p>
        </w:tc>
        <w:tc>
          <w:tcPr>
            <w:tcW w:type="dxa" w:w="1984"/>
          </w:tcPr>
          <w:p>
            <w:r/>
            <w:r>
              <w:rPr>
                <w:rFonts w:ascii="Calibri" w:hAnsi="Calibri"/>
                <w:b w:val="0"/>
                <w:sz w:val="18"/>
              </w:rPr>
              <w:t>date</w:t>
            </w:r>
          </w:p>
        </w:tc>
        <w:tc>
          <w:tcPr>
            <w:tcW w:type="dxa" w:w="4252"/>
          </w:tcPr>
          <w:p>
            <w:r/>
            <w:r>
              <w:rPr>
                <w:rFonts w:ascii="Calibri" w:hAnsi="Calibri"/>
                <w:b w:val="0"/>
                <w:sz w:val="18"/>
              </w:rPr>
              <w:t>NULL — agregada en 004</w:t>
            </w:r>
          </w:p>
        </w:tc>
      </w:tr>
      <w:tr>
        <w:tc>
          <w:tcPr>
            <w:tcW w:type="dxa" w:w="3402"/>
          </w:tcPr>
          <w:p>
            <w:r/>
            <w:r>
              <w:rPr>
                <w:rFonts w:ascii="Calibri" w:hAnsi="Calibri"/>
                <w:b w:val="0"/>
                <w:sz w:val="18"/>
              </w:rPr>
              <w:t>HoraEntrega</w:t>
            </w:r>
          </w:p>
        </w:tc>
        <w:tc>
          <w:tcPr>
            <w:tcW w:type="dxa" w:w="1984"/>
          </w:tcPr>
          <w:p>
            <w:r/>
            <w:r>
              <w:rPr>
                <w:rFonts w:ascii="Calibri" w:hAnsi="Calibri"/>
                <w:b w:val="0"/>
                <w:sz w:val="18"/>
              </w:rPr>
              <w:t>time(0)</w:t>
            </w:r>
          </w:p>
        </w:tc>
        <w:tc>
          <w:tcPr>
            <w:tcW w:type="dxa" w:w="4252"/>
          </w:tcPr>
          <w:p>
            <w:r/>
            <w:r>
              <w:rPr>
                <w:rFonts w:ascii="Calibri" w:hAnsi="Calibri"/>
                <w:b w:val="0"/>
                <w:sz w:val="18"/>
              </w:rPr>
              <w:t>NULL — agregada en 004</w:t>
            </w:r>
          </w:p>
        </w:tc>
      </w:tr>
      <w:tr>
        <w:tc>
          <w:tcPr>
            <w:tcW w:type="dxa" w:w="3402"/>
          </w:tcPr>
          <w:p>
            <w:r/>
            <w:r>
              <w:rPr>
                <w:rFonts w:ascii="Calibri" w:hAnsi="Calibri"/>
                <w:b w:val="0"/>
                <w:sz w:val="18"/>
              </w:rPr>
              <w:t>NumeroCuotas</w:t>
            </w:r>
          </w:p>
        </w:tc>
        <w:tc>
          <w:tcPr>
            <w:tcW w:type="dxa" w:w="1984"/>
          </w:tcPr>
          <w:p>
            <w:r/>
            <w:r>
              <w:rPr>
                <w:rFonts w:ascii="Calibri" w:hAnsi="Calibri"/>
                <w:b w:val="0"/>
                <w:sz w:val="18"/>
              </w:rPr>
              <w:t>int</w:t>
            </w:r>
          </w:p>
        </w:tc>
        <w:tc>
          <w:tcPr>
            <w:tcW w:type="dxa" w:w="4252"/>
          </w:tcPr>
          <w:p>
            <w:r/>
            <w:r>
              <w:rPr>
                <w:rFonts w:ascii="Calibri" w:hAnsi="Calibri"/>
                <w:b w:val="0"/>
                <w:sz w:val="18"/>
              </w:rPr>
              <w:t>NULL — cuotas pactadas, ver OPT_Cuota. Agregada en 004</w:t>
            </w:r>
          </w:p>
        </w:tc>
      </w:tr>
    </w:tbl>
    <w:p>
      <w:pPr>
        <w:spacing w:after="80"/>
      </w:pPr>
    </w:p>
    <w:p>
      <w:pPr>
        <w:spacing w:before="160" w:after="40"/>
      </w:pPr>
      <w:r>
        <w:rPr>
          <w:b/>
          <w:color w:val="2E74B5"/>
          <w:sz w:val="21"/>
        </w:rPr>
        <w:t>OPT_DetalleOT</w:t>
      </w:r>
      <w:r>
        <w:rPr>
          <w:i/>
          <w:color w:val="595959"/>
          <w:sz w:val="19"/>
        </w:rPr>
        <w:t xml:space="preserve">  —  Auditable</w:t>
      </w:r>
    </w:p>
    <w:p>
      <w:pPr>
        <w:spacing w:after="80"/>
      </w:pPr>
      <w:r>
        <w:t>Línea de producto dentro de una OT.</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r>
              <w:rPr>
                <w:rFonts w:ascii="Calibri" w:hAnsi="Calibri"/>
                <w:b w:val="0"/>
                <w:sz w:val="18"/>
              </w:rPr>
              <w:t>DetalleOTId</w:t>
            </w:r>
          </w:p>
        </w:tc>
        <w:tc>
          <w:tcPr>
            <w:tcW w:type="dxa" w:w="1984"/>
          </w:tcPr>
          <w:p>
            <w:r/>
            <w:r>
              <w:rPr>
                <w:rFonts w:ascii="Calibri" w:hAnsi="Calibri"/>
                <w:b w:val="0"/>
                <w:sz w:val="18"/>
              </w:rPr>
              <w:t>int</w:t>
            </w:r>
          </w:p>
        </w:tc>
        <w:tc>
          <w:tcPr>
            <w:tcW w:type="dxa" w:w="4252"/>
          </w:tcPr>
          <w:p>
            <w:r/>
            <w:r>
              <w:rPr>
                <w:rFonts w:ascii="Calibri" w:hAnsi="Calibri"/>
                <w:b w:val="0"/>
                <w:sz w:val="18"/>
              </w:rPr>
              <w:t>PK IDENTITY</w:t>
            </w:r>
          </w:p>
        </w:tc>
      </w:tr>
      <w:tr>
        <w:tc>
          <w:tcPr>
            <w:tcW w:type="dxa" w:w="3402"/>
          </w:tcPr>
          <w:p>
            <w:r/>
            <w:r>
              <w:rPr>
                <w:rFonts w:ascii="Calibri" w:hAnsi="Calibri"/>
                <w:b w:val="0"/>
                <w:sz w:val="18"/>
              </w:rPr>
              <w:t>OrdenDeTrabajoId</w:t>
            </w:r>
          </w:p>
        </w:tc>
        <w:tc>
          <w:tcPr>
            <w:tcW w:type="dxa" w:w="1984"/>
          </w:tcPr>
          <w:p>
            <w:r/>
            <w:r>
              <w:rPr>
                <w:rFonts w:ascii="Calibri" w:hAnsi="Calibri"/>
                <w:b w:val="0"/>
                <w:sz w:val="18"/>
              </w:rPr>
              <w:t>int</w:t>
            </w:r>
          </w:p>
        </w:tc>
        <w:tc>
          <w:tcPr>
            <w:tcW w:type="dxa" w:w="4252"/>
          </w:tcPr>
          <w:p>
            <w:r/>
            <w:r>
              <w:rPr>
                <w:rFonts w:ascii="Calibri" w:hAnsi="Calibri"/>
                <w:b w:val="0"/>
                <w:sz w:val="18"/>
              </w:rPr>
              <w:t>FK → OPT_OrdenDeTrabajo (cascade)</w:t>
            </w:r>
          </w:p>
        </w:tc>
      </w:tr>
      <w:tr>
        <w:tc>
          <w:tcPr>
            <w:tcW w:type="dxa" w:w="3402"/>
          </w:tcPr>
          <w:p>
            <w:r/>
            <w:r>
              <w:rPr>
                <w:rFonts w:ascii="Calibri" w:hAnsi="Calibri"/>
                <w:b w:val="0"/>
                <w:sz w:val="18"/>
              </w:rPr>
              <w:t>ProductoId</w:t>
            </w:r>
          </w:p>
        </w:tc>
        <w:tc>
          <w:tcPr>
            <w:tcW w:type="dxa" w:w="1984"/>
          </w:tcPr>
          <w:p>
            <w:r/>
            <w:r>
              <w:rPr>
                <w:rFonts w:ascii="Calibri" w:hAnsi="Calibri"/>
                <w:b w:val="0"/>
                <w:sz w:val="18"/>
              </w:rPr>
              <w:t>int</w:t>
            </w:r>
          </w:p>
        </w:tc>
        <w:tc>
          <w:tcPr>
            <w:tcW w:type="dxa" w:w="4252"/>
          </w:tcPr>
          <w:p>
            <w:r/>
            <w:r>
              <w:rPr>
                <w:rFonts w:ascii="Calibri" w:hAnsi="Calibri"/>
                <w:b w:val="0"/>
                <w:sz w:val="18"/>
              </w:rPr>
              <w:t>FK → OPT_Producto</w:t>
            </w:r>
          </w:p>
        </w:tc>
      </w:tr>
      <w:tr>
        <w:tc>
          <w:tcPr>
            <w:tcW w:type="dxa" w:w="3402"/>
          </w:tcPr>
          <w:p>
            <w:r/>
            <w:r>
              <w:rPr>
                <w:rFonts w:ascii="Calibri" w:hAnsi="Calibri"/>
                <w:b w:val="0"/>
                <w:sz w:val="18"/>
              </w:rPr>
              <w:t>Cantidad</w:t>
            </w:r>
          </w:p>
        </w:tc>
        <w:tc>
          <w:tcPr>
            <w:tcW w:type="dxa" w:w="1984"/>
          </w:tcPr>
          <w:p>
            <w:r/>
            <w:r>
              <w:rPr>
                <w:rFonts w:ascii="Calibri" w:hAnsi="Calibri"/>
                <w:b w:val="0"/>
                <w:sz w:val="18"/>
              </w:rPr>
              <w:t>int</w:t>
            </w:r>
          </w:p>
        </w:tc>
        <w:tc>
          <w:tcPr>
            <w:tcW w:type="dxa" w:w="4252"/>
          </w:tcPr>
          <w:p>
            <w:r/>
            <w:r>
              <w:rPr>
                <w:rFonts w:ascii="Calibri" w:hAnsi="Calibri"/>
                <w:b w:val="0"/>
                <w:sz w:val="18"/>
              </w:rPr>
              <w:t>NOT NULL</w:t>
            </w:r>
          </w:p>
        </w:tc>
      </w:tr>
      <w:tr>
        <w:tc>
          <w:tcPr>
            <w:tcW w:type="dxa" w:w="3402"/>
          </w:tcPr>
          <w:p>
            <w:r/>
            <w:r>
              <w:rPr>
                <w:rFonts w:ascii="Calibri" w:hAnsi="Calibri"/>
                <w:b w:val="0"/>
                <w:sz w:val="18"/>
              </w:rPr>
              <w:t>ValorUnitario</w:t>
            </w:r>
          </w:p>
        </w:tc>
        <w:tc>
          <w:tcPr>
            <w:tcW w:type="dxa" w:w="1984"/>
          </w:tcPr>
          <w:p>
            <w:r/>
            <w:r>
              <w:rPr>
                <w:rFonts w:ascii="Calibri" w:hAnsi="Calibri"/>
                <w:b w:val="0"/>
                <w:sz w:val="18"/>
              </w:rPr>
              <w:t>decimal(18,2)</w:t>
            </w:r>
          </w:p>
        </w:tc>
        <w:tc>
          <w:tcPr>
            <w:tcW w:type="dxa" w:w="4252"/>
          </w:tcPr>
          <w:p>
            <w:r/>
            <w:r>
              <w:rPr>
                <w:rFonts w:ascii="Calibri" w:hAnsi="Calibri"/>
                <w:b w:val="0"/>
                <w:sz w:val="18"/>
              </w:rPr>
              <w:t>NOT NULL</w:t>
            </w:r>
          </w:p>
        </w:tc>
      </w:tr>
    </w:tbl>
    <w:p>
      <w:pPr>
        <w:spacing w:after="80"/>
      </w:pPr>
    </w:p>
    <w:p>
      <w:pPr>
        <w:spacing w:before="160" w:after="40"/>
      </w:pPr>
      <w:r>
        <w:rPr>
          <w:b/>
          <w:color w:val="2E74B5"/>
          <w:sz w:val="21"/>
        </w:rPr>
        <w:t>OPT_Abono</w:t>
      </w:r>
      <w:r>
        <w:rPr>
          <w:i/>
          <w:color w:val="595959"/>
          <w:sz w:val="19"/>
        </w:rPr>
        <w:t xml:space="preserve">  —  Auditable</w:t>
      </w:r>
    </w:p>
    <w:p>
      <w:pPr>
        <w:spacing w:after="80"/>
      </w:pPr>
      <w:r>
        <w:t>Abono inicial recibido al crear la OT (los cobros posteriores van en OPT_Pago — son dos flujos distintos, ADR 0006). Ambos suman a TotalAbonado.</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r>
              <w:rPr>
                <w:rFonts w:ascii="Calibri" w:hAnsi="Calibri"/>
                <w:b w:val="0"/>
                <w:sz w:val="18"/>
              </w:rPr>
              <w:t>AbonoId</w:t>
            </w:r>
          </w:p>
        </w:tc>
        <w:tc>
          <w:tcPr>
            <w:tcW w:type="dxa" w:w="1984"/>
          </w:tcPr>
          <w:p>
            <w:r/>
            <w:r>
              <w:rPr>
                <w:rFonts w:ascii="Calibri" w:hAnsi="Calibri"/>
                <w:b w:val="0"/>
                <w:sz w:val="18"/>
              </w:rPr>
              <w:t>int</w:t>
            </w:r>
          </w:p>
        </w:tc>
        <w:tc>
          <w:tcPr>
            <w:tcW w:type="dxa" w:w="4252"/>
          </w:tcPr>
          <w:p>
            <w:r/>
            <w:r>
              <w:rPr>
                <w:rFonts w:ascii="Calibri" w:hAnsi="Calibri"/>
                <w:b w:val="0"/>
                <w:sz w:val="18"/>
              </w:rPr>
              <w:t>PK IDENTITY</w:t>
            </w:r>
          </w:p>
        </w:tc>
      </w:tr>
      <w:tr>
        <w:tc>
          <w:tcPr>
            <w:tcW w:type="dxa" w:w="3402"/>
          </w:tcPr>
          <w:p>
            <w:r/>
            <w:r>
              <w:rPr>
                <w:rFonts w:ascii="Calibri" w:hAnsi="Calibri"/>
                <w:b w:val="0"/>
                <w:sz w:val="18"/>
              </w:rPr>
              <w:t>OrdenDeTrabajoId</w:t>
            </w:r>
          </w:p>
        </w:tc>
        <w:tc>
          <w:tcPr>
            <w:tcW w:type="dxa" w:w="1984"/>
          </w:tcPr>
          <w:p>
            <w:r/>
            <w:r>
              <w:rPr>
                <w:rFonts w:ascii="Calibri" w:hAnsi="Calibri"/>
                <w:b w:val="0"/>
                <w:sz w:val="18"/>
              </w:rPr>
              <w:t>int</w:t>
            </w:r>
          </w:p>
        </w:tc>
        <w:tc>
          <w:tcPr>
            <w:tcW w:type="dxa" w:w="4252"/>
          </w:tcPr>
          <w:p>
            <w:r/>
            <w:r>
              <w:rPr>
                <w:rFonts w:ascii="Calibri" w:hAnsi="Calibri"/>
                <w:b w:val="0"/>
                <w:sz w:val="18"/>
              </w:rPr>
              <w:t>FK → OPT_OrdenDeTrabajo</w:t>
            </w:r>
          </w:p>
        </w:tc>
      </w:tr>
      <w:tr>
        <w:tc>
          <w:tcPr>
            <w:tcW w:type="dxa" w:w="3402"/>
          </w:tcPr>
          <w:p>
            <w:r/>
            <w:r>
              <w:rPr>
                <w:rFonts w:ascii="Calibri" w:hAnsi="Calibri"/>
                <w:b w:val="0"/>
                <w:sz w:val="18"/>
              </w:rPr>
              <w:t>Monto</w:t>
            </w:r>
          </w:p>
        </w:tc>
        <w:tc>
          <w:tcPr>
            <w:tcW w:type="dxa" w:w="1984"/>
          </w:tcPr>
          <w:p>
            <w:r/>
            <w:r>
              <w:rPr>
                <w:rFonts w:ascii="Calibri" w:hAnsi="Calibri"/>
                <w:b w:val="0"/>
                <w:sz w:val="18"/>
              </w:rPr>
              <w:t>decimal(18,2)</w:t>
            </w:r>
          </w:p>
        </w:tc>
        <w:tc>
          <w:tcPr>
            <w:tcW w:type="dxa" w:w="4252"/>
          </w:tcPr>
          <w:p>
            <w:r/>
            <w:r>
              <w:rPr>
                <w:rFonts w:ascii="Calibri" w:hAnsi="Calibri"/>
                <w:b w:val="0"/>
                <w:sz w:val="18"/>
              </w:rPr>
              <w:t>NOT NULL</w:t>
            </w:r>
          </w:p>
        </w:tc>
      </w:tr>
      <w:tr>
        <w:tc>
          <w:tcPr>
            <w:tcW w:type="dxa" w:w="3402"/>
          </w:tcPr>
          <w:p>
            <w:r/>
            <w:r>
              <w:rPr>
                <w:rFonts w:ascii="Calibri" w:hAnsi="Calibri"/>
                <w:b w:val="0"/>
                <w:sz w:val="18"/>
              </w:rPr>
              <w:t>FormaPagoId</w:t>
            </w:r>
          </w:p>
        </w:tc>
        <w:tc>
          <w:tcPr>
            <w:tcW w:type="dxa" w:w="1984"/>
          </w:tcPr>
          <w:p>
            <w:r/>
            <w:r>
              <w:rPr>
                <w:rFonts w:ascii="Calibri" w:hAnsi="Calibri"/>
                <w:b w:val="0"/>
                <w:sz w:val="18"/>
              </w:rPr>
              <w:t>int</w:t>
            </w:r>
          </w:p>
        </w:tc>
        <w:tc>
          <w:tcPr>
            <w:tcW w:type="dxa" w:w="4252"/>
          </w:tcPr>
          <w:p>
            <w:r>
              <w:t>FK → OPT_FormaPago (FK_Abonos_FormasPago)</w:t>
            </w:r>
            <w:r>
              <w:rPr>
                <w:rFonts w:ascii="Calibri" w:hAnsi="Calibri"/>
                <w:b w:val="0"/>
                <w:sz w:val="18"/>
              </w:rPr>
            </w:r>
          </w:p>
        </w:tc>
      </w:tr>
      <w:tr>
        <w:tc>
          <w:tcPr>
            <w:tcW w:type="dxa" w:w="3402"/>
          </w:tcPr>
          <w:p>
            <w:r/>
            <w:r>
              <w:rPr>
                <w:rFonts w:ascii="Calibri" w:hAnsi="Calibri"/>
                <w:b w:val="0"/>
                <w:sz w:val="18"/>
              </w:rPr>
              <w:t>Referencia</w:t>
            </w:r>
          </w:p>
        </w:tc>
        <w:tc>
          <w:tcPr>
            <w:tcW w:type="dxa" w:w="1984"/>
          </w:tcPr>
          <w:p>
            <w:r/>
            <w:r>
              <w:rPr>
                <w:rFonts w:ascii="Calibri" w:hAnsi="Calibri"/>
                <w:b w:val="0"/>
                <w:sz w:val="18"/>
              </w:rPr>
              <w:t>nvarchar(50)</w:t>
            </w:r>
          </w:p>
        </w:tc>
        <w:tc>
          <w:tcPr>
            <w:tcW w:type="dxa" w:w="4252"/>
          </w:tcPr>
          <w:p>
            <w:r/>
            <w:r>
              <w:rPr>
                <w:rFonts w:ascii="Calibri" w:hAnsi="Calibri"/>
                <w:b w:val="0"/>
                <w:sz w:val="18"/>
              </w:rPr>
              <w:t>NULL</w:t>
            </w:r>
          </w:p>
        </w:tc>
      </w:tr>
    </w:tbl>
    <w:p>
      <w:pPr>
        <w:spacing w:after="80"/>
      </w:pPr>
    </w:p>
    <w:p>
      <w:pPr>
        <w:spacing w:before="160" w:after="40"/>
      </w:pPr>
      <w:r>
        <w:rPr>
          <w:b/>
          <w:color w:val="2E74B5"/>
          <w:sz w:val="21"/>
        </w:rPr>
        <w:t>OPT_BitacoraOT</w:t>
      </w:r>
      <w:r>
        <w:rPr>
          <w:i/>
          <w:color w:val="595959"/>
          <w:sz w:val="19"/>
        </w:rPr>
        <w:t xml:space="preserve">  —  Auditable</w:t>
      </w:r>
    </w:p>
    <w:p>
      <w:pPr>
        <w:spacing w:after="80"/>
      </w:pPr>
      <w:r>
        <w:t>Historial de cambios de estado de una OT.</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r>
              <w:rPr>
                <w:rFonts w:ascii="Calibri" w:hAnsi="Calibri"/>
                <w:b w:val="0"/>
                <w:sz w:val="18"/>
              </w:rPr>
              <w:t>BitacoraOTId</w:t>
            </w:r>
          </w:p>
        </w:tc>
        <w:tc>
          <w:tcPr>
            <w:tcW w:type="dxa" w:w="1984"/>
          </w:tcPr>
          <w:p>
            <w:r/>
            <w:r>
              <w:rPr>
                <w:rFonts w:ascii="Calibri" w:hAnsi="Calibri"/>
                <w:b w:val="0"/>
                <w:sz w:val="18"/>
              </w:rPr>
              <w:t>int</w:t>
            </w:r>
          </w:p>
        </w:tc>
        <w:tc>
          <w:tcPr>
            <w:tcW w:type="dxa" w:w="4252"/>
          </w:tcPr>
          <w:p>
            <w:r/>
            <w:r>
              <w:rPr>
                <w:rFonts w:ascii="Calibri" w:hAnsi="Calibri"/>
                <w:b w:val="0"/>
                <w:sz w:val="18"/>
              </w:rPr>
              <w:t>PK IDENTITY</w:t>
            </w:r>
          </w:p>
        </w:tc>
      </w:tr>
      <w:tr>
        <w:tc>
          <w:tcPr>
            <w:tcW w:type="dxa" w:w="3402"/>
          </w:tcPr>
          <w:p>
            <w:r/>
            <w:r>
              <w:rPr>
                <w:rFonts w:ascii="Calibri" w:hAnsi="Calibri"/>
                <w:b w:val="0"/>
                <w:sz w:val="18"/>
              </w:rPr>
              <w:t>OrdenDeTrabajoId</w:t>
            </w:r>
          </w:p>
        </w:tc>
        <w:tc>
          <w:tcPr>
            <w:tcW w:type="dxa" w:w="1984"/>
          </w:tcPr>
          <w:p>
            <w:r/>
            <w:r>
              <w:rPr>
                <w:rFonts w:ascii="Calibri" w:hAnsi="Calibri"/>
                <w:b w:val="0"/>
                <w:sz w:val="18"/>
              </w:rPr>
              <w:t>int</w:t>
            </w:r>
          </w:p>
        </w:tc>
        <w:tc>
          <w:tcPr>
            <w:tcW w:type="dxa" w:w="4252"/>
          </w:tcPr>
          <w:p>
            <w:r/>
            <w:r>
              <w:rPr>
                <w:rFonts w:ascii="Calibri" w:hAnsi="Calibri"/>
                <w:b w:val="0"/>
                <w:sz w:val="18"/>
              </w:rPr>
              <w:t>FK → OPT_OrdenDeTrabajo</w:t>
            </w:r>
          </w:p>
        </w:tc>
      </w:tr>
      <w:tr>
        <w:tc>
          <w:tcPr>
            <w:tcW w:type="dxa" w:w="3402"/>
          </w:tcPr>
          <w:p>
            <w:r/>
            <w:r>
              <w:rPr>
                <w:rFonts w:ascii="Calibri" w:hAnsi="Calibri"/>
                <w:b w:val="0"/>
                <w:sz w:val="18"/>
              </w:rPr>
              <w:t>EstadoAnteriorId / EstadoNuevoId</w:t>
            </w:r>
          </w:p>
        </w:tc>
        <w:tc>
          <w:tcPr>
            <w:tcW w:type="dxa" w:w="1984"/>
          </w:tcPr>
          <w:p>
            <w:r/>
            <w:r>
              <w:rPr>
                <w:rFonts w:ascii="Calibri" w:hAnsi="Calibri"/>
                <w:b w:val="0"/>
                <w:sz w:val="18"/>
              </w:rPr>
              <w:t>int</w:t>
            </w:r>
          </w:p>
        </w:tc>
        <w:tc>
          <w:tcPr>
            <w:tcW w:type="dxa" w:w="4252"/>
          </w:tcPr>
          <w:p>
            <w:r/>
            <w:r>
              <w:rPr>
                <w:rFonts w:ascii="Calibri" w:hAnsi="Calibri"/>
                <w:b w:val="0"/>
                <w:sz w:val="18"/>
              </w:rPr>
              <w:t>NOT NULL — sin FK real, ver 7.6</w:t>
            </w:r>
          </w:p>
        </w:tc>
      </w:tr>
      <w:tr>
        <w:tc>
          <w:tcPr>
            <w:tcW w:type="dxa" w:w="3402"/>
          </w:tcPr>
          <w:p>
            <w:r/>
            <w:r>
              <w:rPr>
                <w:rFonts w:ascii="Calibri" w:hAnsi="Calibri"/>
                <w:b w:val="0"/>
                <w:sz w:val="18"/>
              </w:rPr>
              <w:t>Observacion</w:t>
            </w:r>
          </w:p>
        </w:tc>
        <w:tc>
          <w:tcPr>
            <w:tcW w:type="dxa" w:w="1984"/>
          </w:tcPr>
          <w:p>
            <w:r/>
            <w:r>
              <w:rPr>
                <w:rFonts w:ascii="Calibri" w:hAnsi="Calibri"/>
                <w:b w:val="0"/>
                <w:sz w:val="18"/>
              </w:rPr>
              <w:t>nvarchar(200)</w:t>
            </w:r>
          </w:p>
        </w:tc>
        <w:tc>
          <w:tcPr>
            <w:tcW w:type="dxa" w:w="4252"/>
          </w:tcPr>
          <w:p>
            <w:r/>
            <w:r>
              <w:rPr>
                <w:rFonts w:ascii="Calibri" w:hAnsi="Calibri"/>
                <w:b w:val="0"/>
                <w:sz w:val="18"/>
              </w:rPr>
              <w:t>NULL</w:t>
            </w:r>
          </w:p>
        </w:tc>
      </w:tr>
    </w:tbl>
    <w:p>
      <w:pPr/>
      <w:r>
        <w:t>OPT_EstadoOT  —  Catálogo (sin auditoría)</w:t>
      </w:r>
    </w:p>
    <w:p>
      <w:pPr/>
      <w:r>
        <w:t>Estados del ciclo de vida de una OT (8 valores: los 7 heredados del legacy más ANULADO, agregado en 005_ot_publicid_estado_anulado.sql). Sembrada con HasData(). ENTREGADO (6) y ANULADO (7) son terminales — ver el flujo completo en 3.2.3 y en el ADR 0007.</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t>Id</w:t>
            </w:r>
          </w:p>
        </w:tc>
        <w:tc>
          <w:tcPr>
            <w:tcW w:type="dxa" w:w="1984"/>
          </w:tcPr>
          <w:p>
            <w:r>
              <w:t>int</w:t>
            </w:r>
          </w:p>
        </w:tc>
        <w:tc>
          <w:tcPr>
            <w:tcW w:type="dxa" w:w="4252"/>
          </w:tcPr>
          <w:p>
            <w:r>
              <w:t>PK, ValueGeneratedNever (0-6 heredados del legacy, 7 = ANULADO agregado en 005)</w:t>
            </w:r>
          </w:p>
        </w:tc>
      </w:tr>
      <w:tr>
        <w:tc>
          <w:tcPr>
            <w:tcW w:type="dxa" w:w="3402"/>
          </w:tcPr>
          <w:p>
            <w:r>
              <w:t>Nombre</w:t>
            </w:r>
          </w:p>
        </w:tc>
        <w:tc>
          <w:tcPr>
            <w:tcW w:type="dxa" w:w="1984"/>
          </w:tcPr>
          <w:p>
            <w:r>
              <w:t>nvarchar(50)</w:t>
            </w:r>
          </w:p>
        </w:tc>
        <w:tc>
          <w:tcPr>
            <w:tcW w:type="dxa" w:w="4252"/>
          </w:tcPr>
          <w:p>
            <w:r>
              <w:t>UNIQUE (INGRESADO, EN PROCESO, MONTAJE, LABORATORIO, CALIDAD, DESPACHO, ENTREGADO, ANULADO, ENTREGADO)</w:t>
            </w:r>
          </w:p>
        </w:tc>
      </w:tr>
    </w:tbl>
    <w:p>
      <w:pPr/>
      <w:r>
        <w:t>OPT_FormaPago  —  Catálogo (sin auditoría)</w:t>
      </w:r>
    </w:p>
    <w:p>
      <w:pPr/>
      <w:r>
        <w:t>Medios de pago aceptados. Ids 0-4 heredados del legacy, sembrados con HasData(); id 5 = CHEQUE agregado por INSERT idempotente en 004_comercial_pagos_cuotas.sql (el legacy lo usaba como texto libre en OPT_Pago.TipoPago sin tenerlo en su catálogo).</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t>Id</w:t>
            </w:r>
          </w:p>
        </w:tc>
        <w:tc>
          <w:tcPr>
            <w:tcW w:type="dxa" w:w="1984"/>
          </w:tcPr>
          <w:p>
            <w:r>
              <w:t>int</w:t>
            </w:r>
          </w:p>
        </w:tc>
        <w:tc>
          <w:tcPr>
            <w:tcW w:type="dxa" w:w="4252"/>
          </w:tcPr>
          <w:p>
            <w:r>
              <w:t>PK, ValueGeneratedNever (0-4, ids heredados del legacy)</w:t>
            </w:r>
          </w:p>
        </w:tc>
      </w:tr>
      <w:tr>
        <w:tc>
          <w:tcPr>
            <w:tcW w:type="dxa" w:w="3402"/>
          </w:tcPr>
          <w:p>
            <w:r>
              <w:t>Nombre</w:t>
            </w:r>
          </w:p>
        </w:tc>
        <w:tc>
          <w:tcPr>
            <w:tcW w:type="dxa" w:w="1984"/>
          </w:tcPr>
          <w:p>
            <w:r>
              <w:t>nvarchar(50)</w:t>
            </w:r>
          </w:p>
        </w:tc>
        <w:tc>
          <w:tcPr>
            <w:tcW w:type="dxa" w:w="4252"/>
          </w:tcPr>
          <w:p>
            <w:r>
              <w:t>UNIQUE (SIN INFORMACION, EFECTIVO, TARJETA CREDITO, TARJETA DEBITO, TRANSFERENCIA)</w:t>
            </w:r>
          </w:p>
        </w:tc>
      </w:tr>
    </w:tbl>
    <w:p>
      <w:pPr>
        <w:spacing w:before="160" w:after="40"/>
      </w:pPr>
      <w:r>
        <w:rPr>
          <w:b/>
          <w:color w:val="2E74B5"/>
          <w:sz w:val="21"/>
        </w:rPr>
        <w:t>OPT_EstadoCuota  —  Catálogo (sin auditoría)</w:t>
      </w:r>
      <w:r>
        <w:rPr>
          <w:i/>
          <w:color w:val="595959"/>
          <w:sz w:val="19"/>
        </w:rPr>
      </w:r>
    </w:p>
    <w:p>
      <w:pPr>
        <w:spacing w:after="80"/>
      </w:pPr>
      <w:r>
        <w:t>Estado de cobranza de una Cuota (3 valores). Creado en 004_comercial_pagos_cuotas.sql — el legacy tenía este dato como texto libre.</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r>
              <w:rPr>
                <w:rFonts w:ascii="Calibri" w:hAnsi="Calibri"/>
                <w:b w:val="0"/>
                <w:sz w:val="18"/>
              </w:rPr>
              <w:t>Id</w:t>
            </w:r>
          </w:p>
        </w:tc>
        <w:tc>
          <w:tcPr>
            <w:tcW w:type="dxa" w:w="1984"/>
          </w:tcPr>
          <w:p>
            <w:r/>
            <w:r>
              <w:rPr>
                <w:rFonts w:ascii="Calibri" w:hAnsi="Calibri"/>
                <w:b w:val="0"/>
                <w:sz w:val="18"/>
              </w:rPr>
              <w:t>int</w:t>
            </w:r>
          </w:p>
        </w:tc>
        <w:tc>
          <w:tcPr>
            <w:tcW w:type="dxa" w:w="4252"/>
          </w:tcPr>
          <w:p>
            <w:r/>
            <w:r>
              <w:rPr>
                <w:rFonts w:ascii="Calibri" w:hAnsi="Calibri"/>
                <w:b w:val="0"/>
                <w:sz w:val="18"/>
              </w:rPr>
              <w:t>PK, ValueGeneratedNever</w:t>
            </w:r>
          </w:p>
        </w:tc>
      </w:tr>
      <w:tr>
        <w:tc>
          <w:tcPr>
            <w:tcW w:type="dxa" w:w="3402"/>
          </w:tcPr>
          <w:p>
            <w:r/>
            <w:r>
              <w:rPr>
                <w:rFonts w:ascii="Calibri" w:hAnsi="Calibri"/>
                <w:b w:val="0"/>
                <w:sz w:val="18"/>
              </w:rPr>
              <w:t>Nombre</w:t>
            </w:r>
          </w:p>
        </w:tc>
        <w:tc>
          <w:tcPr>
            <w:tcW w:type="dxa" w:w="1984"/>
          </w:tcPr>
          <w:p>
            <w:r/>
            <w:r>
              <w:rPr>
                <w:rFonts w:ascii="Calibri" w:hAnsi="Calibri"/>
                <w:b w:val="0"/>
                <w:sz w:val="18"/>
              </w:rPr>
              <w:t>nvarchar(100)</w:t>
            </w:r>
          </w:p>
        </w:tc>
        <w:tc>
          <w:tcPr>
            <w:tcW w:type="dxa" w:w="4252"/>
          </w:tcPr>
          <w:p>
            <w:r/>
            <w:r>
              <w:rPr>
                <w:rFonts w:ascii="Calibri" w:hAnsi="Calibri"/>
                <w:b w:val="0"/>
                <w:sz w:val="18"/>
              </w:rPr>
              <w:t>PENDIENTE / PAGADA / ANULADA</w:t>
            </w:r>
          </w:p>
        </w:tc>
      </w:tr>
    </w:tbl>
    <w:p>
      <w:pPr>
        <w:spacing w:before="160" w:after="40"/>
      </w:pPr>
      <w:r>
        <w:rPr>
          <w:b/>
          <w:color w:val="2E74B5"/>
          <w:sz w:val="21"/>
        </w:rPr>
        <w:t>OPT_Pago  —  Auditable</w:t>
      </w:r>
      <w:r>
        <w:rPr>
          <w:i/>
          <w:color w:val="595959"/>
          <w:sz w:val="19"/>
        </w:rPr>
      </w:r>
    </w:p>
    <w:p>
      <w:pPr>
        <w:spacing w:after="80"/>
      </w:pPr>
      <w:r>
        <w:t>Pago posterior al abono inicial contra una OT. Creado en 004_comercial_pagos_cuotas.sql. En el legacy estos montos NO se descontaban del saldo — la migración recalculó TotalAbonado = abonos + pagos (ver 13.3 y ADR 0006).</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r>
              <w:rPr>
                <w:rFonts w:ascii="Calibri" w:hAnsi="Calibri"/>
                <w:b w:val="0"/>
                <w:sz w:val="18"/>
              </w:rPr>
              <w:t>PagoId</w:t>
            </w:r>
          </w:p>
        </w:tc>
        <w:tc>
          <w:tcPr>
            <w:tcW w:type="dxa" w:w="1984"/>
          </w:tcPr>
          <w:p>
            <w:r/>
            <w:r>
              <w:rPr>
                <w:rFonts w:ascii="Calibri" w:hAnsi="Calibri"/>
                <w:b w:val="0"/>
                <w:sz w:val="18"/>
              </w:rPr>
              <w:t>int</w:t>
            </w:r>
          </w:p>
        </w:tc>
        <w:tc>
          <w:tcPr>
            <w:tcW w:type="dxa" w:w="4252"/>
          </w:tcPr>
          <w:p>
            <w:r/>
            <w:r>
              <w:rPr>
                <w:rFonts w:ascii="Calibri" w:hAnsi="Calibri"/>
                <w:b w:val="0"/>
                <w:sz w:val="18"/>
              </w:rPr>
              <w:t>PK IDENTITY</w:t>
            </w:r>
          </w:p>
        </w:tc>
      </w:tr>
      <w:tr>
        <w:tc>
          <w:tcPr>
            <w:tcW w:type="dxa" w:w="3402"/>
          </w:tcPr>
          <w:p>
            <w:r/>
            <w:r>
              <w:rPr>
                <w:rFonts w:ascii="Calibri" w:hAnsi="Calibri"/>
                <w:b w:val="0"/>
                <w:sz w:val="18"/>
              </w:rPr>
              <w:t>OrdenDeTrabajoId</w:t>
            </w:r>
          </w:p>
        </w:tc>
        <w:tc>
          <w:tcPr>
            <w:tcW w:type="dxa" w:w="1984"/>
          </w:tcPr>
          <w:p>
            <w:r/>
            <w:r>
              <w:rPr>
                <w:rFonts w:ascii="Calibri" w:hAnsi="Calibri"/>
                <w:b w:val="0"/>
                <w:sz w:val="18"/>
              </w:rPr>
              <w:t>int</w:t>
            </w:r>
          </w:p>
        </w:tc>
        <w:tc>
          <w:tcPr>
            <w:tcW w:type="dxa" w:w="4252"/>
          </w:tcPr>
          <w:p>
            <w:r/>
            <w:r>
              <w:rPr>
                <w:rFonts w:ascii="Calibri" w:hAnsi="Calibri"/>
                <w:b w:val="0"/>
                <w:sz w:val="18"/>
              </w:rPr>
              <w:t>FK → OPT_OrdenDeTrabajo (FK_Pagos_OrdenesDeTrabajo)</w:t>
            </w:r>
          </w:p>
        </w:tc>
      </w:tr>
      <w:tr>
        <w:tc>
          <w:tcPr>
            <w:tcW w:type="dxa" w:w="3402"/>
          </w:tcPr>
          <w:p>
            <w:r/>
            <w:r>
              <w:rPr>
                <w:rFonts w:ascii="Calibri" w:hAnsi="Calibri"/>
                <w:b w:val="0"/>
                <w:sz w:val="18"/>
              </w:rPr>
              <w:t>FechaPago</w:t>
            </w:r>
          </w:p>
        </w:tc>
        <w:tc>
          <w:tcPr>
            <w:tcW w:type="dxa" w:w="1984"/>
          </w:tcPr>
          <w:p>
            <w:r/>
            <w:r>
              <w:rPr>
                <w:rFonts w:ascii="Calibri" w:hAnsi="Calibri"/>
                <w:b w:val="0"/>
                <w:sz w:val="18"/>
              </w:rPr>
              <w:t>datetimeoffset</w:t>
            </w:r>
          </w:p>
        </w:tc>
        <w:tc>
          <w:tcPr>
            <w:tcW w:type="dxa" w:w="4252"/>
          </w:tcPr>
          <w:p>
            <w:r/>
            <w:r>
              <w:rPr>
                <w:rFonts w:ascii="Calibri" w:hAnsi="Calibri"/>
                <w:b w:val="0"/>
                <w:sz w:val="18"/>
              </w:rPr>
              <w:t>NOT NULL</w:t>
            </w:r>
          </w:p>
        </w:tc>
      </w:tr>
      <w:tr>
        <w:tc>
          <w:tcPr>
            <w:tcW w:type="dxa" w:w="3402"/>
          </w:tcPr>
          <w:p>
            <w:r/>
            <w:r>
              <w:rPr>
                <w:rFonts w:ascii="Calibri" w:hAnsi="Calibri"/>
                <w:b w:val="0"/>
                <w:sz w:val="18"/>
              </w:rPr>
              <w:t>Monto</w:t>
            </w:r>
          </w:p>
        </w:tc>
        <w:tc>
          <w:tcPr>
            <w:tcW w:type="dxa" w:w="1984"/>
          </w:tcPr>
          <w:p>
            <w:r/>
            <w:r>
              <w:rPr>
                <w:rFonts w:ascii="Calibri" w:hAnsi="Calibri"/>
                <w:b w:val="0"/>
                <w:sz w:val="18"/>
              </w:rPr>
              <w:t>decimal(18,2)</w:t>
            </w:r>
          </w:p>
        </w:tc>
        <w:tc>
          <w:tcPr>
            <w:tcW w:type="dxa" w:w="4252"/>
          </w:tcPr>
          <w:p>
            <w:r/>
            <w:r>
              <w:rPr>
                <w:rFonts w:ascii="Calibri" w:hAnsi="Calibri"/>
                <w:b w:val="0"/>
                <w:sz w:val="18"/>
              </w:rPr>
              <w:t>NOT NULL</w:t>
            </w:r>
          </w:p>
        </w:tc>
      </w:tr>
      <w:tr>
        <w:tc>
          <w:tcPr>
            <w:tcW w:type="dxa" w:w="3402"/>
          </w:tcPr>
          <w:p>
            <w:r/>
            <w:r>
              <w:rPr>
                <w:rFonts w:ascii="Calibri" w:hAnsi="Calibri"/>
                <w:b w:val="0"/>
                <w:sz w:val="18"/>
              </w:rPr>
              <w:t>FormaPagoId</w:t>
            </w:r>
          </w:p>
        </w:tc>
        <w:tc>
          <w:tcPr>
            <w:tcW w:type="dxa" w:w="1984"/>
          </w:tcPr>
          <w:p>
            <w:r/>
            <w:r>
              <w:rPr>
                <w:rFonts w:ascii="Calibri" w:hAnsi="Calibri"/>
                <w:b w:val="0"/>
                <w:sz w:val="18"/>
              </w:rPr>
              <w:t>int</w:t>
            </w:r>
          </w:p>
        </w:tc>
        <w:tc>
          <w:tcPr>
            <w:tcW w:type="dxa" w:w="4252"/>
          </w:tcPr>
          <w:p>
            <w:r/>
            <w:r>
              <w:rPr>
                <w:rFonts w:ascii="Calibri" w:hAnsi="Calibri"/>
                <w:b w:val="0"/>
                <w:sz w:val="18"/>
              </w:rPr>
              <w:t>FK → OPT_FormaPago (FK_Pagos_FormasPago)</w:t>
            </w:r>
          </w:p>
        </w:tc>
      </w:tr>
      <w:tr>
        <w:tc>
          <w:tcPr>
            <w:tcW w:type="dxa" w:w="3402"/>
          </w:tcPr>
          <w:p>
            <w:r/>
            <w:r>
              <w:rPr>
                <w:rFonts w:ascii="Calibri" w:hAnsi="Calibri"/>
                <w:b w:val="0"/>
                <w:sz w:val="18"/>
              </w:rPr>
              <w:t>Referencia</w:t>
            </w:r>
          </w:p>
        </w:tc>
        <w:tc>
          <w:tcPr>
            <w:tcW w:type="dxa" w:w="1984"/>
          </w:tcPr>
          <w:p>
            <w:r/>
            <w:r>
              <w:rPr>
                <w:rFonts w:ascii="Calibri" w:hAnsi="Calibri"/>
                <w:b w:val="0"/>
                <w:sz w:val="18"/>
              </w:rPr>
              <w:t>nvarchar(100)</w:t>
            </w:r>
          </w:p>
        </w:tc>
        <w:tc>
          <w:tcPr>
            <w:tcW w:type="dxa" w:w="4252"/>
          </w:tcPr>
          <w:p>
            <w:r/>
            <w:r>
              <w:rPr>
                <w:rFonts w:ascii="Calibri" w:hAnsi="Calibri"/>
                <w:b w:val="0"/>
                <w:sz w:val="18"/>
              </w:rPr>
              <w:t>NULL</w:t>
            </w:r>
          </w:p>
        </w:tc>
      </w:tr>
    </w:tbl>
    <w:p>
      <w:pPr>
        <w:spacing w:before="160" w:after="40"/>
      </w:pPr>
      <w:r>
        <w:rPr>
          <w:b/>
          <w:color w:val="2E74B5"/>
          <w:sz w:val="21"/>
        </w:rPr>
        <w:t>OPT_Cuota  —  Auditable</w:t>
      </w:r>
      <w:r>
        <w:rPr>
          <w:i/>
          <w:color w:val="595959"/>
          <w:sz w:val="19"/>
        </w:rPr>
      </w:r>
    </w:p>
    <w:p>
      <w:pPr>
        <w:spacing w:after="80"/>
      </w:pPr>
      <w:r>
        <w:t>Cuota del plan de pago pactado para una OT. Creada en 004_comercial_pagos_cuotas.sql. El legacy la usaba solo como calendario de vencimientos: generaba el plan al crear la OT y nunca lo actualizaba. Índice único (OrdenDeTrabajoId, Numero).</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r>
              <w:rPr>
                <w:rFonts w:ascii="Calibri" w:hAnsi="Calibri"/>
                <w:b w:val="0"/>
                <w:sz w:val="18"/>
              </w:rPr>
              <w:t>CuotaId</w:t>
            </w:r>
          </w:p>
        </w:tc>
        <w:tc>
          <w:tcPr>
            <w:tcW w:type="dxa" w:w="1984"/>
          </w:tcPr>
          <w:p>
            <w:r/>
            <w:r>
              <w:rPr>
                <w:rFonts w:ascii="Calibri" w:hAnsi="Calibri"/>
                <w:b w:val="0"/>
                <w:sz w:val="18"/>
              </w:rPr>
              <w:t>int</w:t>
            </w:r>
          </w:p>
        </w:tc>
        <w:tc>
          <w:tcPr>
            <w:tcW w:type="dxa" w:w="4252"/>
          </w:tcPr>
          <w:p>
            <w:r/>
            <w:r>
              <w:rPr>
                <w:rFonts w:ascii="Calibri" w:hAnsi="Calibri"/>
                <w:b w:val="0"/>
                <w:sz w:val="18"/>
              </w:rPr>
              <w:t>PK IDENTITY</w:t>
            </w:r>
          </w:p>
        </w:tc>
      </w:tr>
      <w:tr>
        <w:tc>
          <w:tcPr>
            <w:tcW w:type="dxa" w:w="3402"/>
          </w:tcPr>
          <w:p>
            <w:r/>
            <w:r>
              <w:rPr>
                <w:rFonts w:ascii="Calibri" w:hAnsi="Calibri"/>
                <w:b w:val="0"/>
                <w:sz w:val="18"/>
              </w:rPr>
              <w:t>OrdenDeTrabajoId</w:t>
            </w:r>
          </w:p>
        </w:tc>
        <w:tc>
          <w:tcPr>
            <w:tcW w:type="dxa" w:w="1984"/>
          </w:tcPr>
          <w:p>
            <w:r/>
            <w:r>
              <w:rPr>
                <w:rFonts w:ascii="Calibri" w:hAnsi="Calibri"/>
                <w:b w:val="0"/>
                <w:sz w:val="18"/>
              </w:rPr>
              <w:t>int</w:t>
            </w:r>
          </w:p>
        </w:tc>
        <w:tc>
          <w:tcPr>
            <w:tcW w:type="dxa" w:w="4252"/>
          </w:tcPr>
          <w:p>
            <w:r/>
            <w:r>
              <w:rPr>
                <w:rFonts w:ascii="Calibri" w:hAnsi="Calibri"/>
                <w:b w:val="0"/>
                <w:sz w:val="18"/>
              </w:rPr>
              <w:t>FK → OPT_OrdenDeTrabajo (FK_Cuotas_OrdenesDeTrabajo)</w:t>
            </w:r>
          </w:p>
        </w:tc>
      </w:tr>
      <w:tr>
        <w:tc>
          <w:tcPr>
            <w:tcW w:type="dxa" w:w="3402"/>
          </w:tcPr>
          <w:p>
            <w:r/>
            <w:r>
              <w:rPr>
                <w:rFonts w:ascii="Calibri" w:hAnsi="Calibri"/>
                <w:b w:val="0"/>
                <w:sz w:val="18"/>
              </w:rPr>
              <w:t>Numero</w:t>
            </w:r>
          </w:p>
        </w:tc>
        <w:tc>
          <w:tcPr>
            <w:tcW w:type="dxa" w:w="1984"/>
          </w:tcPr>
          <w:p>
            <w:r/>
            <w:r>
              <w:rPr>
                <w:rFonts w:ascii="Calibri" w:hAnsi="Calibri"/>
                <w:b w:val="0"/>
                <w:sz w:val="18"/>
              </w:rPr>
              <w:t>int</w:t>
            </w:r>
          </w:p>
        </w:tc>
        <w:tc>
          <w:tcPr>
            <w:tcW w:type="dxa" w:w="4252"/>
          </w:tcPr>
          <w:p>
            <w:r/>
            <w:r>
              <w:rPr>
                <w:rFonts w:ascii="Calibri" w:hAnsi="Calibri"/>
                <w:b w:val="0"/>
                <w:sz w:val="18"/>
              </w:rPr>
              <w:t>NOT NULL — UQ_Cuotas_OrdenDeTrabajoId_Numero</w:t>
            </w:r>
          </w:p>
        </w:tc>
      </w:tr>
      <w:tr>
        <w:tc>
          <w:tcPr>
            <w:tcW w:type="dxa" w:w="3402"/>
          </w:tcPr>
          <w:p>
            <w:r/>
            <w:r>
              <w:rPr>
                <w:rFonts w:ascii="Calibri" w:hAnsi="Calibri"/>
                <w:b w:val="0"/>
                <w:sz w:val="18"/>
              </w:rPr>
              <w:t>ValorCuota</w:t>
            </w:r>
          </w:p>
        </w:tc>
        <w:tc>
          <w:tcPr>
            <w:tcW w:type="dxa" w:w="1984"/>
          </w:tcPr>
          <w:p>
            <w:r/>
            <w:r>
              <w:rPr>
                <w:rFonts w:ascii="Calibri" w:hAnsi="Calibri"/>
                <w:b w:val="0"/>
                <w:sz w:val="18"/>
              </w:rPr>
              <w:t>decimal(18,2)</w:t>
            </w:r>
          </w:p>
        </w:tc>
        <w:tc>
          <w:tcPr>
            <w:tcW w:type="dxa" w:w="4252"/>
          </w:tcPr>
          <w:p>
            <w:r/>
            <w:r>
              <w:rPr>
                <w:rFonts w:ascii="Calibri" w:hAnsi="Calibri"/>
                <w:b w:val="0"/>
                <w:sz w:val="18"/>
              </w:rPr>
              <w:t>NOT NULL</w:t>
            </w:r>
          </w:p>
        </w:tc>
      </w:tr>
      <w:tr>
        <w:tc>
          <w:tcPr>
            <w:tcW w:type="dxa" w:w="3402"/>
          </w:tcPr>
          <w:p>
            <w:r/>
            <w:r>
              <w:rPr>
                <w:rFonts w:ascii="Calibri" w:hAnsi="Calibri"/>
                <w:b w:val="0"/>
                <w:sz w:val="18"/>
              </w:rPr>
              <w:t>FechaVencimiento</w:t>
            </w:r>
          </w:p>
        </w:tc>
        <w:tc>
          <w:tcPr>
            <w:tcW w:type="dxa" w:w="1984"/>
          </w:tcPr>
          <w:p>
            <w:r/>
            <w:r>
              <w:rPr>
                <w:rFonts w:ascii="Calibri" w:hAnsi="Calibri"/>
                <w:b w:val="0"/>
                <w:sz w:val="18"/>
              </w:rPr>
              <w:t>date</w:t>
            </w:r>
          </w:p>
        </w:tc>
        <w:tc>
          <w:tcPr>
            <w:tcW w:type="dxa" w:w="4252"/>
          </w:tcPr>
          <w:p>
            <w:r/>
            <w:r>
              <w:rPr>
                <w:rFonts w:ascii="Calibri" w:hAnsi="Calibri"/>
                <w:b w:val="0"/>
                <w:sz w:val="18"/>
              </w:rPr>
              <w:t>NOT NULL</w:t>
            </w:r>
          </w:p>
        </w:tc>
      </w:tr>
      <w:tr>
        <w:tc>
          <w:tcPr>
            <w:tcW w:type="dxa" w:w="3402"/>
          </w:tcPr>
          <w:p>
            <w:r/>
            <w:r>
              <w:rPr>
                <w:rFonts w:ascii="Calibri" w:hAnsi="Calibri"/>
                <w:b w:val="0"/>
                <w:sz w:val="18"/>
              </w:rPr>
              <w:t>FechaPago</w:t>
            </w:r>
          </w:p>
        </w:tc>
        <w:tc>
          <w:tcPr>
            <w:tcW w:type="dxa" w:w="1984"/>
          </w:tcPr>
          <w:p>
            <w:r/>
            <w:r>
              <w:rPr>
                <w:rFonts w:ascii="Calibri" w:hAnsi="Calibri"/>
                <w:b w:val="0"/>
                <w:sz w:val="18"/>
              </w:rPr>
              <w:t>datetimeoffset</w:t>
            </w:r>
          </w:p>
        </w:tc>
        <w:tc>
          <w:tcPr>
            <w:tcW w:type="dxa" w:w="4252"/>
          </w:tcPr>
          <w:p>
            <w:r/>
            <w:r>
              <w:rPr>
                <w:rFonts w:ascii="Calibri" w:hAnsi="Calibri"/>
                <w:b w:val="0"/>
                <w:sz w:val="18"/>
              </w:rPr>
              <w:t>NULL</w:t>
            </w:r>
          </w:p>
        </w:tc>
      </w:tr>
      <w:tr>
        <w:tc>
          <w:tcPr>
            <w:tcW w:type="dxa" w:w="3402"/>
          </w:tcPr>
          <w:p>
            <w:r/>
            <w:r>
              <w:rPr>
                <w:rFonts w:ascii="Calibri" w:hAnsi="Calibri"/>
                <w:b w:val="0"/>
                <w:sz w:val="18"/>
              </w:rPr>
              <w:t>FormaPagoId</w:t>
            </w:r>
          </w:p>
        </w:tc>
        <w:tc>
          <w:tcPr>
            <w:tcW w:type="dxa" w:w="1984"/>
          </w:tcPr>
          <w:p>
            <w:r/>
            <w:r>
              <w:rPr>
                <w:rFonts w:ascii="Calibri" w:hAnsi="Calibri"/>
                <w:b w:val="0"/>
                <w:sz w:val="18"/>
              </w:rPr>
              <w:t>int</w:t>
            </w:r>
          </w:p>
        </w:tc>
        <w:tc>
          <w:tcPr>
            <w:tcW w:type="dxa" w:w="4252"/>
          </w:tcPr>
          <w:p>
            <w:r/>
            <w:r>
              <w:rPr>
                <w:rFonts w:ascii="Calibri" w:hAnsi="Calibri"/>
                <w:b w:val="0"/>
                <w:sz w:val="18"/>
              </w:rPr>
              <w:t>FK → OPT_FormaPago, NULL</w:t>
            </w:r>
          </w:p>
        </w:tc>
      </w:tr>
      <w:tr>
        <w:tc>
          <w:tcPr>
            <w:tcW w:type="dxa" w:w="3402"/>
          </w:tcPr>
          <w:p>
            <w:r/>
            <w:r>
              <w:rPr>
                <w:rFonts w:ascii="Calibri" w:hAnsi="Calibri"/>
                <w:b w:val="0"/>
                <w:sz w:val="18"/>
              </w:rPr>
              <w:t>EstadoCuotaId</w:t>
            </w:r>
          </w:p>
        </w:tc>
        <w:tc>
          <w:tcPr>
            <w:tcW w:type="dxa" w:w="1984"/>
          </w:tcPr>
          <w:p>
            <w:r/>
            <w:r>
              <w:rPr>
                <w:rFonts w:ascii="Calibri" w:hAnsi="Calibri"/>
                <w:b w:val="0"/>
                <w:sz w:val="18"/>
              </w:rPr>
              <w:t>int</w:t>
            </w:r>
          </w:p>
        </w:tc>
        <w:tc>
          <w:tcPr>
            <w:tcW w:type="dxa" w:w="4252"/>
          </w:tcPr>
          <w:p>
            <w:r/>
            <w:r>
              <w:rPr>
                <w:rFonts w:ascii="Calibri" w:hAnsi="Calibri"/>
                <w:b w:val="0"/>
                <w:sz w:val="18"/>
              </w:rPr>
              <w:t>FK → OPT_EstadoCuota (FK_Cuotas_EstadosCuota)</w:t>
            </w:r>
          </w:p>
        </w:tc>
      </w:tr>
    </w:tbl>
    <w:p>
      <w:pPr>
        <w:spacing w:after="80"/>
      </w:pPr>
    </w:p>
    <w:p>
      <w:pPr>
        <w:pStyle w:val="Heading3"/>
      </w:pPr>
      <w:r>
        <w:t>Módulo Inventario</w:t>
      </w:r>
    </w:p>
    <w:p>
      <w:pPr>
        <w:spacing w:before="160" w:after="40"/>
      </w:pPr>
      <w:r>
        <w:rPr>
          <w:b/>
          <w:color w:val="2E74B5"/>
          <w:sz w:val="21"/>
        </w:rPr>
        <w:t>OPT_Producto</w:t>
      </w:r>
      <w:r>
        <w:rPr>
          <w:i/>
          <w:color w:val="595959"/>
          <w:sz w:val="19"/>
        </w:rPr>
        <w:t xml:space="preserve">  —  Auditable</w:t>
      </w:r>
    </w:p>
    <w:p>
      <w:pPr>
        <w:spacing w:after="80"/>
      </w:pPr>
      <w:r>
        <w:t>Ítem de catálogo (armazón, cristal, accesorio).</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r>
              <w:rPr>
                <w:rFonts w:ascii="Calibri" w:hAnsi="Calibri"/>
                <w:b w:val="0"/>
                <w:sz w:val="18"/>
              </w:rPr>
              <w:t>ProductoId</w:t>
            </w:r>
          </w:p>
        </w:tc>
        <w:tc>
          <w:tcPr>
            <w:tcW w:type="dxa" w:w="1984"/>
          </w:tcPr>
          <w:p>
            <w:r/>
            <w:r>
              <w:rPr>
                <w:rFonts w:ascii="Calibri" w:hAnsi="Calibri"/>
                <w:b w:val="0"/>
                <w:sz w:val="18"/>
              </w:rPr>
              <w:t>int</w:t>
            </w:r>
          </w:p>
        </w:tc>
        <w:tc>
          <w:tcPr>
            <w:tcW w:type="dxa" w:w="4252"/>
          </w:tcPr>
          <w:p>
            <w:r/>
            <w:r>
              <w:rPr>
                <w:rFonts w:ascii="Calibri" w:hAnsi="Calibri"/>
                <w:b w:val="0"/>
                <w:sz w:val="18"/>
              </w:rPr>
              <w:t>PK IDENTITY</w:t>
            </w:r>
          </w:p>
        </w:tc>
      </w:tr>
      <w:tr>
        <w:tc>
          <w:tcPr>
            <w:tcW w:type="dxa" w:w="3402"/>
          </w:tcPr>
          <w:p>
            <w:r/>
            <w:r>
              <w:rPr>
                <w:rFonts w:ascii="Calibri" w:hAnsi="Calibri"/>
                <w:b w:val="0"/>
                <w:sz w:val="18"/>
              </w:rPr>
              <w:t>Codigo</w:t>
            </w:r>
          </w:p>
        </w:tc>
        <w:tc>
          <w:tcPr>
            <w:tcW w:type="dxa" w:w="1984"/>
          </w:tcPr>
          <w:p>
            <w:r/>
            <w:r>
              <w:rPr>
                <w:rFonts w:ascii="Calibri" w:hAnsi="Calibri"/>
                <w:b w:val="0"/>
                <w:sz w:val="18"/>
              </w:rPr>
              <w:t>nvarchar(50)</w:t>
            </w:r>
          </w:p>
        </w:tc>
        <w:tc>
          <w:tcPr>
            <w:tcW w:type="dxa" w:w="4252"/>
          </w:tcPr>
          <w:p>
            <w:r/>
            <w:r>
              <w:rPr>
                <w:rFonts w:ascii="Calibri" w:hAnsi="Calibri"/>
                <w:b w:val="0"/>
                <w:sz w:val="18"/>
              </w:rPr>
              <w:t>UNIQUE — no es la PK</w:t>
            </w:r>
          </w:p>
        </w:tc>
      </w:tr>
      <w:tr>
        <w:tc>
          <w:tcPr>
            <w:tcW w:type="dxa" w:w="3402"/>
          </w:tcPr>
          <w:p>
            <w:r/>
            <w:r>
              <w:rPr>
                <w:rFonts w:ascii="Calibri" w:hAnsi="Calibri"/>
                <w:b w:val="0"/>
                <w:sz w:val="18"/>
              </w:rPr>
              <w:t>Descripcion</w:t>
            </w:r>
          </w:p>
        </w:tc>
        <w:tc>
          <w:tcPr>
            <w:tcW w:type="dxa" w:w="1984"/>
          </w:tcPr>
          <w:p>
            <w:r/>
            <w:r>
              <w:rPr>
                <w:rFonts w:ascii="Calibri" w:hAnsi="Calibri"/>
                <w:b w:val="0"/>
                <w:sz w:val="18"/>
              </w:rPr>
              <w:t>nvarchar(200)</w:t>
            </w:r>
          </w:p>
        </w:tc>
        <w:tc>
          <w:tcPr>
            <w:tcW w:type="dxa" w:w="4252"/>
          </w:tcPr>
          <w:p>
            <w:r/>
            <w:r>
              <w:rPr>
                <w:rFonts w:ascii="Calibri" w:hAnsi="Calibri"/>
                <w:b w:val="0"/>
                <w:sz w:val="18"/>
              </w:rPr>
              <w:t>NOT NULL</w:t>
            </w:r>
          </w:p>
        </w:tc>
      </w:tr>
      <w:tr>
        <w:tc>
          <w:tcPr>
            <w:tcW w:type="dxa" w:w="3402"/>
          </w:tcPr>
          <w:p>
            <w:r/>
            <w:r>
              <w:rPr>
                <w:rFonts w:ascii="Calibri" w:hAnsi="Calibri"/>
                <w:b w:val="0"/>
                <w:sz w:val="18"/>
              </w:rPr>
              <w:t>ControlStock</w:t>
            </w:r>
          </w:p>
        </w:tc>
        <w:tc>
          <w:tcPr>
            <w:tcW w:type="dxa" w:w="1984"/>
          </w:tcPr>
          <w:p>
            <w:r/>
            <w:r>
              <w:rPr>
                <w:rFonts w:ascii="Calibri" w:hAnsi="Calibri"/>
                <w:b w:val="0"/>
                <w:sz w:val="18"/>
              </w:rPr>
              <w:t>bit</w:t>
            </w:r>
          </w:p>
        </w:tc>
        <w:tc>
          <w:tcPr>
            <w:tcW w:type="dxa" w:w="4252"/>
          </w:tcPr>
          <w:p>
            <w:r/>
            <w:r>
              <w:rPr>
                <w:rFonts w:ascii="Calibri" w:hAnsi="Calibri"/>
                <w:b w:val="0"/>
                <w:sz w:val="18"/>
              </w:rPr>
              <w:t>NOT NULL</w:t>
            </w:r>
          </w:p>
        </w:tc>
      </w:tr>
      <w:tr>
        <w:tc>
          <w:tcPr>
            <w:tcW w:type="dxa" w:w="3402"/>
          </w:tcPr>
          <w:p>
            <w:r/>
            <w:r>
              <w:rPr>
                <w:rFonts w:ascii="Calibri" w:hAnsi="Calibri"/>
                <w:b w:val="0"/>
                <w:sz w:val="18"/>
              </w:rPr>
              <w:t>CategoriaId</w:t>
            </w:r>
          </w:p>
        </w:tc>
        <w:tc>
          <w:tcPr>
            <w:tcW w:type="dxa" w:w="1984"/>
          </w:tcPr>
          <w:p>
            <w:r/>
            <w:r>
              <w:rPr>
                <w:rFonts w:ascii="Calibri" w:hAnsi="Calibri"/>
                <w:b w:val="0"/>
                <w:sz w:val="18"/>
              </w:rPr>
              <w:t>int</w:t>
            </w:r>
          </w:p>
        </w:tc>
        <w:tc>
          <w:tcPr>
            <w:tcW w:type="dxa" w:w="4252"/>
          </w:tcPr>
          <w:p>
            <w:r>
              <w:t>FK → OPT_CategoriaProducto (FK_Productos_CategoriasProducto)</w:t>
            </w:r>
            <w:r>
              <w:rPr>
                <w:rFonts w:ascii="Calibri" w:hAnsi="Calibri"/>
                <w:b w:val="0"/>
                <w:sz w:val="18"/>
              </w:rPr>
            </w:r>
          </w:p>
        </w:tc>
      </w:tr>
    </w:tbl>
    <w:p>
      <w:pPr>
        <w:spacing w:after="80"/>
      </w:pPr>
    </w:p>
    <w:p>
      <w:pPr>
        <w:spacing w:before="160" w:after="40"/>
      </w:pPr>
      <w:r>
        <w:rPr>
          <w:b/>
          <w:color w:val="2E74B5"/>
          <w:sz w:val="21"/>
        </w:rPr>
        <w:t>OPT_ProductoSucursal</w:t>
      </w:r>
      <w:r>
        <w:rPr>
          <w:i/>
          <w:color w:val="595959"/>
          <w:sz w:val="19"/>
        </w:rPr>
        <w:t xml:space="preserve">  —  Auditable</w:t>
      </w:r>
    </w:p>
    <w:p>
      <w:pPr>
        <w:spacing w:after="80"/>
      </w:pPr>
      <w:r>
        <w:t>Stock de un producto en una sucursal específica.</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r>
              <w:rPr>
                <w:rFonts w:ascii="Calibri" w:hAnsi="Calibri"/>
                <w:b w:val="0"/>
                <w:sz w:val="18"/>
              </w:rPr>
              <w:t>ProductoSucursalId</w:t>
            </w:r>
          </w:p>
        </w:tc>
        <w:tc>
          <w:tcPr>
            <w:tcW w:type="dxa" w:w="1984"/>
          </w:tcPr>
          <w:p>
            <w:r/>
            <w:r>
              <w:rPr>
                <w:rFonts w:ascii="Calibri" w:hAnsi="Calibri"/>
                <w:b w:val="0"/>
                <w:sz w:val="18"/>
              </w:rPr>
              <w:t>int</w:t>
            </w:r>
          </w:p>
        </w:tc>
        <w:tc>
          <w:tcPr>
            <w:tcW w:type="dxa" w:w="4252"/>
          </w:tcPr>
          <w:p>
            <w:r/>
            <w:r>
              <w:rPr>
                <w:rFonts w:ascii="Calibri" w:hAnsi="Calibri"/>
                <w:b w:val="0"/>
                <w:sz w:val="18"/>
              </w:rPr>
              <w:t>PK IDENTITY</w:t>
            </w:r>
          </w:p>
        </w:tc>
      </w:tr>
      <w:tr>
        <w:tc>
          <w:tcPr>
            <w:tcW w:type="dxa" w:w="3402"/>
          </w:tcPr>
          <w:p>
            <w:r/>
            <w:r>
              <w:rPr>
                <w:rFonts w:ascii="Calibri" w:hAnsi="Calibri"/>
                <w:b w:val="0"/>
                <w:sz w:val="18"/>
              </w:rPr>
              <w:t>ProductoId</w:t>
            </w:r>
          </w:p>
        </w:tc>
        <w:tc>
          <w:tcPr>
            <w:tcW w:type="dxa" w:w="1984"/>
          </w:tcPr>
          <w:p>
            <w:r/>
            <w:r>
              <w:rPr>
                <w:rFonts w:ascii="Calibri" w:hAnsi="Calibri"/>
                <w:b w:val="0"/>
                <w:sz w:val="18"/>
              </w:rPr>
              <w:t>int</w:t>
            </w:r>
          </w:p>
        </w:tc>
        <w:tc>
          <w:tcPr>
            <w:tcW w:type="dxa" w:w="4252"/>
          </w:tcPr>
          <w:p>
            <w:r/>
            <w:r>
              <w:rPr>
                <w:rFonts w:ascii="Calibri" w:hAnsi="Calibri"/>
                <w:b w:val="0"/>
                <w:sz w:val="18"/>
              </w:rPr>
              <w:t>FK → OPT_Producto</w:t>
            </w:r>
          </w:p>
        </w:tc>
      </w:tr>
      <w:tr>
        <w:tc>
          <w:tcPr>
            <w:tcW w:type="dxa" w:w="3402"/>
          </w:tcPr>
          <w:p>
            <w:r/>
            <w:r>
              <w:rPr>
                <w:rFonts w:ascii="Calibri" w:hAnsi="Calibri"/>
                <w:b w:val="0"/>
                <w:sz w:val="18"/>
              </w:rPr>
              <w:t>SucursalId</w:t>
            </w:r>
          </w:p>
        </w:tc>
        <w:tc>
          <w:tcPr>
            <w:tcW w:type="dxa" w:w="1984"/>
          </w:tcPr>
          <w:p>
            <w:r/>
            <w:r>
              <w:rPr>
                <w:rFonts w:ascii="Calibri" w:hAnsi="Calibri"/>
                <w:b w:val="0"/>
                <w:sz w:val="18"/>
              </w:rPr>
              <w:t>int</w:t>
            </w:r>
          </w:p>
        </w:tc>
        <w:tc>
          <w:tcPr>
            <w:tcW w:type="dxa" w:w="4252"/>
          </w:tcPr>
          <w:p>
            <w:r/>
            <w:r>
              <w:rPr>
                <w:rFonts w:ascii="Calibri" w:hAnsi="Calibri"/>
                <w:b w:val="0"/>
                <w:sz w:val="18"/>
              </w:rPr>
              <w:t>FK → OPT_Sucursal</w:t>
            </w:r>
          </w:p>
        </w:tc>
      </w:tr>
      <w:tr>
        <w:tc>
          <w:tcPr>
            <w:tcW w:type="dxa" w:w="3402"/>
          </w:tcPr>
          <w:p>
            <w:r/>
            <w:r>
              <w:rPr>
                <w:rFonts w:ascii="Calibri" w:hAnsi="Calibri"/>
                <w:b w:val="0"/>
                <w:sz w:val="18"/>
              </w:rPr>
              <w:t>StockActual / StockMinimo / StockMaximo</w:t>
            </w:r>
          </w:p>
        </w:tc>
        <w:tc>
          <w:tcPr>
            <w:tcW w:type="dxa" w:w="1984"/>
          </w:tcPr>
          <w:p>
            <w:r/>
            <w:r>
              <w:rPr>
                <w:rFonts w:ascii="Calibri" w:hAnsi="Calibri"/>
                <w:b w:val="0"/>
                <w:sz w:val="18"/>
              </w:rPr>
              <w:t>int</w:t>
            </w:r>
          </w:p>
        </w:tc>
        <w:tc>
          <w:tcPr>
            <w:tcW w:type="dxa" w:w="4252"/>
          </w:tcPr>
          <w:p>
            <w:r/>
            <w:r>
              <w:rPr>
                <w:rFonts w:ascii="Calibri" w:hAnsi="Calibri"/>
                <w:b w:val="0"/>
                <w:sz w:val="18"/>
              </w:rPr>
              <w:t>NOT NULL</w:t>
            </w:r>
          </w:p>
        </w:tc>
      </w:tr>
      <w:tr>
        <w:tc>
          <w:tcPr>
            <w:tcW w:type="dxa" w:w="3402"/>
          </w:tcPr>
          <w:p>
            <w:r/>
            <w:r>
              <w:rPr>
                <w:rFonts w:ascii="Calibri" w:hAnsi="Calibri"/>
                <w:b w:val="0"/>
                <w:sz w:val="18"/>
              </w:rPr>
              <w:t>PrecioVenta</w:t>
            </w:r>
          </w:p>
        </w:tc>
        <w:tc>
          <w:tcPr>
            <w:tcW w:type="dxa" w:w="1984"/>
          </w:tcPr>
          <w:p>
            <w:r/>
            <w:r>
              <w:rPr>
                <w:rFonts w:ascii="Calibri" w:hAnsi="Calibri"/>
                <w:b w:val="0"/>
                <w:sz w:val="18"/>
              </w:rPr>
              <w:t>decimal(18,2)</w:t>
            </w:r>
          </w:p>
        </w:tc>
        <w:tc>
          <w:tcPr>
            <w:tcW w:type="dxa" w:w="4252"/>
          </w:tcPr>
          <w:p>
            <w:r/>
            <w:r>
              <w:rPr>
                <w:rFonts w:ascii="Calibri" w:hAnsi="Calibri"/>
                <w:b w:val="0"/>
                <w:sz w:val="18"/>
              </w:rPr>
              <w:t>NOT NULL</w:t>
            </w:r>
          </w:p>
        </w:tc>
      </w:tr>
      <w:tr>
        <w:tc>
          <w:tcPr>
            <w:tcW w:type="dxa" w:w="3402"/>
          </w:tcPr>
          <w:p>
            <w:r/>
            <w:r>
              <w:rPr>
                <w:rFonts w:ascii="Calibri" w:hAnsi="Calibri"/>
                <w:b w:val="0"/>
                <w:sz w:val="18"/>
              </w:rPr>
              <w:t>(ProductoId, SucursalId)</w:t>
            </w:r>
          </w:p>
        </w:tc>
        <w:tc>
          <w:tcPr>
            <w:tcW w:type="dxa" w:w="1984"/>
          </w:tcPr>
          <w:p>
            <w:r/>
            <w:r>
              <w:rPr>
                <w:rFonts w:ascii="Calibri" w:hAnsi="Calibri"/>
                <w:b w:val="0"/>
                <w:sz w:val="18"/>
              </w:rPr>
              <w:t>—</w:t>
            </w:r>
          </w:p>
        </w:tc>
        <w:tc>
          <w:tcPr>
            <w:tcW w:type="dxa" w:w="4252"/>
          </w:tcPr>
          <w:p>
            <w:r/>
            <w:r>
              <w:rPr>
                <w:rFonts w:ascii="Calibri" w:hAnsi="Calibri"/>
                <w:b w:val="0"/>
                <w:sz w:val="18"/>
              </w:rPr>
              <w:t>UNIQUE compuesto</w:t>
            </w:r>
          </w:p>
        </w:tc>
      </w:tr>
    </w:tbl>
    <w:p>
      <w:pPr/>
      <w:r>
        <w:t>OPT_CategoriaProducto  —  Catálogo (sin auditoría)</w:t>
      </w:r>
    </w:p>
    <w:p>
      <w:pPr/>
      <w:r>
        <w:t>Categoría de un Producto. El legacy no modela este concepto — se parte con una sola categoría. Sembrada con HasData().</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4472A8"/>
          </w:tcPr>
          <w:p>
            <w:r/>
            <w:r>
              <w:rPr>
                <w:rFonts w:ascii="Calibri" w:hAnsi="Calibri"/>
                <w:b/>
                <w:color w:val="FFFFFF"/>
                <w:sz w:val="19"/>
              </w:rPr>
              <w:t>Columna</w:t>
            </w:r>
          </w:p>
        </w:tc>
        <w:tc>
          <w:tcPr>
            <w:tcW w:type="dxa" w:w="1984"/>
            <w:shd w:val="clear" w:color="auto" w:fill="4472A8"/>
          </w:tcPr>
          <w:p>
            <w:r/>
            <w:r>
              <w:rPr>
                <w:rFonts w:ascii="Calibri" w:hAnsi="Calibri"/>
                <w:b/>
                <w:color w:val="FFFFFF"/>
                <w:sz w:val="19"/>
              </w:rPr>
              <w:t>Tipo</w:t>
            </w:r>
          </w:p>
        </w:tc>
        <w:tc>
          <w:tcPr>
            <w:tcW w:type="dxa" w:w="4252"/>
            <w:shd w:val="clear" w:color="auto" w:fill="4472A8"/>
          </w:tcPr>
          <w:p>
            <w:r/>
            <w:r>
              <w:rPr>
                <w:rFonts w:ascii="Calibri" w:hAnsi="Calibri"/>
                <w:b/>
                <w:color w:val="FFFFFF"/>
                <w:sz w:val="19"/>
              </w:rPr>
              <w:t>Notas</w:t>
            </w:r>
          </w:p>
        </w:tc>
      </w:tr>
      <w:tr>
        <w:tc>
          <w:tcPr>
            <w:tcW w:type="dxa" w:w="3402"/>
          </w:tcPr>
          <w:p>
            <w:r>
              <w:t>Id</w:t>
            </w:r>
          </w:p>
        </w:tc>
        <w:tc>
          <w:tcPr>
            <w:tcW w:type="dxa" w:w="1984"/>
          </w:tcPr>
          <w:p>
            <w:r>
              <w:t>int</w:t>
            </w:r>
          </w:p>
        </w:tc>
        <w:tc>
          <w:tcPr>
            <w:tcW w:type="dxa" w:w="4252"/>
          </w:tcPr>
          <w:p>
            <w:r>
              <w:t>PK, ValueGeneratedNever (1 = General)</w:t>
            </w:r>
          </w:p>
        </w:tc>
      </w:tr>
      <w:tr>
        <w:tc>
          <w:tcPr>
            <w:tcW w:type="dxa" w:w="3402"/>
          </w:tcPr>
          <w:p>
            <w:r>
              <w:t>Nombre</w:t>
            </w:r>
          </w:p>
        </w:tc>
        <w:tc>
          <w:tcPr>
            <w:tcW w:type="dxa" w:w="1984"/>
          </w:tcPr>
          <w:p>
            <w:r>
              <w:t>nvarchar(50)</w:t>
            </w:r>
          </w:p>
        </w:tc>
        <w:tc>
          <w:tcPr>
            <w:tcW w:type="dxa" w:w="4252"/>
          </w:tcPr>
          <w:p>
            <w:r>
              <w:t>UNIQUE</w:t>
            </w:r>
          </w:p>
        </w:tc>
      </w:tr>
    </w:tbl>
    <w:p>
      <w:pPr>
        <w:spacing w:after="80"/>
      </w:pPr>
    </w:p>
    <w:p>
      <w:r>
        <w:br w:type="page"/>
      </w:r>
    </w:p>
    <w:p>
      <w:pPr>
        <w:pStyle w:val="Heading1"/>
      </w:pPr>
      <w:r>
        <w:t>8. Seguridad y Cumplimiento</w:t>
      </w:r>
    </w:p>
    <w:p>
      <w:pPr>
        <w:pStyle w:val="Heading2"/>
      </w:pPr>
      <w:r>
        <w:t>8.1 Contraseñas y secretos</w:t>
      </w:r>
    </w:p>
    <w:p>
      <w:pPr>
        <w:pStyle w:val="ListBullet"/>
      </w:pPr>
      <w:r>
        <w:t>Contraseñas: siempre hasheadas con IPasswordService (BCrypt, work factor 12) antes de persistir. Nunca se comparan en texto plano ni se reenvían por correo — corrección directa de un hallazgo crítico del legacy.</w:t>
      </w:r>
    </w:p>
    <w:p>
      <w:pPr>
        <w:pStyle w:val="ListBullet"/>
      </w:pPr>
      <w:r>
        <w:t>Credenciales de servicios externos (SMTP, Defontana): nunca en la base de datos ni en archivos de configuración versionados — dotnet user-secrets en desarrollo, variables de entorno o gestor de secretos en producción.</w:t>
      </w:r>
    </w:p>
    <w:p>
      <w:pPr>
        <w:pStyle w:val="ListBullet"/>
      </w:pPr>
      <w:r>
        <w:t>Cadenas de conexión: appsettings.json y appsettings.Development.json siempre tienen los campos vacíos, ni siquiera comentados con un valor real.</w:t>
      </w:r>
    </w:p>
    <w:p>
      <w:pPr>
        <w:pStyle w:val="ListBullet"/>
      </w:pPr>
      <w:r>
        <w:t>Clave JWT (Jwt:Key): mínimo 32 caracteres aleatorios, nunca hardcodeada — se lee de IConfiguration.</w:t>
      </w:r>
    </w:p>
    <w:p>
      <w:pPr>
        <w:pStyle w:val="Heading2"/>
      </w:pPr>
      <w:r>
        <w:t>8.2 Ley N° 21.719 — Protección de Datos Personales (ADR 0004)</w:t>
      </w:r>
    </w:p>
    <w:p>
      <w:r>
        <w:t>Publicada el 13-12-2024, obligatoria desde el 01-12-2026. Aplica a toda organización que trate datos personales en Chile. Multas de hasta 20.000 UTM o 4% de ingresos anuales en reincidencia; notificación de brechas de seguridad en 72 horas ante la nueva Agencia de Protección de Datos Personales.</w:t>
      </w:r>
    </w:p>
    <w:tbl>
      <w:tblPr>
        <w:tblStyle w:val="TableGrid"/>
        <w:tblW w:type="auto" w:w="0"/>
        <w:jc w:val="center"/>
        <w:tblLook w:firstColumn="1" w:firstRow="1" w:lastColumn="0" w:lastRow="0" w:noHBand="0" w:noVBand="1" w:val="04A0"/>
      </w:tblPr>
      <w:tblGrid>
        <w:gridCol w:w="4320"/>
        <w:gridCol w:w="4320"/>
      </w:tblGrid>
      <w:tr>
        <w:tc>
          <w:tcPr>
            <w:tcW w:type="dxa" w:w="3685"/>
            <w:shd w:val="clear" w:color="auto" w:fill="1F3A5F"/>
          </w:tcPr>
          <w:p>
            <w:r/>
            <w:r>
              <w:rPr>
                <w:rFonts w:ascii="Calibri" w:hAnsi="Calibri"/>
                <w:b/>
                <w:color w:val="FFFFFF"/>
                <w:sz w:val="19"/>
              </w:rPr>
              <w:t>Elemento</w:t>
            </w:r>
          </w:p>
        </w:tc>
        <w:tc>
          <w:tcPr>
            <w:tcW w:type="dxa" w:w="5953"/>
            <w:shd w:val="clear" w:color="auto" w:fill="1F3A5F"/>
          </w:tcPr>
          <w:p>
            <w:r/>
            <w:r>
              <w:rPr>
                <w:rFonts w:ascii="Calibri" w:hAnsi="Calibri"/>
                <w:b/>
                <w:color w:val="FFFFFF"/>
                <w:sz w:val="19"/>
              </w:rPr>
              <w:t>Estado en OPT</w:t>
            </w:r>
          </w:p>
        </w:tc>
      </w:tr>
      <w:tr>
        <w:tc>
          <w:tcPr>
            <w:tcW w:type="dxa" w:w="3685"/>
          </w:tcPr>
          <w:p>
            <w:r/>
            <w:r>
              <w:rPr>
                <w:rFonts w:ascii="Calibri" w:hAnsi="Calibri"/>
                <w:b w:val="0"/>
                <w:sz w:val="18"/>
              </w:rPr>
              <w:t>Datos sensibles clasificados</w:t>
            </w:r>
          </w:p>
        </w:tc>
        <w:tc>
          <w:tcPr>
            <w:tcW w:type="dxa" w:w="5953"/>
          </w:tcPr>
          <w:p>
            <w:r/>
            <w:r>
              <w:rPr>
                <w:rFonts w:ascii="Calibri" w:hAnsi="Calibri"/>
                <w:b w:val="0"/>
                <w:sz w:val="18"/>
              </w:rPr>
              <w:t>OPT_Anamnesis y OPT_RecetaCristales (datos de salud) — formalmente documentado en ADR 0004.</w:t>
            </w:r>
          </w:p>
        </w:tc>
      </w:tr>
      <w:tr>
        <w:tc>
          <w:tcPr>
            <w:tcW w:type="dxa" w:w="3685"/>
          </w:tcPr>
          <w:p>
            <w:r/>
            <w:r>
              <w:rPr>
                <w:rFonts w:ascii="Calibri" w:hAnsi="Calibri"/>
                <w:b w:val="0"/>
                <w:sz w:val="18"/>
              </w:rPr>
              <w:t>Identificador no enumerable (PublicId)</w:t>
            </w:r>
          </w:p>
        </w:tc>
        <w:tc>
          <w:tcPr>
            <w:tcW w:type="dxa" w:w="5953"/>
          </w:tcPr>
          <w:p>
            <w:r/>
            <w:r>
              <w:rPr>
                <w:rFonts w:ascii="Calibri" w:hAnsi="Calibri"/>
                <w:b w:val="0"/>
                <w:sz w:val="18"/>
              </w:rPr>
              <w:t>Implementado en Cliente, Empresa, Usuario, Anamnesis, RecetaCristales.</w:t>
            </w:r>
          </w:p>
        </w:tc>
      </w:tr>
      <w:tr>
        <w:tc>
          <w:tcPr>
            <w:tcW w:type="dxa" w:w="3685"/>
          </w:tcPr>
          <w:p>
            <w:r/>
            <w:r>
              <w:rPr>
                <w:rFonts w:ascii="Calibri" w:hAnsi="Calibri"/>
                <w:b w:val="0"/>
                <w:sz w:val="18"/>
              </w:rPr>
              <w:t>Derecho de cancelación real (más allá del borrado lógico)</w:t>
            </w:r>
          </w:p>
        </w:tc>
        <w:tc>
          <w:tcPr>
            <w:tcW w:type="dxa" w:w="5953"/>
          </w:tcPr>
          <w:p>
            <w:r/>
            <w:r>
              <w:rPr>
                <w:rFonts w:ascii="Calibri" w:hAnsi="Calibri"/>
                <w:b w:val="0"/>
                <w:sz w:val="18"/>
              </w:rPr>
              <w:t>Pendiente — decisión de negocio/legal.</w:t>
            </w:r>
          </w:p>
        </w:tc>
      </w:tr>
      <w:tr>
        <w:tc>
          <w:tcPr>
            <w:tcW w:type="dxa" w:w="3685"/>
          </w:tcPr>
          <w:p>
            <w:r/>
            <w:r>
              <w:rPr>
                <w:rFonts w:ascii="Calibri" w:hAnsi="Calibri"/>
                <w:b w:val="0"/>
                <w:sz w:val="18"/>
              </w:rPr>
              <w:t>Consentimiento explícito para datos de salud</w:t>
            </w:r>
          </w:p>
        </w:tc>
        <w:tc>
          <w:tcPr>
            <w:tcW w:type="dxa" w:w="5953"/>
          </w:tcPr>
          <w:p>
            <w:r/>
            <w:r>
              <w:rPr>
                <w:rFonts w:ascii="Calibri" w:hAnsi="Calibri"/>
                <w:b w:val="0"/>
                <w:sz w:val="18"/>
              </w:rPr>
              <w:t>Pendiente — decisión de negocio/legal.</w:t>
            </w:r>
          </w:p>
        </w:tc>
      </w:tr>
      <w:tr>
        <w:tc>
          <w:tcPr>
            <w:tcW w:type="dxa" w:w="3685"/>
          </w:tcPr>
          <w:p>
            <w:r/>
            <w:r>
              <w:rPr>
                <w:rFonts w:ascii="Calibri" w:hAnsi="Calibri"/>
                <w:b w:val="0"/>
                <w:sz w:val="18"/>
              </w:rPr>
              <w:t>Delegado de Protección de Datos (DPO)</w:t>
            </w:r>
          </w:p>
        </w:tc>
        <w:tc>
          <w:tcPr>
            <w:tcW w:type="dxa" w:w="5953"/>
          </w:tcPr>
          <w:p>
            <w:r/>
            <w:r>
              <w:rPr>
                <w:rFonts w:ascii="Calibri" w:hAnsi="Calibri"/>
                <w:b w:val="0"/>
                <w:sz w:val="18"/>
              </w:rPr>
              <w:t>No obligatorio salvo modelo voluntario de prevención — evaluar con asesoría legal.</w:t>
            </w:r>
          </w:p>
        </w:tc>
      </w:tr>
      <w:tr>
        <w:tc>
          <w:tcPr>
            <w:tcW w:type="dxa" w:w="3685"/>
          </w:tcPr>
          <w:p>
            <w:r/>
            <w:r>
              <w:rPr>
                <w:rFonts w:ascii="Calibri" w:hAnsi="Calibri"/>
                <w:b w:val="0"/>
                <w:sz w:val="18"/>
              </w:rPr>
              <w:t>Proceso de notificación de brechas (72h)</w:t>
            </w:r>
          </w:p>
        </w:tc>
        <w:tc>
          <w:tcPr>
            <w:tcW w:type="dxa" w:w="5953"/>
          </w:tcPr>
          <w:p>
            <w:r/>
            <w:r>
              <w:rPr>
                <w:rFonts w:ascii="Calibri" w:hAnsi="Calibri"/>
                <w:b w:val="0"/>
                <w:sz w:val="18"/>
              </w:rPr>
              <w:t>Pendiente — proceso operativo, no de esquema.</w:t>
            </w:r>
          </w:p>
        </w:tc>
      </w:tr>
      <w:tr>
        <w:tc>
          <w:tcPr>
            <w:tcW w:type="dxa" w:w="3685"/>
          </w:tcPr>
          <w:p>
            <w:r/>
            <w:r>
              <w:rPr>
                <w:rFonts w:ascii="Calibri" w:hAnsi="Calibri"/>
                <w:b w:val="0"/>
                <w:sz w:val="18"/>
              </w:rPr>
              <w:t>Portabilidad de datos (ARCO+)</w:t>
            </w:r>
          </w:p>
        </w:tc>
        <w:tc>
          <w:tcPr>
            <w:tcW w:type="dxa" w:w="5953"/>
          </w:tcPr>
          <w:p>
            <w:r/>
            <w:r>
              <w:rPr>
                <w:rFonts w:ascii="Calibri" w:hAnsi="Calibri"/>
                <w:b w:val="0"/>
                <w:sz w:val="18"/>
              </w:rPr>
              <w:t>Pendiente — formato de exportación por definir.</w:t>
            </w:r>
          </w:p>
        </w:tc>
      </w:tr>
    </w:tbl>
    <w:p>
      <w:pPr>
        <w:spacing w:after="80"/>
      </w:pPr>
    </w:p>
    <w:p>
      <w:pPr>
        <w:spacing w:after="200"/>
        <w:ind w:left="170"/>
      </w:pPr>
      <w:r>
        <w:rPr>
          <w:b/>
          <w:color w:val="2E74B5"/>
          <w:sz w:val="19"/>
        </w:rPr>
        <w:t xml:space="preserve">Importante: </w:t>
      </w:r>
      <w:r>
        <w:rPr>
          <w:i/>
          <w:sz w:val="19"/>
        </w:rPr>
        <w:t>Estos puntos son bloqueantes para producción antes del 01-12-2026, no para continuar el desarrollo de Fase 1. Ver el detalle completo, con fuentes, en .agents/decisions/0004-cumplimiento-ley-21719.md.</w:t>
      </w:r>
    </w:p>
    <w:p>
      <w:r>
        <w:br w:type="page"/>
      </w:r>
    </w:p>
    <w:p>
      <w:pPr>
        <w:pStyle w:val="Heading2"/>
      </w:pPr>
      <w:r>
        <w:t>8.3 Autorización por rol y por sucursal (2026-09-15)</w:t>
      </w:r>
    </w:p>
    <w:p>
      <w:pPr/>
      <w:r>
        <w:t>Además de la autenticación JWT, dos controles nuevos cierran los huecos de autorización que dejaba el [Authorize] genérico. Detalle completo, con archivo:línea y el checklist de los 18 controles de seguridad, en Manual_Tecnico_Seguridad_OPT.docx y su resumen operativo .agents/context/seguridad-apis.md. En síntesis:</w:t>
      </w:r>
    </w:p>
    <w:p>
      <w:pPr>
        <w:pStyle w:val="ListBullet"/>
      </w:pPr>
      <w:r>
        <w:t>Autorización por rol — atributo propio AutorizarRolesAttribute (OPT.API/Authorization/), IAuthorizationFilter que lee el claim numérico rolId del JWT. No usa [Authorize(Roles=...)] porque ese mecanismo compara contra ClaimTypes.Role, que este token no emite. Constantes y grupos de roles en RolesOPT (OPT.Domain/Common/): los 8 roles reales de OPT_Rol (Administrador=1, Supervisor=2, Operador=3, JefeSucursal=4, Vendedor=5, TecnicoMedico=6, ControlCalidad=7, Externo=8), agrupados por función (Administracion, GestionComercial, OperacionClinica, OperacionComercial/ConCalidad, AnulacionComercial, Cobranza, AccesoTotalSucursales). Aplicado a UsuariosController (Administrador exclusivo), SucursalesController/EmpresasController (mutaciones: Administrador/Supervisor), ClientesController/AnamnesisController/RecetaCristalesController (Administrador/Supervisor/JefeSucursal/Vendedor/TecnicoMedico/Operador — datos clínicos ADR 0004, sin ControlCalidad ni Externo), OrdenesDeTrabajoController (por acción: Anular/AnularCuota reservado a Administrador/Supervisor/JefeSucursal, CambiarEstado suma ControlCalidad) y CobranzaController (Administrador/Supervisor/JefeSucursal). Los catálogos de solo lectura quedan sin restricción. El legacy no tenía ningún control de rol a nivel de servidor (solo ocultaba ítems de menú) — el mapeo rol→acción es diseño nuevo de esta sesión, no una migración de una regla existente.</w:t>
      </w:r>
    </w:p>
    <w:p>
      <w:pPr>
        <w:pStyle w:val="ListBullet"/>
      </w:pPr>
      <w:r>
        <w:t>Autorización por sucursal / BOLA — AutorizacionSucursal.ValidarAcceso(currentUser, sucursalId) (OPT.Application/Common/Security/), invocado desde los handlers de OrdenesDeTrabajo que cargan o crean una OT: Crear, Actualizar, CambiarEstado, Anular, RegistrarAbono, RegistrarPago, GenerarPlanCuotas, PagarCuota, AnularCuota, ObtenerPorId. Lanza ForbiddenAccessException (nueva, mapeada a HTTP 403 en ExceptionHandlingMiddleware) si la OT no pertenece a la sucursal activa del usuario (claim sucursalId) ni a ninguna de sus sucursales asignadas (claim nuevo sucursales, CSV de UsuarioSucursal, agregado por TokenService). Administrador (RolesOPT.AccesoTotalSucursales) tiene alcance nacional y no pasa por esta validación. ObtenerOrdenesDeTrabajoQuery restringe de oficio a la sucursal activa cuando el usuario no filtra explícitamente y no tiene alcance nacional. Resuelve el punto 5 de «Pendiente» de CLAUDE.md.</w:t>
      </w:r>
    </w:p>
    <w:p>
      <w:pPr/>
      <w:r>
        <w:t>ICurrentUserService ganó RolId y SucursalesAsignadas (lee los claims rolId/sucursales del JWT). Verificado con dotnet build OPT.sln (compila limpio); no se corrió dotnet test ni pruebas end-to-end contra dbOPT_NET con sesión autenticada de cada rol en esta sesión.</w:t>
      </w:r>
    </w:p>
    <w:p>
      <w:pPr/>
    </w:p>
    <w:p>
      <w:pPr>
        <w:pStyle w:val="Heading1"/>
      </w:pPr>
      <w:r>
        <w:t>9. Convenciones de Código</w:t>
      </w:r>
    </w:p>
    <w:p>
      <w:pPr>
        <w:pStyle w:val="Heading2"/>
      </w:pPr>
      <w:r>
        <w:t>9.1 Reglas no negociables</w:t>
      </w:r>
    </w:p>
    <w:p>
      <w:pPr>
        <w:pStyle w:val="ListBullet"/>
      </w:pPr>
      <w:r>
        <w:t>Los controllers no tienen try/catch — las excepciones las traduce ExceptionHandlingMiddleware.</w:t>
      </w:r>
    </w:p>
    <w:p>
      <w:pPr>
        <w:pStyle w:val="ListBullet"/>
      </w:pPr>
      <w:r>
        <w:t>La capa de Aplicación nunca accede al DbContext directamente — siempre vía IRepositorioBase&lt;T&gt; o interfaces específicas.</w:t>
      </w:r>
    </w:p>
    <w:p>
      <w:pPr>
        <w:pStyle w:val="ListBullet"/>
      </w:pPr>
      <w:r>
        <w:t>Nunca throw ex (destruye el stack trace) — usar throw; o una excepción semántica.</w:t>
      </w:r>
    </w:p>
    <w:p>
      <w:pPr>
        <w:pStyle w:val="ListBullet"/>
      </w:pPr>
      <w:r>
        <w:t>Todo nuevo repositorio se registra en OPT.Infrastructure/DependencyInjection.cs.</w:t>
      </w:r>
    </w:p>
    <w:p>
      <w:pPr>
        <w:pStyle w:val="ListBullet"/>
      </w:pPr>
      <w:r>
        <w:t>Ninguna tabla de negocio usa un dato externo (RUT) como PK.</w:t>
      </w:r>
    </w:p>
    <w:p>
      <w:pPr>
        <w:pStyle w:val="ListBullet"/>
      </w:pPr>
      <w:r>
        <w:t>Todo ID secuencial se genera en la base de datos, nunca en la aplicación.</w:t>
      </w:r>
    </w:p>
    <w:p>
      <w:pPr>
        <w:pStyle w:val="ListBullet"/>
      </w:pPr>
      <w:r>
        <w:t>Toda tabla transaccional hereda de AuditableEntity; los catálogos estáticos, de CatalogEntity.</w:t>
      </w:r>
    </w:p>
    <w:p>
      <w:pPr>
        <w:pStyle w:val="ListBullet"/>
      </w:pPr>
      <w:r>
        <w:t>Nunca DELETE físico en tablas de negocio — solo borrado lógico (Eliminado).</w:t>
      </w:r>
    </w:p>
    <w:p>
      <w:pPr>
        <w:pStyle w:val="ListBullet"/>
      </w:pPr>
      <w:r>
        <w:t>Cliente, Empresa, Usuario, Anamnesis, RecetaCristales y OrdenDeTrabajo se exponen por PublicId, nunca por Id. Sus subrecursos (detalle, abonos, pagos, cuotas, bitácora) van anidados bajo la ruta del padre.</w:t>
      </w:r>
    </w:p>
    <w:p>
      <w:pPr>
        <w:pStyle w:val="ListBullet"/>
      </w:pPr>
      <w:r>
        <w:t>El estado de una entidad con máquina de estados (hoy OrdenDeTrabajo) cambia solo por métodos de dominio que validan la transición y dejan bitácora — nunca asignando el id de estado desde un handler o un controller.</w:t>
      </w:r>
    </w:p>
    <w:p>
      <w:pPr>
        <w:pStyle w:val="Heading2"/>
      </w:pPr>
      <w:r>
        <w:t>9.2 Estilo de las entidades de dominio</w:t>
      </w:r>
    </w:p>
    <w:p>
      <w:r>
        <w:t>Constructor protegido/privado (para EF Core) + factory estático Crear(...) con validación de argumentos. Propiedades con setter privado. El estado solo cambia a través de métodos de negocio explícitos (ej.: OrdenDeTrabajo.RegistrarAbono(), Usuario.ActualizarClave()).</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public class Cliente : AuditableEntity</w:t>
            </w:r>
          </w:p>
          <w:p>
            <w:r>
              <w:rPr>
                <w:rFonts w:ascii="Consolas" w:hAnsi="Consolas"/>
                <w:sz w:val="17"/>
              </w:rPr>
              <w:t>{</w:t>
            </w:r>
          </w:p>
          <w:p>
            <w:r>
              <w:rPr>
                <w:rFonts w:ascii="Consolas" w:hAnsi="Consolas"/>
                <w:sz w:val="17"/>
              </w:rPr>
              <w:t xml:space="preserve">    public string Rut { get; private set; } = string.Empty;</w:t>
            </w:r>
          </w:p>
          <w:p>
            <w:r>
              <w:rPr>
                <w:rFonts w:ascii="Consolas" w:hAnsi="Consolas"/>
                <w:sz w:val="17"/>
              </w:rPr>
              <w:t xml:space="preserve">    // ...</w:t>
            </w:r>
          </w:p>
          <w:p>
            <w:r>
              <w:rPr>
                <w:rFonts w:ascii="Consolas" w:hAnsi="Consolas"/>
                <w:sz w:val="17"/>
              </w:rPr>
              <w:t xml:space="preserve">    protected Cliente() { }</w:t>
            </w:r>
          </w:p>
          <w:p>
            <w:r>
              <w:rPr>
                <w:rFonts w:ascii="Consolas" w:hAnsi="Consolas"/>
                <w:sz w:val="17"/>
              </w:rPr>
              <w:t xml:space="preserve"> </w:t>
            </w:r>
          </w:p>
          <w:p>
            <w:r>
              <w:rPr>
                <w:rFonts w:ascii="Consolas" w:hAnsi="Consolas"/>
                <w:sz w:val="17"/>
              </w:rPr>
              <w:t xml:space="preserve">    public static Cliente Crear(string rut, string nombre, string apellido, int usuarioId, ...)</w:t>
            </w:r>
          </w:p>
          <w:p>
            <w:r>
              <w:rPr>
                <w:rFonts w:ascii="Consolas" w:hAnsi="Consolas"/>
                <w:sz w:val="17"/>
              </w:rPr>
              <w:t xml:space="preserve">    {</w:t>
            </w:r>
          </w:p>
          <w:p>
            <w:r>
              <w:rPr>
                <w:rFonts w:ascii="Consolas" w:hAnsi="Consolas"/>
                <w:sz w:val="17"/>
              </w:rPr>
              <w:t xml:space="preserve">        ArgumentException.ThrowIfNullOrWhiteSpace(rut);</w:t>
            </w:r>
          </w:p>
          <w:p>
            <w:r>
              <w:rPr>
                <w:rFonts w:ascii="Consolas" w:hAnsi="Consolas"/>
                <w:sz w:val="17"/>
              </w:rPr>
              <w:t xml:space="preserve">        var c = new Cliente { Rut = rut.Trim().ToUpperInvariant(), ... };</w:t>
            </w:r>
          </w:p>
          <w:p>
            <w:r>
              <w:rPr>
                <w:rFonts w:ascii="Consolas" w:hAnsi="Consolas"/>
                <w:sz w:val="17"/>
              </w:rPr>
              <w:t xml:space="preserve">        c.SetCreacion(usuarioId);</w:t>
            </w:r>
          </w:p>
          <w:p>
            <w:r>
              <w:rPr>
                <w:rFonts w:ascii="Consolas" w:hAnsi="Consolas"/>
                <w:sz w:val="17"/>
              </w:rPr>
              <w:t xml:space="preserve">        return c;</w:t>
            </w:r>
          </w:p>
          <w:p>
            <w:r>
              <w:rPr>
                <w:rFonts w:ascii="Consolas" w:hAnsi="Consolas"/>
                <w:sz w:val="17"/>
              </w:rPr>
              <w:t xml:space="preserve">    }</w:t>
            </w:r>
          </w:p>
          <w:p>
            <w:r>
              <w:rPr>
                <w:rFonts w:ascii="Consolas" w:hAnsi="Consolas"/>
                <w:sz w:val="17"/>
              </w:rPr>
              <w:t>}</w:t>
            </w:r>
          </w:p>
        </w:tc>
      </w:tr>
    </w:tbl>
    <w:p>
      <w:pPr>
        <w:spacing w:after="40"/>
      </w:pPr>
    </w:p>
    <w:p>
      <w:r>
        <w:br w:type="page"/>
      </w:r>
    </w:p>
    <w:p>
      <w:pPr>
        <w:pStyle w:val="Heading1"/>
      </w:pPr>
      <w:r>
        <w:t>10. Comandos de Build / Test /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cd src/backend</w:t>
            </w:r>
          </w:p>
          <w:p>
            <w:r>
              <w:rPr>
                <w:rFonts w:ascii="Consolas" w:hAnsi="Consolas"/>
                <w:sz w:val="17"/>
              </w:rPr>
              <w:t>dotnet restore OPT.sln</w:t>
            </w:r>
          </w:p>
          <w:p>
            <w:r>
              <w:rPr>
                <w:rFonts w:ascii="Consolas" w:hAnsi="Consolas"/>
                <w:sz w:val="17"/>
              </w:rPr>
              <w:t>dotnet build OPT.sln</w:t>
            </w:r>
          </w:p>
          <w:p>
            <w:r>
              <w:rPr>
                <w:rFonts w:ascii="Consolas" w:hAnsi="Consolas"/>
                <w:sz w:val="17"/>
              </w:rPr>
              <w:t>dotnet test OPT.sln          # cuando exista el proyecto de pruebas</w:t>
            </w:r>
          </w:p>
          <w:p>
            <w:r>
              <w:rPr>
                <w:rFonts w:ascii="Consolas" w:hAnsi="Consolas"/>
                <w:sz w:val="17"/>
              </w:rPr>
              <w:t xml:space="preserve"> </w:t>
            </w:r>
          </w:p>
          <w:p>
            <w:r>
              <w:rPr>
                <w:rFonts w:ascii="Consolas" w:hAnsi="Consolas"/>
                <w:sz w:val="17"/>
              </w:rPr>
              <w:t>cd OPT.API</w:t>
            </w:r>
          </w:p>
          <w:p>
            <w:r>
              <w:rPr>
                <w:rFonts w:ascii="Consolas" w:hAnsi="Consolas"/>
                <w:sz w:val="17"/>
              </w:rPr>
              <w:t>dotnet user-secrets init</w:t>
            </w:r>
          </w:p>
          <w:p>
            <w:r>
              <w:rPr>
                <w:rFonts w:ascii="Consolas" w:hAnsi="Consolas"/>
                <w:sz w:val="17"/>
              </w:rPr>
              <w:t>dotnet user-secrets set "ConnectionStrings:Default" "Server=.;Database=dbOPT_NET;Trusted_Connection=True;"</w:t>
            </w:r>
          </w:p>
          <w:p>
            <w:r>
              <w:rPr>
                <w:rFonts w:ascii="Consolas" w:hAnsi="Consolas"/>
                <w:sz w:val="17"/>
              </w:rPr>
              <w:t>dotnet user-secrets set "Jwt:Key" "&lt;clave-aleatoria-minimo-32-chars&gt;"</w:t>
            </w:r>
          </w:p>
          <w:p>
            <w:r>
              <w:rPr>
                <w:rFonts w:ascii="Consolas" w:hAnsi="Consolas"/>
                <w:sz w:val="17"/>
              </w:rPr>
              <w:t xml:space="preserve"> </w:t>
            </w:r>
          </w:p>
          <w:p>
            <w:r>
              <w:rPr>
                <w:rFonts w:ascii="Consolas" w:hAnsi="Consolas"/>
                <w:sz w:val="17"/>
              </w:rPr>
              <w:t># Aplicar el esquema (en vez de dotnet ef database update)</w:t>
            </w:r>
          </w:p>
          <w:p>
            <w:r>
              <w:rPr>
                <w:rFonts w:ascii="Consolas" w:hAnsi="Consolas"/>
                <w:sz w:val="17"/>
              </w:rPr>
              <w:t>sqlcmd -S localhost -d dbOPT_NET -E -i ../basedatos/001_esquema_inicial.sql</w:t>
            </w:r>
          </w:p>
          <w:p>
            <w:r>
              <w:rPr>
                <w:rFonts w:ascii="Consolas" w:hAnsi="Consolas"/>
                <w:sz w:val="17"/>
              </w:rPr>
              <w:t xml:space="preserve"> </w:t>
            </w:r>
          </w:p>
          <w:p>
            <w:r>
              <w:rPr>
                <w:rFonts w:ascii="Consolas" w:hAnsi="Consolas"/>
                <w:sz w:val="17"/>
              </w:rPr>
              <w:t>dotnet run</w:t>
            </w:r>
          </w:p>
          <w:p>
            <w:r>
              <w:rPr>
                <w:rFonts w:ascii="Consolas" w:hAnsi="Consolas"/>
                <w:sz w:val="17"/>
              </w:rPr>
              <w:t># Swagger UI: https://localhost:{puerto}/swagger</w:t>
            </w:r>
          </w:p>
        </w:tc>
      </w:tr>
    </w:tbl>
    <w:p>
      <w:pPr>
        <w:spacing w:after="40"/>
      </w:pPr>
    </w:p>
    <w:p>
      <w:r>
        <w:br w:type="page"/>
      </w:r>
    </w:p>
    <w:p>
      <w:pPr>
        <w:pStyle w:val="Heading1"/>
      </w:pPr>
      <w:r>
        <w:t>11. Gotchas Conocidos</w:t>
      </w:r>
    </w:p>
    <w:tbl>
      <w:tblPr>
        <w:tblStyle w:val="TableGrid"/>
        <w:tblW w:type="auto" w:w="0"/>
        <w:jc w:val="center"/>
        <w:tblLook w:firstColumn="1" w:firstRow="1" w:lastColumn="0" w:lastRow="0" w:noHBand="0" w:noVBand="1" w:val="04A0"/>
      </w:tblPr>
      <w:tblGrid>
        <w:gridCol w:w="2880"/>
        <w:gridCol w:w="2880"/>
        <w:gridCol w:w="2880"/>
      </w:tblGrid>
      <w:tr>
        <w:tc>
          <w:tcPr>
            <w:tcW w:type="dxa" w:w="3118"/>
            <w:shd w:val="clear" w:color="auto" w:fill="1F3A5F"/>
          </w:tcPr>
          <w:p>
            <w:r/>
            <w:r>
              <w:rPr>
                <w:rFonts w:ascii="Calibri" w:hAnsi="Calibri"/>
                <w:b/>
                <w:color w:val="FFFFFF"/>
                <w:sz w:val="19"/>
              </w:rPr>
              <w:t>Síntoma</w:t>
            </w:r>
          </w:p>
        </w:tc>
        <w:tc>
          <w:tcPr>
            <w:tcW w:type="dxa" w:w="3118"/>
            <w:shd w:val="clear" w:color="auto" w:fill="1F3A5F"/>
          </w:tcPr>
          <w:p>
            <w:r/>
            <w:r>
              <w:rPr>
                <w:rFonts w:ascii="Calibri" w:hAnsi="Calibri"/>
                <w:b/>
                <w:color w:val="FFFFFF"/>
                <w:sz w:val="19"/>
              </w:rPr>
              <w:t>Causa</w:t>
            </w:r>
          </w:p>
        </w:tc>
        <w:tc>
          <w:tcPr>
            <w:tcW w:type="dxa" w:w="3402"/>
            <w:shd w:val="clear" w:color="auto" w:fill="1F3A5F"/>
          </w:tcPr>
          <w:p>
            <w:r/>
            <w:r>
              <w:rPr>
                <w:rFonts w:ascii="Calibri" w:hAnsi="Calibri"/>
                <w:b/>
                <w:color w:val="FFFFFF"/>
                <w:sz w:val="19"/>
              </w:rPr>
              <w:t>Solución</w:t>
            </w:r>
          </w:p>
        </w:tc>
      </w:tr>
      <w:tr>
        <w:tc>
          <w:tcPr>
            <w:tcW w:type="dxa" w:w="3118"/>
          </w:tcPr>
          <w:p>
            <w:r/>
            <w:r>
              <w:rPr>
                <w:rFonts w:ascii="Calibri" w:hAnsi="Calibri"/>
                <w:b w:val="0"/>
                <w:sz w:val="18"/>
              </w:rPr>
              <w:t>dotnet ef no encuentra el proyecto de startup</w:t>
            </w:r>
          </w:p>
        </w:tc>
        <w:tc>
          <w:tcPr>
            <w:tcW w:type="dxa" w:w="3118"/>
          </w:tcPr>
          <w:p>
            <w:r/>
            <w:r>
              <w:rPr>
                <w:rFonts w:ascii="Calibri" w:hAnsi="Calibri"/>
                <w:b w:val="0"/>
                <w:sz w:val="18"/>
              </w:rPr>
              <w:t>EF Tools necesita --startup-project</w:t>
            </w:r>
          </w:p>
        </w:tc>
        <w:tc>
          <w:tcPr>
            <w:tcW w:type="dxa" w:w="3402"/>
          </w:tcPr>
          <w:p>
            <w:r/>
            <w:r>
              <w:rPr>
                <w:rFonts w:ascii="Calibri" w:hAnsi="Calibri"/>
                <w:b w:val="0"/>
                <w:sz w:val="18"/>
              </w:rPr>
              <w:t>Usar siempre --project OPT.Infrastructure --startup-project OPT.API</w:t>
            </w:r>
          </w:p>
        </w:tc>
      </w:tr>
      <w:tr>
        <w:tc>
          <w:tcPr>
            <w:tcW w:type="dxa" w:w="3118"/>
          </w:tcPr>
          <w:p>
            <w:r/>
            <w:r>
              <w:rPr>
                <w:rFonts w:ascii="Calibri" w:hAnsi="Calibri"/>
                <w:b w:val="0"/>
                <w:sz w:val="18"/>
              </w:rPr>
              <w:t>«JWT:Key no está configurada» al arrancar</w:t>
            </w:r>
          </w:p>
        </w:tc>
        <w:tc>
          <w:tcPr>
            <w:tcW w:type="dxa" w:w="3118"/>
          </w:tcPr>
          <w:p>
            <w:r/>
            <w:r>
              <w:rPr>
                <w:rFonts w:ascii="Calibri" w:hAnsi="Calibri"/>
                <w:b w:val="0"/>
                <w:sz w:val="18"/>
              </w:rPr>
              <w:t>Campo vacío en appsettings.json (por diseño)</w:t>
            </w:r>
          </w:p>
        </w:tc>
        <w:tc>
          <w:tcPr>
            <w:tcW w:type="dxa" w:w="3402"/>
          </w:tcPr>
          <w:p>
            <w:r/>
            <w:r>
              <w:rPr>
                <w:rFonts w:ascii="Calibri" w:hAnsi="Calibri"/>
                <w:b w:val="0"/>
                <w:sz w:val="18"/>
              </w:rPr>
              <w:t>dotnet user-secrets set "Jwt:Key" "..."</w:t>
            </w:r>
          </w:p>
        </w:tc>
      </w:tr>
      <w:tr>
        <w:tc>
          <w:tcPr>
            <w:tcW w:type="dxa" w:w="3118"/>
          </w:tcPr>
          <w:p>
            <w:r/>
            <w:r>
              <w:rPr>
                <w:rFonts w:ascii="Calibri" w:hAnsi="Calibri"/>
                <w:b w:val="0"/>
                <w:sz w:val="18"/>
              </w:rPr>
              <w:t>dotnet ef: «no reconoce el comando»</w:t>
            </w:r>
          </w:p>
        </w:tc>
        <w:tc>
          <w:tcPr>
            <w:tcW w:type="dxa" w:w="3118"/>
          </w:tcPr>
          <w:p>
            <w:r/>
            <w:r>
              <w:rPr>
                <w:rFonts w:ascii="Calibri" w:hAnsi="Calibri"/>
                <w:b w:val="0"/>
                <w:sz w:val="18"/>
              </w:rPr>
              <w:t>Herramienta dotnet-ef no instalada</w:t>
            </w:r>
          </w:p>
        </w:tc>
        <w:tc>
          <w:tcPr>
            <w:tcW w:type="dxa" w:w="3402"/>
          </w:tcPr>
          <w:p>
            <w:r/>
            <w:r>
              <w:rPr>
                <w:rFonts w:ascii="Calibri" w:hAnsi="Calibri"/>
                <w:b w:val="0"/>
                <w:sz w:val="18"/>
              </w:rPr>
              <w:t>dotnet tool install --global dotnet-ef</w:t>
            </w:r>
          </w:p>
        </w:tc>
      </w:tr>
      <w:tr>
        <w:tc>
          <w:tcPr>
            <w:tcW w:type="dxa" w:w="3118"/>
          </w:tcPr>
          <w:p>
            <w:r/>
            <w:r>
              <w:rPr>
                <w:rFonts w:ascii="Calibri" w:hAnsi="Calibri"/>
                <w:b w:val="0"/>
                <w:sz w:val="18"/>
              </w:rPr>
              <w:t>migrations add falla: «no referencia Microsoft.EntityFrameworkCore.Design»</w:t>
            </w:r>
          </w:p>
        </w:tc>
        <w:tc>
          <w:tcPr>
            <w:tcW w:type="dxa" w:w="3118"/>
          </w:tcPr>
          <w:p>
            <w:r/>
            <w:r>
              <w:rPr>
                <w:rFonts w:ascii="Calibri" w:hAnsi="Calibri"/>
                <w:b w:val="0"/>
                <w:sz w:val="18"/>
              </w:rPr>
              <w:t>Falta el paquete en el proyecto de startup</w:t>
            </w:r>
          </w:p>
        </w:tc>
        <w:tc>
          <w:tcPr>
            <w:tcW w:type="dxa" w:w="3402"/>
          </w:tcPr>
          <w:p>
            <w:r/>
            <w:r>
              <w:rPr>
                <w:rFonts w:ascii="Calibri" w:hAnsi="Calibri"/>
                <w:b w:val="0"/>
                <w:sz w:val="18"/>
              </w:rPr>
              <w:t>Ya incluido en OPT.API.csproj (PrivateAssets="all")</w:t>
            </w:r>
          </w:p>
        </w:tc>
      </w:tr>
      <w:tr>
        <w:tc>
          <w:tcPr>
            <w:tcW w:type="dxa" w:w="3118"/>
          </w:tcPr>
          <w:p>
            <w:r/>
            <w:r>
              <w:rPr>
                <w:rFonts w:ascii="Calibri" w:hAnsi="Calibri"/>
                <w:b w:val="0"/>
                <w:sz w:val="18"/>
              </w:rPr>
              <w:t>Queda una migration en Persistence/Migrations/ tras generar el script</w:t>
            </w:r>
          </w:p>
        </w:tc>
        <w:tc>
          <w:tcPr>
            <w:tcW w:type="dxa" w:w="3118"/>
          </w:tcPr>
          <w:p>
            <w:r/>
            <w:r>
              <w:rPr>
                <w:rFonts w:ascii="Calibri" w:hAnsi="Calibri"/>
                <w:b w:val="0"/>
                <w:sz w:val="18"/>
              </w:rPr>
              <w:t>No se ejecutó el paso 3 del procedimiento (7.2)</w:t>
            </w:r>
          </w:p>
        </w:tc>
        <w:tc>
          <w:tcPr>
            <w:tcW w:type="dxa" w:w="3402"/>
          </w:tcPr>
          <w:p>
            <w:r/>
            <w:r>
              <w:rPr>
                <w:rFonts w:ascii="Calibri" w:hAnsi="Calibri"/>
                <w:b w:val="0"/>
                <w:sz w:val="18"/>
              </w:rPr>
              <w:t>dotnet ef migrations remove — solo el .sql se conserva</w:t>
            </w:r>
          </w:p>
        </w:tc>
      </w:tr>
      <w:tr>
        <w:tc>
          <w:tcPr>
            <w:tcW w:type="dxa" w:w="2880"/>
          </w:tcPr>
          <w:p>
            <w:r>
              <w:t>dotnet run en OPT.API arranca sin error pero cualquier request devuelve 500 con IDX10703: key length is zero</w:t>
            </w:r>
          </w:p>
        </w:tc>
        <w:tc>
          <w:tcPr>
            <w:tcW w:type="dxa" w:w="2880"/>
          </w:tcPr>
          <w:p>
            <w:r>
              <w:t>El host corre en Production por defecto si no se fija ASPNETCORE_ENVIRONMENT — en Production no se cargan los user-secrets, así que Jwt:Key llega vacío desde appsettings.json</w:t>
            </w:r>
          </w:p>
        </w:tc>
        <w:tc>
          <w:tcPr>
            <w:tcW w:type="dxa" w:w="2880"/>
          </w:tcPr>
          <w:p>
            <w:r>
              <w:t>Exportar ASPNETCORE_ENVIRONMENT=Development antes de dotnet run en desarrollo local (o usar el perfil de launchSettings.json)</w:t>
            </w:r>
          </w:p>
        </w:tc>
      </w:tr>
      <w:tr>
        <w:tc>
          <w:tcPr>
            <w:tcW w:type="dxa" w:w="2880"/>
          </w:tcPr>
          <w:p>
            <w:r>
              <w:t>RESUELTO — dotnet ef migrations add recreaba todo el esquema o ignoraba OPT_Pago/OPT_Cuota/OPT_EstadoCuota</w:t>
            </w:r>
          </w:p>
        </w:tc>
        <w:tc>
          <w:tcPr>
            <w:tcW w:type="dxa" w:w="2880"/>
          </w:tcPr>
          <w:p>
            <w:r>
              <w:t>Esas 3 tablas existían en dbOPT_NET (004) pero no en OPT.Domain — resuelto el 2026-08-27 (ADR 0007)</w:t>
            </w:r>
          </w:p>
        </w:tc>
        <w:tc>
          <w:tcPr>
            <w:tcW w:type="dxa" w:w="2880"/>
          </w:tcPr>
          <w:p>
            <w:r>
              <w:t>Ya no aplica. La regla de fondo sigue: si se escribe un script de esquema a mano, crear la entidad y su IEntityTypeConfiguration&lt;T&gt; en la misma sesión (ver 7.6)</w:t>
            </w:r>
          </w:p>
        </w:tc>
      </w:tr>
      <w:tr>
        <w:tc>
          <w:tcPr>
            <w:tcW w:type="dxa" w:w="2880"/>
          </w:tcPr>
          <w:p>
            <w:r>
              <w:t>Cannot resolve the collation conflict entre SQL_Latin1_General_CP1_CI_AS y Modern_Spanish_CI_AS</w:t>
            </w:r>
          </w:p>
        </w:tc>
        <w:tc>
          <w:tcPr>
            <w:tcW w:type="dxa" w:w="2880"/>
          </w:tcPr>
          <w:p>
            <w:r>
              <w:t>db_a25cfd_opt2 y dbOPT_NET tienen collation distinta</w:t>
            </w:r>
          </w:p>
        </w:tc>
        <w:tc>
          <w:tcPr>
            <w:tcW w:type="dxa" w:w="2880"/>
          </w:tcPr>
          <w:p>
            <w:r>
              <w:t>Agregar COLLATE DATABASE_DEFAULT a todo =/&lt;&gt; de texto entre ambas bases</w:t>
            </w:r>
          </w:p>
        </w:tc>
      </w:tr>
      <w:tr>
        <w:tc>
          <w:tcPr>
            <w:tcW w:type="dxa" w:w="2880"/>
          </w:tcPr>
          <w:p>
            <w:r>
              <w:t>RAISERROR('... %s', 16, 1, DB_NAME()) da «Incorrect syntax near 'DB_NAME'»</w:t>
            </w:r>
          </w:p>
        </w:tc>
        <w:tc>
          <w:tcPr>
            <w:tcW w:type="dxa" w:w="2880"/>
          </w:tcPr>
          <w:p>
            <w:r>
              <w:t>RAISERROR solo acepta variables o literales como argumentos de formato</w:t>
            </w:r>
          </w:p>
        </w:tc>
        <w:tc>
          <w:tcPr>
            <w:tcW w:type="dxa" w:w="2880"/>
          </w:tcPr>
          <w:p>
            <w:r>
              <w:t>DECLARE @b sysname = DB_NAME(); y pasar la variable</w:t>
            </w:r>
          </w:p>
        </w:tc>
      </w:tr>
      <w:tr>
        <w:tc>
          <w:tcPr>
            <w:tcW w:type="dxa" w:w="2880"/>
          </w:tcPr>
          <w:p>
            <w:r>
              <w:t>dotnet build OPT.sln falla con MSB3027/MSB3021 «el archivo se ha bloqueado por: OPT.API» aunque el código esté correcto</w:t>
            </w:r>
          </w:p>
        </w:tc>
        <w:tc>
          <w:tcPr>
            <w:tcW w:type="dxa" w:w="2880"/>
          </w:tcPr>
          <w:p>
            <w:r>
              <w:t>Hay una instancia de OPT.API corriendo (Visual Studio o dotnet run) que tiene tomados los .dll de bin/</w:t>
            </w:r>
          </w:p>
        </w:tc>
        <w:tc>
          <w:tcPr>
            <w:tcW w:type="dxa" w:w="2880"/>
          </w:tcPr>
          <w:p>
            <w:r>
              <w:t>Detener la API, o compilar a un directorio aparte: dotnet build OPT.sln --artifacts-path &lt;ruta-temporal&gt;</w:t>
            </w:r>
          </w:p>
        </w:tc>
      </w:tr>
      <w:tr>
        <w:tc>
          <w:tcPr>
            <w:tcW w:type="dxa" w:w="2880"/>
          </w:tcPr>
          <w:p>
            <w:r>
              <w:t>Un endpoint de OT devuelve 422 con «No se pueden saltar etapas» o «Retroceder … exige una observación»</w:t>
            </w:r>
          </w:p>
        </w:tc>
        <w:tc>
          <w:tcPr>
            <w:tcW w:type="dxa" w:w="2880"/>
          </w:tcPr>
          <w:p>
            <w:r>
              <w:t>Son las reglas de transición del dominio (OrdenDeTrabajo.CambiarEstado), no un error del cliente HTTP</w:t>
            </w:r>
          </w:p>
        </w:tc>
        <w:tc>
          <w:tcPr>
            <w:tcW w:type="dxa" w:w="2880"/>
          </w:tcPr>
          <w:p>
            <w:r>
              <w:t>Avanzar/retroceder de a un estado y enviar observacion al retroceder. Para anular, usar POST /api/ordenes-de-trabajo/{publicId}/anular, no un cambio de estado a ANULADO</w:t>
            </w:r>
          </w:p>
        </w:tc>
      </w:tr>
      <w:tr>
        <w:tc>
          <w:tcPr>
            <w:tcW w:type="dxa" w:w="2880"/>
          </w:tcPr>
          <w:p>
            <w:r>
              <w:t>Editar una OT le borra la receta vinculada</w:t>
            </w:r>
          </w:p>
        </w:tc>
        <w:tc>
          <w:tcPr>
            <w:tcW w:type="dxa" w:w="2880"/>
          </w:tcPr>
          <w:p>
            <w:r>
              <w:t>ActualizarOrdenDeTrabajoCommand.RecetaPublicId es estado final, igual que EmpresaPublicId</w:t>
            </w:r>
          </w:p>
        </w:tc>
        <w:tc>
          <w:tcPr>
            <w:tcW w:type="dxa" w:w="2880"/>
          </w:tcPr>
          <w:p>
            <w:r>
              <w:t>Reenviar siempre la receta actual al editar (el formulario del frontend la preselecciona desde orden.recetas[0]).</w:t>
            </w:r>
          </w:p>
        </w:tc>
      </w:tr>
    </w:tbl>
    <w:p>
      <w:pPr>
        <w:spacing w:after="80"/>
      </w:pPr>
    </w:p>
    <w:p>
      <w:r>
        <w:br w:type="page"/>
      </w:r>
    </w:p>
    <w:p>
      <w:pPr>
        <w:pStyle w:val="Heading1"/>
      </w:pPr>
      <w:r>
        <w:t>12. Registro de Decisiones de Arquitectura (ADRs)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val="clear" w:color="auto" w:fill="1F3A5F"/>
          </w:tcPr>
          <w:p>
            <w:r/>
            <w:r>
              <w:rPr>
                <w:rFonts w:ascii="Calibri" w:hAnsi="Calibri"/>
                <w:b/>
                <w:color w:val="FFFFFF"/>
                <w:sz w:val="19"/>
              </w:rPr>
              <w:t>ADR</w:t>
            </w:r>
          </w:p>
        </w:tc>
        <w:tc>
          <w:tcPr>
            <w:tcW w:type="dxa" w:w="3402"/>
            <w:shd w:val="clear" w:color="auto" w:fill="1F3A5F"/>
          </w:tcPr>
          <w:p>
            <w:r/>
            <w:r>
              <w:rPr>
                <w:rFonts w:ascii="Calibri" w:hAnsi="Calibri"/>
                <w:b/>
                <w:color w:val="FFFFFF"/>
                <w:sz w:val="19"/>
              </w:rPr>
              <w:t>Título</w:t>
            </w:r>
          </w:p>
        </w:tc>
        <w:tc>
          <w:tcPr>
            <w:tcW w:type="dxa" w:w="2551"/>
            <w:shd w:val="clear" w:color="auto" w:fill="1F3A5F"/>
          </w:tcPr>
          <w:p>
            <w:r/>
            <w:r>
              <w:rPr>
                <w:rFonts w:ascii="Calibri" w:hAnsi="Calibri"/>
                <w:b/>
                <w:color w:val="FFFFFF"/>
                <w:sz w:val="19"/>
              </w:rPr>
              <w:t>Estado</w:t>
            </w:r>
          </w:p>
        </w:tc>
        <w:tc>
          <w:tcPr>
            <w:tcW w:type="dxa" w:w="2551"/>
            <w:shd w:val="clear" w:color="auto" w:fill="1F3A5F"/>
          </w:tcPr>
          <w:p>
            <w:r/>
            <w:r>
              <w:rPr>
                <w:rFonts w:ascii="Calibri" w:hAnsi="Calibri"/>
                <w:b/>
                <w:color w:val="FFFFFF"/>
                <w:sz w:val="19"/>
              </w:rPr>
              <w:t>Resumen</w:t>
            </w:r>
          </w:p>
        </w:tc>
      </w:tr>
      <w:tr>
        <w:tc>
          <w:tcPr>
            <w:tcW w:type="dxa" w:w="1134"/>
          </w:tcPr>
          <w:p>
            <w:r/>
            <w:r>
              <w:rPr>
                <w:rFonts w:ascii="Calibri" w:hAnsi="Calibri"/>
                <w:b w:val="0"/>
                <w:sz w:val="18"/>
              </w:rPr>
              <w:t>0001</w:t>
            </w:r>
          </w:p>
        </w:tc>
        <w:tc>
          <w:tcPr>
            <w:tcW w:type="dxa" w:w="3402"/>
          </w:tcPr>
          <w:p>
            <w:r/>
            <w:r>
              <w:rPr>
                <w:rFonts w:ascii="Calibri" w:hAnsi="Calibri"/>
                <w:b w:val="0"/>
                <w:sz w:val="18"/>
              </w:rPr>
              <w:t>Arquitectura de backend en capas (.NET)</w:t>
            </w:r>
          </w:p>
        </w:tc>
        <w:tc>
          <w:tcPr>
            <w:tcW w:type="dxa" w:w="2551"/>
          </w:tcPr>
          <w:p>
            <w:r/>
            <w:r>
              <w:rPr>
                <w:rFonts w:ascii="Calibri" w:hAnsi="Calibri"/>
                <w:b w:val="0"/>
                <w:sz w:val="18"/>
              </w:rPr>
              <w:t>Aceptada</w:t>
            </w:r>
          </w:p>
        </w:tc>
        <w:tc>
          <w:tcPr>
            <w:tcW w:type="dxa" w:w="2551"/>
          </w:tcPr>
          <w:p>
            <w:r/>
            <w:r>
              <w:rPr>
                <w:rFonts w:ascii="Calibri" w:hAnsi="Calibri"/>
                <w:b w:val="0"/>
                <w:sz w:val="18"/>
              </w:rPr>
              <w:t>.NET 8, Clean Architecture, MediatR + FluentValidation, JWT + BCrypt, ProblemDetails.</w:t>
            </w:r>
          </w:p>
        </w:tc>
      </w:tr>
      <w:tr>
        <w:tc>
          <w:tcPr>
            <w:tcW w:type="dxa" w:w="1134"/>
          </w:tcPr>
          <w:p>
            <w:r/>
            <w:r>
              <w:rPr>
                <w:rFonts w:ascii="Calibri" w:hAnsi="Calibri"/>
                <w:b w:val="0"/>
                <w:sz w:val="18"/>
              </w:rPr>
              <w:t>0002</w:t>
            </w:r>
          </w:p>
        </w:tc>
        <w:tc>
          <w:tcPr>
            <w:tcW w:type="dxa" w:w="3402"/>
          </w:tcPr>
          <w:p>
            <w:r/>
            <w:r>
              <w:rPr>
                <w:rFonts w:ascii="Calibri" w:hAnsi="Calibri"/>
                <w:b w:val="0"/>
                <w:sz w:val="18"/>
              </w:rPr>
              <w:t>Frontend: Angular sobre Blazor</w:t>
            </w:r>
          </w:p>
        </w:tc>
        <w:tc>
          <w:tcPr>
            <w:tcW w:type="dxa" w:w="2551"/>
          </w:tcPr>
          <w:p>
            <w:r/>
            <w:r>
              <w:rPr>
                <w:rFonts w:ascii="Calibri" w:hAnsi="Calibri"/>
                <w:sz w:val="18"/>
              </w:rPr>
              <w:t>Aceptada</w:t>
            </w:r>
          </w:p>
        </w:tc>
        <w:tc>
          <w:tcPr>
            <w:tcW w:type="dxa" w:w="2551"/>
          </w:tcPr>
          <w:p>
            <w:r/>
            <w:r>
              <w:rPr>
                <w:rFonts w:ascii="Calibri" w:hAnsi="Calibri"/>
                <w:b w:val="0"/>
                <w:sz w:val="18"/>
              </w:rPr>
              <w:t>Angular recomendado — pendiente confirmación final del equipo.</w:t>
            </w:r>
          </w:p>
        </w:tc>
      </w:tr>
      <w:tr>
        <w:tc>
          <w:tcPr>
            <w:tcW w:type="dxa" w:w="1134"/>
          </w:tcPr>
          <w:p>
            <w:r/>
            <w:r>
              <w:rPr>
                <w:rFonts w:ascii="Calibri" w:hAnsi="Calibri"/>
                <w:b w:val="0"/>
                <w:sz w:val="18"/>
              </w:rPr>
              <w:t>0003</w:t>
            </w:r>
          </w:p>
        </w:tc>
        <w:tc>
          <w:tcPr>
            <w:tcW w:type="dxa" w:w="3402"/>
          </w:tcPr>
          <w:p>
            <w:r/>
            <w:r>
              <w:rPr>
                <w:rFonts w:ascii="Calibri" w:hAnsi="Calibri"/>
                <w:b w:val="0"/>
                <w:sz w:val="18"/>
              </w:rPr>
              <w:t>Mejoras de diseño de base de datos</w:t>
            </w:r>
          </w:p>
        </w:tc>
        <w:tc>
          <w:tcPr>
            <w:tcW w:type="dxa" w:w="2551"/>
          </w:tcPr>
          <w:p>
            <w:r/>
            <w:r>
              <w:rPr>
                <w:rFonts w:ascii="Calibri" w:hAnsi="Calibri"/>
                <w:b w:val="0"/>
                <w:sz w:val="18"/>
              </w:rPr>
              <w:t>Propuesta (implementada en el esquema actual)</w:t>
            </w:r>
          </w:p>
        </w:tc>
        <w:tc>
          <w:tcPr>
            <w:tcW w:type="dxa" w:w="2551"/>
          </w:tcPr>
          <w:p>
            <w:r/>
            <w:r>
              <w:rPr>
                <w:rFonts w:ascii="Calibri" w:hAnsi="Calibri"/>
                <w:b w:val="0"/>
                <w:sz w:val="18"/>
              </w:rPr>
              <w:t>PK sintéticas, auditoría, borrado lógico, catálogos normalizados, índices explícitos, scripts versionados.</w:t>
            </w:r>
          </w:p>
        </w:tc>
      </w:tr>
      <w:tr>
        <w:tc>
          <w:tcPr>
            <w:tcW w:type="dxa" w:w="1134"/>
          </w:tcPr>
          <w:p>
            <w:r/>
            <w:r>
              <w:rPr>
                <w:rFonts w:ascii="Calibri" w:hAnsi="Calibri"/>
                <w:b w:val="0"/>
                <w:sz w:val="18"/>
              </w:rPr>
              <w:t>0004</w:t>
            </w:r>
          </w:p>
        </w:tc>
        <w:tc>
          <w:tcPr>
            <w:tcW w:type="dxa" w:w="3402"/>
          </w:tcPr>
          <w:p>
            <w:r/>
            <w:r>
              <w:rPr>
                <w:rFonts w:ascii="Calibri" w:hAnsi="Calibri"/>
                <w:b w:val="0"/>
                <w:sz w:val="18"/>
              </w:rPr>
              <w:t>Cumplimiento Ley N° 21.719 y convenciones de esquema</w:t>
            </w:r>
          </w:p>
        </w:tc>
        <w:tc>
          <w:tcPr>
            <w:tcW w:type="dxa" w:w="2551"/>
          </w:tcPr>
          <w:p>
            <w:r/>
            <w:r>
              <w:rPr>
                <w:rFonts w:ascii="Calibri" w:hAnsi="Calibri"/>
                <w:b w:val="0"/>
                <w:sz w:val="18"/>
              </w:rPr>
              <w:t>Aceptada</w:t>
            </w:r>
          </w:p>
        </w:tc>
        <w:tc>
          <w:tcPr>
            <w:tcW w:type="dxa" w:w="2551"/>
          </w:tcPr>
          <w:p>
            <w:r/>
            <w:r>
              <w:rPr>
                <w:rFonts w:ascii="Calibri" w:hAnsi="Calibri"/>
                <w:b w:val="0"/>
                <w:sz w:val="18"/>
              </w:rPr>
              <w:t>PublicId no enumerable, naming OPT_ + singular, clasificación de datos sensibles, puntos de cumplimiento pendientes.</w:t>
            </w:r>
          </w:p>
        </w:tc>
      </w:tr>
      <w:tr>
        <w:tc>
          <w:tcPr>
            <w:tcW w:type="dxa" w:w="2160"/>
          </w:tcPr>
          <w:p>
            <w:r/>
            <w:r>
              <w:rPr>
                <w:rFonts w:ascii="Calibri" w:hAnsi="Calibri"/>
                <w:sz w:val="18"/>
              </w:rPr>
              <w:t>0005</w:t>
            </w:r>
          </w:p>
        </w:tc>
        <w:tc>
          <w:tcPr>
            <w:tcW w:type="dxa" w:w="2160"/>
          </w:tcPr>
          <w:p>
            <w:r/>
            <w:r>
              <w:rPr>
                <w:rFonts w:ascii="Calibri" w:hAnsi="Calibri"/>
                <w:sz w:val="18"/>
              </w:rPr>
              <w:t>OPT.Migracion como herramienta standalone fuera de Clean Architecture</w:t>
            </w:r>
          </w:p>
        </w:tc>
        <w:tc>
          <w:tcPr>
            <w:tcW w:type="dxa" w:w="2160"/>
          </w:tcPr>
          <w:p>
            <w:r/>
            <w:r>
              <w:rPr>
                <w:rFonts w:ascii="Calibri" w:hAnsi="Calibri"/>
                <w:sz w:val="18"/>
              </w:rPr>
              <w:t>Aceptada</w:t>
            </w:r>
          </w:p>
        </w:tc>
        <w:tc>
          <w:tcPr>
            <w:tcW w:type="dxa" w:w="2160"/>
          </w:tcPr>
          <w:p>
            <w:r/>
            <w:r>
              <w:rPr>
                <w:rFonts w:ascii="Calibri" w:hAnsi="Calibri"/>
                <w:sz w:val="18"/>
              </w:rPr>
              <w:t>Proyecto de consola aparte (ADO.NET + Dapper), sin depender de OPT.Domain/Application/Infrastructure; temporal, no es parte del sistema en producción.</w:t>
            </w:r>
          </w:p>
        </w:tc>
      </w:tr>
      <w:tr>
        <w:tc>
          <w:tcPr>
            <w:tcW w:type="dxa" w:w="2160"/>
          </w:tcPr>
          <w:p>
            <w:r/>
            <w:r>
              <w:rPr>
                <w:rFonts w:ascii="Calibri" w:hAnsi="Calibri"/>
                <w:sz w:val="18"/>
              </w:rPr>
              <w:t>0006</w:t>
            </w:r>
          </w:p>
        </w:tc>
        <w:tc>
          <w:tcPr>
            <w:tcW w:type="dxa" w:w="2160"/>
          </w:tcPr>
          <w:p>
            <w:r/>
            <w:r>
              <w:rPr>
                <w:rFonts w:ascii="Calibri" w:hAnsi="Calibri"/>
                <w:sz w:val="18"/>
              </w:rPr>
              <w:t>Módulo Comercial: tablas Pago/Cuota y migración por SQL directo</w:t>
            </w:r>
          </w:p>
        </w:tc>
        <w:tc>
          <w:tcPr>
            <w:tcW w:type="dxa" w:w="2160"/>
          </w:tcPr>
          <w:p>
            <w:r/>
            <w:r>
              <w:rPr>
                <w:rFonts w:ascii="Calibri" w:hAnsi="Calibri"/>
                <w:sz w:val="18"/>
              </w:rPr>
              <w:t>Aceptada</w:t>
            </w:r>
          </w:p>
        </w:tc>
        <w:tc>
          <w:tcPr>
            <w:tcW w:type="dxa" w:w="2160"/>
          </w:tcPr>
          <w:p>
            <w:r/>
            <w:r>
              <w:rPr>
                <w:rFonts w:ascii="Calibri" w:hAnsi="Calibri"/>
                <w:sz w:val="18"/>
              </w:rPr>
              <w:t>Crear OPT_Pago/OPT_Cuota/OPT_EstadoCuota, migrar solo los productos usados, recalcular TotalAbonado = abonos + pagos, y ejecutar esta fase con SQL en vez de OPT.Migracion.</w:t>
            </w:r>
          </w:p>
        </w:tc>
      </w:tr>
      <w:tr>
        <w:tc>
          <w:tcPr>
            <w:tcW w:type="dxa" w:w="2160"/>
          </w:tcPr>
          <w:p>
            <w:r>
              <w:t>0007</w:t>
            </w:r>
            <w:r>
              <w:rPr>
                <w:rFonts w:ascii="Calibri" w:hAnsi="Calibri"/>
                <w:sz w:val="18"/>
              </w:rPr>
            </w:r>
          </w:p>
        </w:tc>
        <w:tc>
          <w:tcPr>
            <w:tcW w:type="dxa" w:w="2160"/>
          </w:tcPr>
          <w:p>
            <w:r>
              <w:t>API del módulo Comercial: agregado OT, flujo de estados y alcance de PublicId</w:t>
            </w:r>
            <w:r>
              <w:rPr>
                <w:rFonts w:ascii="Calibri" w:hAnsi="Calibri"/>
                <w:sz w:val="18"/>
              </w:rPr>
            </w:r>
          </w:p>
        </w:tc>
        <w:tc>
          <w:tcPr>
            <w:tcW w:type="dxa" w:w="2160"/>
          </w:tcPr>
          <w:p>
            <w:r>
              <w:t>Aceptada</w:t>
            </w:r>
            <w:r>
              <w:rPr>
                <w:rFonts w:ascii="Calibri" w:hAnsi="Calibri"/>
                <w:sz w:val="18"/>
              </w:rPr>
            </w:r>
          </w:p>
        </w:tc>
        <w:tc>
          <w:tcPr>
            <w:tcW w:type="dxa" w:w="2160"/>
          </w:tcPr>
          <w:p>
            <w:r>
              <w:t>PublicId solo en OrdenDeTrabajo (los hijos van anidados); flujo de estados secuencial con retroceso de a un paso y observación obligatoria; anulación como estado terminal del catálogo en vez de borrado lógico; Precio derivado del detalle con sobrepago permitido; plan de cuotas generado por el sistema e imputación automática al registrar un pago.</w:t>
            </w:r>
            <w:r>
              <w:rPr>
                <w:rFonts w:ascii="Calibri" w:hAnsi="Calibri"/>
                <w:sz w:val="18"/>
              </w:rPr>
            </w:r>
          </w:p>
        </w:tc>
      </w:tr>
      <w:tr>
        <w:tc>
          <w:tcPr>
            <w:tcW w:type="dxa" w:w="2160"/>
          </w:tcPr>
          <w:p>
            <w:r>
              <w:t>0008</w:t>
            </w:r>
          </w:p>
        </w:tc>
        <w:tc>
          <w:tcPr>
            <w:tcW w:type="dxa" w:w="2160"/>
          </w:tcPr>
          <w:p>
            <w:r>
              <w:t>Receta vinculada a la Orden de Trabajo y vista "Ver Orden"</w:t>
            </w:r>
          </w:p>
        </w:tc>
        <w:tc>
          <w:tcPr>
            <w:tcW w:type="dxa" w:w="2160"/>
          </w:tcPr>
          <w:p>
            <w:r>
              <w:t>Aceptada</w:t>
            </w:r>
          </w:p>
        </w:tc>
        <w:tc>
          <w:tcPr>
            <w:tcW w:type="dxa" w:w="2160"/>
          </w:tcPr>
          <w:p>
            <w:r>
              <w:t>Se recupera el vínculo receta↔OT del legacy (OPT_RecetaCristales.OrdenDeTrabajoId, nullable, 1:N) en vez de aproximar la receta por fecha; se agrega OPT_DetalleOT.Comentario; la ficha ruteada de la OT adopta las pestañas del legacy (Cliente / Receta / Detalle / Abonos) en vez de sumar un modal; y el listado de OT no consulta hasta que hay un criterio de búsqueda.</w:t>
            </w:r>
          </w:p>
        </w:tc>
      </w:tr>
      <w:tr>
        <w:tc>
          <w:tcPr>
            <w:tcW w:type="dxa" w:w="2160"/>
          </w:tcPr>
          <w:p>
            <w:r>
              <w:t>0009</w:t>
            </w:r>
          </w:p>
        </w:tc>
        <w:tc>
          <w:tcPr>
            <w:tcW w:type="dxa" w:w="2160"/>
          </w:tcPr>
          <w:p>
            <w:r>
              <w:t>Alta de OT como asistente por pasos</w:t>
            </w:r>
          </w:p>
        </w:tc>
        <w:tc>
          <w:tcPr>
            <w:tcW w:type="dxa" w:w="2160"/>
          </w:tcPr>
          <w:p>
            <w:r>
              <w:t>Aceptada</w:t>
            </w:r>
          </w:p>
        </w:tc>
        <w:tc>
          <w:tcPr>
            <w:tcW w:type="dxa" w:w="2160"/>
          </w:tcPr>
          <w:p>
            <w:r>
              <w:t>Sin impacto en el backend, y esa es la decisión que registra: el flujo del mesón —crear cliente, tomar receta y emitir la orden en un solo acto— se resuelve encadenando las APIs existentes (POST /api/clientes, POST /api/recetacristales, POST /api/ordenes-de-trabajo) en vez de agregar un endpoint transaccional que reciba cliente y receta embebidos en CrearOrdenDeTrabajoCommand. Costo aceptado: el alta no es atómica — si falla el POST de la orden, el cliente y la receta quedan creados. Si el negocio pidiera atomicidad, ese endpoint es la salida documentada.</w:t>
            </w:r>
          </w:p>
        </w:tc>
      </w:tr>
      <w:tr>
        <w:tc>
          <w:tcPr>
            <w:tcW w:type="dxa" w:w="2160"/>
          </w:tcPr>
          <w:p>
            <w:r>
              <w:t>0010</w:t>
            </w:r>
          </w:p>
        </w:tc>
        <w:tc>
          <w:tcPr>
            <w:tcW w:type="dxa" w:w="2160"/>
          </w:tcPr>
          <w:p>
            <w:r>
              <w:t>Mejoras a la ficha/alta de Orden de Trabajo</w:t>
            </w:r>
          </w:p>
        </w:tc>
        <w:tc>
          <w:tcPr>
            <w:tcW w:type="dxa" w:w="2160"/>
          </w:tcPr>
          <w:p>
            <w:r>
              <w:t>Aceptada</w:t>
            </w:r>
          </w:p>
        </w:tc>
        <w:tc>
          <w:tcPr>
            <w:tcW w:type="dxa" w:w="2160"/>
          </w:tcPr>
          <w:p>
            <w:r>
              <w:t>Casi todo el alcance quedó en frontend (bloqueo visible de edición cuando la OT está Entregado/anulada, cabecera completa en el paso Cliente, combo de receta reciente con historial opcional, y rediseño del paso Pago con tres modalidades explícitas y previsualización de cuotas mensuales). Única excepción de backend: CrearRecetaCristalesCommandValidator/ActualizarRecetaCristalesCommandValidator dejaron de exigir con NotEmpty() las 6 observaciones de los bloques Lejos/Cerca cuando su checkbox está activo — la primera pasada solo había tocado el frontend y habría dejado la API rechazando con 422. Sin cambios de esquema.</w:t>
            </w:r>
          </w:p>
        </w:tc>
      </w:tr>
      <w:tr>
        <w:tc>
          <w:tcPr>
            <w:tcW w:type="dxa" w:w="2160"/>
          </w:tcPr>
          <w:p>
            <w:r>
              <w:t>0011</w:t>
            </w:r>
          </w:p>
        </w:tc>
        <w:tc>
          <w:tcPr>
            <w:tcW w:type="dxa" w:w="2160"/>
          </w:tcPr>
          <w:p>
            <w:r>
              <w:t>API del módulo Operativo: agregado propio, snapshot de montos y reuso de roles</w:t>
            </w:r>
          </w:p>
        </w:tc>
        <w:tc>
          <w:tcPr>
            <w:tcW w:type="dxa" w:w="2160"/>
          </w:tcPr>
          <w:p>
            <w:r>
              <w:t>Aceptada</w:t>
            </w:r>
          </w:p>
        </w:tc>
        <w:tc>
          <w:tcPr>
            <w:tcW w:type="dxa" w:w="2160"/>
          </w:tcPr>
          <w:p>
            <w:r>
              <w:t>Operativo es agregado raíz propio que no referencia OrdenDeTrabajo desde OPT.Domain; MontoTotalVendido/MontoTotalPagado se calculan desde un snapshot en OperativoOT (MontoVendidoSnapshot/MontoPagadoSnapshot), refrescado a demanda vía POST /recalcular-montos, no en vivo; flujo de estados secuencial sin retroceso, Anulado solo desde Prospecto/Ingresado, sin bitácora propia; ganancia/pérdida se expone como ambas fórmulas derivadas (Pagado−Gastos y Vendido−Gastos); permisos reusan los grupos de RolesOPT ya existentes; filtro de Cobranza por Operativo resuelto extendiendo el listado de OT con operativoPublicId, sin tocar CobranzaController.</w:t>
            </w:r>
          </w:p>
        </w:tc>
      </w:tr>
    </w:tbl>
    <w:p>
      <w:pPr>
        <w:spacing w:after="80"/>
      </w:pPr>
    </w:p>
    <w:p>
      <w:r>
        <w:t>El detalle completo de cada ADR — contexto, alternativas consideradas y consecuencias — está en .agents/decisions/.</w:t>
      </w:r>
    </w:p>
    <w:p/>
    <w:p>
      <w:pPr>
        <w:pStyle w:val="Heading1"/>
      </w:pPr>
      <w:r>
        <w:t>13. Migración de Datos Legacy (OPT.Migracion)</w:t>
      </w:r>
    </w:p>
    <w:p>
      <w:pPr>
        <w:pStyle w:val="Heading2"/>
      </w:pPr>
      <w:r>
        <w:t>13.1 Propósito y arquitectura</w:t>
      </w:r>
    </w:p>
    <w:p>
      <w:pPr/>
      <w:r>
        <w:rPr>
          <w:rFonts w:ascii="Calibri" w:hAnsi="Calibri"/>
          <w:sz w:val="21"/>
        </w:rPr>
        <w:t>OPT.Migracion (src/backend/OPT.Migracion/) es la herramienta que traspasa datos reales desde el legacy (db_a25cfd_opt2) hacia el esquema nuevo (dbOPT_NET). Es un proyecto de consola STANDALONE, agregado a OPT.sln pero deliberadamente FUERA de la cadena de dependencia OPT.API → OPT.Infrastructure → OPT.Application → OPT.Domain: no referencia ninguno de esos cuatro proyectos, y ninguno de ellos lo referencia a él. No es parte del sistema en producción — ver ADR 0005 para la justificación completa.</w:t>
      </w:r>
    </w:p>
    <w:p>
      <w:pPr/>
      <w:r>
        <w:rPr>
          <w:rFonts w:ascii="Calibri" w:hAnsi="Calibri"/>
          <w:sz w:val="21"/>
        </w:rPr>
        <w:t>Usa ADO.NET directo (Microsoft.Data.SqlClient + Dapper) en vez de Entity Framework Core / AppDbContext, por dos razones concretas: AuditableEntity.SetCreacion() fuerza DateTimeOffset.UtcNow (no permite preservar fechas históricas del legacy), y varias fábricas de dominio son internal con invariantes pensadas para altas una por una desde la API, no para cargas históricas masivas. Sí reutiliza BCrypt.Net-Next (mismo work factor 12 que PasswordService) para hashear las contraseñas legacy en texto plano.</w:t>
      </w:r>
    </w:p>
    <w:p>
      <w:pPr/>
      <w:r>
        <w:rPr>
          <w:rFonts w:ascii="Calibri" w:hAnsi="Calibri"/>
          <w:sz w:val="21"/>
        </w:rPr>
        <w:t>Lee el legacy siempre de solo lectura. Escribe en dbOPT_NET dentro de una única transacción SQL por corrida — rollback automático completo ante cualquier error a mitad de camino. EXCEPCIÓN: el módulo Comercial NO se migró con esta herramienta. La sesión 2026-08-27 estaba acotada a base de datos, así que se resolvió con dos scripts SQL — src/basedatos/004_comercial_pagos_cuotas.sql (esquema) y src/basedatos/migracion/M004_datos_comercial.sql (datos, INSERT ... SELECT cross-database en una sola transacción, con guardas y flag @Force). Consecuencia operativa: OPT.Migracion no sabe que ese módulo ya está migrado — si se le agrega una fase Comercial, debe respetar el guard «si el destino ya tiene OT, omitir». Ver ADR 0006.</w:t>
      </w:r>
    </w:p>
    <w:p>
      <w:pPr>
        <w:pStyle w:val="Heading2"/>
      </w:pPr>
      <w:r>
        <w:t>13.2 Comandos</w:t>
      </w:r>
    </w:p>
    <w:tbl>
      <w:tblPr>
        <w:tblStyle w:val="TableGrid"/>
        <w:tblW w:type="auto" w:w="0"/>
        <w:tblLook w:firstColumn="1" w:firstRow="1" w:lastColumn="0" w:lastRow="0" w:noHBand="0" w:noVBand="1" w:val="04A0"/>
      </w:tblPr>
      <w:tblGrid>
        <w:gridCol w:w="4320"/>
        <w:gridCol w:w="4320"/>
      </w:tblGrid>
      <w:tr>
        <w:tc>
          <w:tcPr>
            <w:tcW w:type="dxa" w:w="4320"/>
            <w:shd w:val="clear" w:color="auto" w:fill="1F3A5F"/>
          </w:tcPr>
          <w:p>
            <w:r/>
            <w:r>
              <w:rPr>
                <w:rFonts w:ascii="Calibri" w:hAnsi="Calibri"/>
                <w:b/>
                <w:color w:val="FFFFFF"/>
                <w:sz w:val="19"/>
              </w:rPr>
              <w:t>Comando</w:t>
            </w:r>
          </w:p>
        </w:tc>
        <w:tc>
          <w:tcPr>
            <w:tcW w:type="dxa" w:w="4320"/>
            <w:shd w:val="clear" w:color="auto" w:fill="1F3A5F"/>
          </w:tcPr>
          <w:p>
            <w:r/>
            <w:r>
              <w:rPr>
                <w:rFonts w:ascii="Calibri" w:hAnsi="Calibri"/>
                <w:b/>
                <w:color w:val="FFFFFF"/>
                <w:sz w:val="19"/>
              </w:rPr>
              <w:t>Qué hace</w:t>
            </w:r>
          </w:p>
        </w:tc>
      </w:tr>
      <w:tr>
        <w:tc>
          <w:tcPr>
            <w:tcW w:type="dxa" w:w="4320"/>
          </w:tcPr>
          <w:p>
            <w:r/>
            <w:r>
              <w:rPr>
                <w:rFonts w:ascii="Calibri" w:hAnsi="Calibri"/>
                <w:sz w:val="18"/>
              </w:rPr>
              <w:t>dotnet run --project OPT.Migracion</w:t>
            </w:r>
          </w:p>
        </w:tc>
        <w:tc>
          <w:tcPr>
            <w:tcW w:type="dxa" w:w="4320"/>
          </w:tcPr>
          <w:p>
            <w:r/>
            <w:r>
              <w:rPr>
                <w:rFonts w:ascii="Calibri" w:hAnsi="Calibri"/>
                <w:sz w:val="18"/>
              </w:rPr>
              <w:t>Dry-run (modo por defecto) — reporta el plan completo sin escribir nada en dbOPT_NET.</w:t>
            </w:r>
          </w:p>
        </w:tc>
      </w:tr>
      <w:tr>
        <w:tc>
          <w:tcPr>
            <w:tcW w:type="dxa" w:w="4320"/>
          </w:tcPr>
          <w:p>
            <w:r/>
            <w:r>
              <w:rPr>
                <w:rFonts w:ascii="Calibri" w:hAnsi="Calibri"/>
                <w:sz w:val="18"/>
              </w:rPr>
              <w:t>dotnet run --project OPT.Migracion -- --execute</w:t>
            </w:r>
          </w:p>
        </w:tc>
        <w:tc>
          <w:tcPr>
            <w:tcW w:type="dxa" w:w="4320"/>
          </w:tcPr>
          <w:p>
            <w:r/>
            <w:r>
              <w:rPr>
                <w:rFonts w:ascii="Calibri" w:hAnsi="Calibri"/>
                <w:sz w:val="18"/>
              </w:rPr>
              <w:t>Ejecuta la migración real dentro de una transacción; hace commit solo si todo termina sin errores.</w:t>
            </w:r>
          </w:p>
        </w:tc>
      </w:tr>
      <w:tr>
        <w:tc>
          <w:tcPr>
            <w:tcW w:type="dxa" w:w="4320"/>
          </w:tcPr>
          <w:p>
            <w:r/>
            <w:r>
              <w:rPr>
                <w:rFonts w:ascii="Calibri" w:hAnsi="Calibri"/>
                <w:sz w:val="18"/>
              </w:rPr>
              <w:t>dotnet run --project OPT.Migracion -- --execute --force</w:t>
            </w:r>
          </w:p>
        </w:tc>
        <w:tc>
          <w:tcPr>
            <w:tcW w:type="dxa" w:w="4320"/>
          </w:tcPr>
          <w:p>
            <w:r/>
            <w:r>
              <w:rPr>
                <w:rFonts w:ascii="Calibri" w:hAnsi="Calibri"/>
                <w:sz w:val="18"/>
              </w:rPr>
              <w:t>Permite re-ejecutar sobre tablas de destino que ya tengan filas (por defecto se aborta para evitar duplicados).</w:t>
            </w:r>
          </w:p>
        </w:tc>
      </w:tr>
      <w:tr>
        <w:tc>
          <w:tcPr>
            <w:tcW w:type="dxa" w:w="4320"/>
          </w:tcPr>
          <w:p>
            <w:r/>
            <w:r>
              <w:rPr>
                <w:rFonts w:ascii="Calibri" w:hAnsi="Calibri"/>
                <w:sz w:val="18"/>
              </w:rPr>
              <w:t>-- --legacy="..." --destino="..."</w:t>
            </w:r>
          </w:p>
        </w:tc>
        <w:tc>
          <w:tcPr>
            <w:tcW w:type="dxa" w:w="4320"/>
          </w:tcPr>
          <w:p>
            <w:r/>
            <w:r>
              <w:rPr>
                <w:rFonts w:ascii="Calibri" w:hAnsi="Calibri"/>
                <w:sz w:val="18"/>
              </w:rPr>
              <w:t>Sobrescribe las cadenas de conexión por defecto (localhost / Windows Authentication).</w:t>
            </w:r>
          </w:p>
        </w:tc>
      </w:tr>
    </w:tbl>
    <w:p>
      <w:pPr>
        <w:pStyle w:val="Heading2"/>
      </w:pPr>
      <w:r>
        <w:t>13.3 Estado de la migración (2026-08-27)</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A5F"/>
          </w:tcPr>
          <w:p>
            <w:r/>
            <w:r>
              <w:rPr>
                <w:rFonts w:ascii="Calibri" w:hAnsi="Calibri"/>
                <w:b/>
                <w:color w:val="FFFFFF"/>
                <w:sz w:val="19"/>
              </w:rPr>
              <w:t>Entidad</w:t>
            </w:r>
          </w:p>
        </w:tc>
        <w:tc>
          <w:tcPr>
            <w:tcW w:type="dxa" w:w="2880"/>
            <w:shd w:val="clear" w:color="auto" w:fill="1F3A5F"/>
          </w:tcPr>
          <w:p>
            <w:r/>
            <w:r>
              <w:rPr>
                <w:rFonts w:ascii="Calibri" w:hAnsi="Calibri"/>
                <w:b/>
                <w:color w:val="FFFFFF"/>
                <w:sz w:val="19"/>
              </w:rPr>
              <w:t>Estado</w:t>
            </w:r>
          </w:p>
        </w:tc>
        <w:tc>
          <w:tcPr>
            <w:tcW w:type="dxa" w:w="2880"/>
            <w:shd w:val="clear" w:color="auto" w:fill="1F3A5F"/>
          </w:tcPr>
          <w:p>
            <w:r/>
            <w:r>
              <w:rPr>
                <w:rFonts w:ascii="Calibri" w:hAnsi="Calibri"/>
                <w:b/>
                <w:color w:val="FFFFFF"/>
                <w:sz w:val="19"/>
              </w:rPr>
              <w:t>Filas migradas</w:t>
            </w:r>
          </w:p>
        </w:tc>
      </w:tr>
      <w:tr>
        <w:tc>
          <w:tcPr>
            <w:tcW w:type="dxa" w:w="2880"/>
          </w:tcPr>
          <w:p>
            <w:r/>
            <w:r>
              <w:rPr>
                <w:rFonts w:ascii="Calibri" w:hAnsi="Calibri"/>
                <w:sz w:val="18"/>
              </w:rPr>
              <w:t>Región, Comuna, Rol</w:t>
            </w:r>
          </w:p>
        </w:tc>
        <w:tc>
          <w:tcPr>
            <w:tcW w:type="dxa" w:w="2880"/>
          </w:tcPr>
          <w:p>
            <w:r/>
            <w:r>
              <w:rPr>
                <w:rFonts w:ascii="Calibri" w:hAnsi="Calibri"/>
                <w:sz w:val="18"/>
              </w:rPr>
              <w:t>Sin migración de filas — ya sembrados vía HasData()</w:t>
            </w:r>
          </w:p>
        </w:tc>
        <w:tc>
          <w:tcPr>
            <w:tcW w:type="dxa" w:w="2880"/>
          </w:tcPr>
          <w:p>
            <w:r/>
            <w:r>
              <w:rPr>
                <w:rFonts w:ascii="Calibri" w:hAnsi="Calibri"/>
                <w:sz w:val="18"/>
              </w:rPr>
              <w:t>—</w:t>
            </w:r>
          </w:p>
        </w:tc>
      </w:tr>
      <w:tr>
        <w:tc>
          <w:tcPr>
            <w:tcW w:type="dxa" w:w="2880"/>
          </w:tcPr>
          <w:p>
            <w:r/>
            <w:r>
              <w:rPr>
                <w:rFonts w:ascii="Calibri" w:hAnsi="Calibri"/>
                <w:sz w:val="18"/>
              </w:rPr>
              <w:t>Sucursal</w:t>
            </w:r>
          </w:p>
        </w:tc>
        <w:tc>
          <w:tcPr>
            <w:tcW w:type="dxa" w:w="2880"/>
          </w:tcPr>
          <w:p>
            <w:r/>
            <w:r>
              <w:rPr>
                <w:rFonts w:ascii="Calibri" w:hAnsi="Calibri"/>
                <w:sz w:val="18"/>
              </w:rPr>
              <w:t>Migrada</w:t>
            </w:r>
          </w:p>
        </w:tc>
        <w:tc>
          <w:tcPr>
            <w:tcW w:type="dxa" w:w="2880"/>
          </w:tcPr>
          <w:p>
            <w:r/>
            <w:r>
              <w:rPr>
                <w:rFonts w:ascii="Calibri" w:hAnsi="Calibri"/>
                <w:sz w:val="18"/>
              </w:rPr>
              <w:t>3</w:t>
            </w:r>
          </w:p>
        </w:tc>
      </w:tr>
      <w:tr>
        <w:tc>
          <w:tcPr>
            <w:tcW w:type="dxa" w:w="2880"/>
          </w:tcPr>
          <w:p>
            <w:r/>
            <w:r>
              <w:rPr>
                <w:rFonts w:ascii="Calibri" w:hAnsi="Calibri"/>
                <w:sz w:val="18"/>
              </w:rPr>
              <w:t>Empresa</w:t>
            </w:r>
          </w:p>
        </w:tc>
        <w:tc>
          <w:tcPr>
            <w:tcW w:type="dxa" w:w="2880"/>
          </w:tcPr>
          <w:p>
            <w:r/>
            <w:r>
              <w:rPr>
                <w:rFonts w:ascii="Calibri" w:hAnsi="Calibri"/>
                <w:sz w:val="18"/>
              </w:rPr>
              <w:t>Migrada</w:t>
            </w:r>
          </w:p>
        </w:tc>
        <w:tc>
          <w:tcPr>
            <w:tcW w:type="dxa" w:w="2880"/>
          </w:tcPr>
          <w:p>
            <w:r/>
            <w:r>
              <w:rPr>
                <w:rFonts w:ascii="Calibri" w:hAnsi="Calibri"/>
                <w:sz w:val="18"/>
              </w:rPr>
              <w:t>491</w:t>
            </w:r>
          </w:p>
        </w:tc>
      </w:tr>
      <w:tr>
        <w:tc>
          <w:tcPr>
            <w:tcW w:type="dxa" w:w="2880"/>
          </w:tcPr>
          <w:p>
            <w:r/>
            <w:r>
              <w:rPr>
                <w:rFonts w:ascii="Calibri" w:hAnsi="Calibri"/>
                <w:sz w:val="18"/>
              </w:rPr>
              <w:t>Usuario</w:t>
            </w:r>
          </w:p>
        </w:tc>
        <w:tc>
          <w:tcPr>
            <w:tcW w:type="dxa" w:w="2880"/>
          </w:tcPr>
          <w:p>
            <w:r/>
            <w:r>
              <w:rPr>
                <w:rFonts w:ascii="Calibri" w:hAnsi="Calibri"/>
                <w:sz w:val="18"/>
              </w:rPr>
              <w:t>Migrada</w:t>
            </w:r>
          </w:p>
        </w:tc>
        <w:tc>
          <w:tcPr>
            <w:tcW w:type="dxa" w:w="2880"/>
          </w:tcPr>
          <w:p>
            <w:r/>
            <w:r>
              <w:rPr>
                <w:rFonts w:ascii="Calibri" w:hAnsi="Calibri"/>
                <w:sz w:val="18"/>
              </w:rPr>
              <w:t>13</w:t>
            </w:r>
          </w:p>
        </w:tc>
      </w:tr>
      <w:tr>
        <w:tc>
          <w:tcPr>
            <w:tcW w:type="dxa" w:w="2880"/>
          </w:tcPr>
          <w:p>
            <w:r/>
            <w:r>
              <w:rPr>
                <w:rFonts w:ascii="Calibri" w:hAnsi="Calibri"/>
                <w:sz w:val="18"/>
              </w:rPr>
              <w:t>UsuarioSucursal</w:t>
            </w:r>
          </w:p>
        </w:tc>
        <w:tc>
          <w:tcPr>
            <w:tcW w:type="dxa" w:w="2880"/>
          </w:tcPr>
          <w:p>
            <w:r/>
            <w:r>
              <w:rPr>
                <w:rFonts w:ascii="Calibri" w:hAnsi="Calibri"/>
                <w:sz w:val="18"/>
              </w:rPr>
              <w:t>Migrada</w:t>
            </w:r>
          </w:p>
        </w:tc>
        <w:tc>
          <w:tcPr>
            <w:tcW w:type="dxa" w:w="2880"/>
          </w:tcPr>
          <w:p>
            <w:r/>
            <w:r>
              <w:rPr>
                <w:rFonts w:ascii="Calibri" w:hAnsi="Calibri"/>
                <w:sz w:val="18"/>
              </w:rPr>
              <w:t>19</w:t>
            </w:r>
          </w:p>
        </w:tc>
      </w:tr>
      <w:tr>
        <w:tc>
          <w:tcPr>
            <w:tcW w:type="dxa" w:w="2880"/>
          </w:tcPr>
          <w:p>
            <w:r/>
            <w:r>
              <w:rPr>
                <w:rFonts w:ascii="Calibri" w:hAnsi="Calibri"/>
                <w:sz w:val="18"/>
              </w:rPr>
              <w:t>EmpresaSucursal</w:t>
            </w:r>
          </w:p>
        </w:tc>
        <w:tc>
          <w:tcPr>
            <w:tcW w:type="dxa" w:w="2880"/>
          </w:tcPr>
          <w:p>
            <w:r/>
            <w:r>
              <w:rPr>
                <w:rFonts w:ascii="Calibri" w:hAnsi="Calibri"/>
                <w:sz w:val="18"/>
              </w:rPr>
              <w:t>Migrada</w:t>
            </w:r>
          </w:p>
        </w:tc>
        <w:tc>
          <w:tcPr>
            <w:tcW w:type="dxa" w:w="2880"/>
          </w:tcPr>
          <w:p>
            <w:r/>
            <w:r>
              <w:rPr>
                <w:rFonts w:ascii="Calibri" w:hAnsi="Calibri"/>
                <w:sz w:val="18"/>
              </w:rPr>
              <w:t>883</w:t>
            </w:r>
          </w:p>
        </w:tc>
      </w:tr>
      <w:tr>
        <w:tc>
          <w:tcPr>
            <w:tcW w:type="dxa" w:w="2880"/>
          </w:tcPr>
          <w:p>
            <w:r/>
            <w:r>
              <w:rPr>
                <w:rFonts w:ascii="Calibri" w:hAnsi="Calibri"/>
                <w:sz w:val="18"/>
              </w:rPr>
              <w:t>Producto</w:t>
            </w:r>
          </w:p>
        </w:tc>
        <w:tc>
          <w:tcPr>
            <w:tcW w:type="dxa" w:w="2880"/>
          </w:tcPr>
          <w:p>
            <w:r/>
            <w:r>
              <w:rPr>
                <w:rFonts w:ascii="Calibri" w:hAnsi="Calibri"/>
                <w:sz w:val="18"/>
              </w:rPr>
              <w:t>Migrada parcialmente (SQL, no OPT.Migracion)</w:t>
            </w:r>
          </w:p>
        </w:tc>
        <w:tc>
          <w:tcPr>
            <w:tcW w:type="dxa" w:w="2880"/>
          </w:tcPr>
          <w:p>
            <w:r/>
            <w:r>
              <w:rPr>
                <w:rFonts w:ascii="Calibri" w:hAnsi="Calibri"/>
                <w:sz w:val="18"/>
              </w:rPr>
              <w:t>4.018 de 4.677 — solo los referenciados por algún detalle de OT</w:t>
            </w:r>
          </w:p>
        </w:tc>
      </w:tr>
      <w:tr>
        <w:tc>
          <w:tcPr>
            <w:tcW w:type="dxa" w:w="2880"/>
          </w:tcPr>
          <w:p>
            <w:r>
              <w:rPr>
                <w:rFonts w:ascii="Calibri" w:hAnsi="Calibri"/>
                <w:sz w:val="18"/>
              </w:rPr>
              <w:t xml:space="preserve">Cliente</w:t>
            </w:r>
          </w:p>
        </w:tc>
        <w:tc>
          <w:tcPr>
            <w:tcW w:type="dxa" w:w="2880"/>
          </w:tcPr>
          <w:p>
            <w:r>
              <w:rPr>
                <w:rFonts w:ascii="Calibri" w:hAnsi="Calibri"/>
                <w:sz w:val="18"/>
              </w:rPr>
              <w:t xml:space="preserve">Migrada</w:t>
            </w:r>
          </w:p>
        </w:tc>
        <w:tc>
          <w:tcPr>
            <w:tcW w:type="dxa" w:w="2880"/>
          </w:tcPr>
          <w:p>
            <w:r>
              <w:rPr>
                <w:rFonts w:ascii="Calibri" w:hAnsi="Calibri"/>
                <w:sz w:val="18"/>
              </w:rPr>
              <w:t xml:space="preserve">11.881</w:t>
            </w:r>
          </w:p>
        </w:tc>
      </w:tr>
      <w:tr>
        <w:tc>
          <w:tcPr>
            <w:tcW w:type="dxa" w:w="2880"/>
          </w:tcPr>
          <w:p>
            <w:r>
              <w:rPr>
                <w:rFonts w:ascii="Calibri" w:hAnsi="Calibri"/>
                <w:sz w:val="18"/>
              </w:rPr>
              <w:t xml:space="preserve">Anamnesis</w:t>
            </w:r>
          </w:p>
        </w:tc>
        <w:tc>
          <w:tcPr>
            <w:tcW w:type="dxa" w:w="2880"/>
          </w:tcPr>
          <w:p>
            <w:r>
              <w:rPr>
                <w:rFonts w:ascii="Calibri" w:hAnsi="Calibri"/>
                <w:sz w:val="18"/>
              </w:rPr>
              <w:t xml:space="preserve">Migrada</w:t>
            </w:r>
          </w:p>
        </w:tc>
        <w:tc>
          <w:tcPr>
            <w:tcW w:type="dxa" w:w="2880"/>
          </w:tcPr>
          <w:p>
            <w:r>
              <w:rPr>
                <w:rFonts w:ascii="Calibri" w:hAnsi="Calibri"/>
                <w:sz w:val="18"/>
              </w:rPr>
              <w:t xml:space="preserve">1.261</w:t>
            </w:r>
          </w:p>
        </w:tc>
      </w:tr>
      <w:tr>
        <w:tc>
          <w:tcPr>
            <w:tcW w:type="dxa" w:w="2880"/>
          </w:tcPr>
          <w:p>
            <w:r>
              <w:rPr>
                <w:rFonts w:ascii="Calibri" w:hAnsi="Calibri"/>
                <w:sz w:val="18"/>
              </w:rPr>
              <w:t xml:space="preserve">RecetaCristales</w:t>
            </w:r>
          </w:p>
        </w:tc>
        <w:tc>
          <w:tcPr>
            <w:tcW w:type="dxa" w:w="2880"/>
          </w:tcPr>
          <w:p>
            <w:r>
              <w:rPr>
                <w:rFonts w:ascii="Calibri" w:hAnsi="Calibri"/>
                <w:sz w:val="18"/>
              </w:rPr>
              <w:t xml:space="preserve">Migrada</w:t>
            </w:r>
          </w:p>
        </w:tc>
        <w:tc>
          <w:tcPr>
            <w:tcW w:type="dxa" w:w="2880"/>
          </w:tcPr>
          <w:p>
            <w:r>
              <w:rPr>
                <w:rFonts w:ascii="Calibri" w:hAnsi="Calibri"/>
                <w:sz w:val="18"/>
              </w:rPr>
              <w:t xml:space="preserve">13.183</w:t>
            </w:r>
          </w:p>
        </w:tc>
      </w:tr>
      <w:tr>
        <w:tc>
          <w:tcPr>
            <w:tcW w:type="dxa" w:w="2880"/>
          </w:tcPr>
          <w:p>
            <w:r/>
            <w:r>
              <w:rPr>
                <w:rFonts w:ascii="Calibri" w:hAnsi="Calibri"/>
                <w:sz w:val="18"/>
              </w:rPr>
              <w:t>ProductoSucursal</w:t>
            </w:r>
          </w:p>
        </w:tc>
        <w:tc>
          <w:tcPr>
            <w:tcW w:type="dxa" w:w="2880"/>
          </w:tcPr>
          <w:p>
            <w:r/>
            <w:r>
              <w:rPr>
                <w:rFonts w:ascii="Calibri" w:hAnsi="Calibri"/>
                <w:sz w:val="18"/>
              </w:rPr>
              <w:t>Pendiente</w:t>
            </w:r>
          </w:p>
        </w:tc>
        <w:tc>
          <w:tcPr>
            <w:tcW w:type="dxa" w:w="2880"/>
          </w:tcPr>
          <w:p>
            <w:r/>
            <w:r>
              <w:rPr>
                <w:rFonts w:ascii="Calibri" w:hAnsi="Calibri"/>
                <w:sz w:val="18"/>
              </w:rPr>
              <w:t>13.776</w:t>
            </w:r>
          </w:p>
        </w:tc>
      </w:tr>
      <w:tr>
        <w:tc>
          <w:tcPr>
            <w:tcW w:type="dxa" w:w="2880"/>
          </w:tcPr>
          <w:p>
            <w:r/>
            <w:r>
              <w:rPr>
                <w:rFonts w:ascii="Calibri" w:hAnsi="Calibri"/>
                <w:sz w:val="18"/>
              </w:rPr>
              <w:t>OrdenDeTrabajo</w:t>
            </w:r>
          </w:p>
        </w:tc>
        <w:tc>
          <w:tcPr>
            <w:tcW w:type="dxa" w:w="2880"/>
          </w:tcPr>
          <w:p>
            <w:r/>
            <w:r>
              <w:rPr>
                <w:rFonts w:ascii="Calibri" w:hAnsi="Calibri"/>
                <w:sz w:val="18"/>
              </w:rPr>
              <w:t>Migrada (SQL, no OPT.Migracion)</w:t>
            </w:r>
          </w:p>
        </w:tc>
        <w:tc>
          <w:tcPr>
            <w:tcW w:type="dxa" w:w="2880"/>
          </w:tcPr>
          <w:p>
            <w:r/>
            <w:r>
              <w:rPr>
                <w:rFonts w:ascii="Calibri" w:hAnsi="Calibri"/>
                <w:sz w:val="18"/>
              </w:rPr>
              <w:t>12.578</w:t>
            </w:r>
          </w:p>
        </w:tc>
      </w:tr>
      <w:tr>
        <w:tc>
          <w:tcPr>
            <w:tcW w:type="dxa" w:w="2880"/>
          </w:tcPr>
          <w:p>
            <w:r/>
            <w:r>
              <w:rPr>
                <w:rFonts w:ascii="Calibri" w:hAnsi="Calibri"/>
                <w:sz w:val="18"/>
              </w:rPr>
              <w:t>DetalleOT</w:t>
            </w:r>
          </w:p>
        </w:tc>
        <w:tc>
          <w:tcPr>
            <w:tcW w:type="dxa" w:w="2880"/>
          </w:tcPr>
          <w:p>
            <w:r/>
            <w:r>
              <w:rPr>
                <w:rFonts w:ascii="Calibri" w:hAnsi="Calibri"/>
                <w:sz w:val="18"/>
              </w:rPr>
              <w:t>Migrada (SQL)</w:t>
            </w:r>
          </w:p>
        </w:tc>
        <w:tc>
          <w:tcPr>
            <w:tcW w:type="dxa" w:w="2880"/>
          </w:tcPr>
          <w:p>
            <w:r/>
            <w:r>
              <w:rPr>
                <w:rFonts w:ascii="Calibri" w:hAnsi="Calibri"/>
                <w:sz w:val="18"/>
              </w:rPr>
              <w:t>20.573</w:t>
            </w:r>
          </w:p>
        </w:tc>
      </w:tr>
      <w:tr>
        <w:tc>
          <w:tcPr>
            <w:tcW w:type="dxa" w:w="2880"/>
          </w:tcPr>
          <w:p>
            <w:r/>
            <w:r>
              <w:rPr>
                <w:rFonts w:ascii="Calibri" w:hAnsi="Calibri"/>
                <w:sz w:val="18"/>
              </w:rPr>
              <w:t>BitacoraOT</w:t>
            </w:r>
          </w:p>
        </w:tc>
        <w:tc>
          <w:tcPr>
            <w:tcW w:type="dxa" w:w="2880"/>
          </w:tcPr>
          <w:p>
            <w:r/>
            <w:r>
              <w:rPr>
                <w:rFonts w:ascii="Calibri" w:hAnsi="Calibri"/>
                <w:sz w:val="18"/>
              </w:rPr>
              <w:t>Migrada (SQL)</w:t>
            </w:r>
          </w:p>
        </w:tc>
        <w:tc>
          <w:tcPr>
            <w:tcW w:type="dxa" w:w="2880"/>
          </w:tcPr>
          <w:p>
            <w:r/>
            <w:r>
              <w:rPr>
                <w:rFonts w:ascii="Calibri" w:hAnsi="Calibri"/>
                <w:sz w:val="18"/>
              </w:rPr>
              <w:t>31.964</w:t>
            </w:r>
          </w:p>
        </w:tc>
      </w:tr>
      <w:tr>
        <w:tc>
          <w:tcPr>
            <w:tcW w:type="dxa" w:w="2880"/>
          </w:tcPr>
          <w:p>
            <w:r/>
            <w:r>
              <w:rPr>
                <w:rFonts w:ascii="Calibri" w:hAnsi="Calibri"/>
                <w:sz w:val="18"/>
              </w:rPr>
              <w:t>Abono</w:t>
            </w:r>
          </w:p>
        </w:tc>
        <w:tc>
          <w:tcPr>
            <w:tcW w:type="dxa" w:w="2880"/>
          </w:tcPr>
          <w:p>
            <w:r/>
            <w:r>
              <w:rPr>
                <w:rFonts w:ascii="Calibri" w:hAnsi="Calibri"/>
                <w:sz w:val="18"/>
              </w:rPr>
              <w:t>Migrada (SQL)</w:t>
            </w:r>
          </w:p>
        </w:tc>
        <w:tc>
          <w:tcPr>
            <w:tcW w:type="dxa" w:w="2880"/>
          </w:tcPr>
          <w:p>
            <w:r/>
            <w:r>
              <w:rPr>
                <w:rFonts w:ascii="Calibri" w:hAnsi="Calibri"/>
                <w:sz w:val="18"/>
              </w:rPr>
              <w:t>3.277</w:t>
            </w:r>
          </w:p>
        </w:tc>
      </w:tr>
      <w:tr>
        <w:tc>
          <w:tcPr>
            <w:tcW w:type="dxa" w:w="2880"/>
          </w:tcPr>
          <w:p>
            <w:r/>
            <w:r>
              <w:rPr>
                <w:rFonts w:ascii="Calibri" w:hAnsi="Calibri"/>
                <w:sz w:val="18"/>
              </w:rPr>
              <w:t>Pago</w:t>
            </w:r>
          </w:p>
        </w:tc>
        <w:tc>
          <w:tcPr>
            <w:tcW w:type="dxa" w:w="2880"/>
          </w:tcPr>
          <w:p>
            <w:r/>
            <w:r>
              <w:rPr>
                <w:rFonts w:ascii="Calibri" w:hAnsi="Calibri"/>
                <w:sz w:val="18"/>
              </w:rPr>
              <w:t>Migrada (SQL) — tabla creada en 004</w:t>
            </w:r>
          </w:p>
        </w:tc>
        <w:tc>
          <w:tcPr>
            <w:tcW w:type="dxa" w:w="2880"/>
          </w:tcPr>
          <w:p>
            <w:r/>
            <w:r>
              <w:rPr>
                <w:rFonts w:ascii="Calibri" w:hAnsi="Calibri"/>
                <w:sz w:val="18"/>
              </w:rPr>
              <w:t>3.736</w:t>
            </w:r>
          </w:p>
        </w:tc>
      </w:tr>
      <w:tr>
        <w:tc>
          <w:tcPr>
            <w:tcW w:type="dxa" w:w="2880"/>
          </w:tcPr>
          <w:p>
            <w:r/>
            <w:r>
              <w:rPr>
                <w:rFonts w:ascii="Calibri" w:hAnsi="Calibri"/>
                <w:sz w:val="18"/>
              </w:rPr>
              <w:t>Cuota</w:t>
            </w:r>
          </w:p>
        </w:tc>
        <w:tc>
          <w:tcPr>
            <w:tcW w:type="dxa" w:w="2880"/>
          </w:tcPr>
          <w:p>
            <w:r/>
            <w:r>
              <w:rPr>
                <w:rFonts w:ascii="Calibri" w:hAnsi="Calibri"/>
                <w:sz w:val="18"/>
              </w:rPr>
              <w:t>Migrada (SQL) — tabla creada en 004</w:t>
            </w:r>
          </w:p>
        </w:tc>
        <w:tc>
          <w:tcPr>
            <w:tcW w:type="dxa" w:w="2880"/>
          </w:tcPr>
          <w:p>
            <w:r/>
            <w:r>
              <w:rPr>
                <w:rFonts w:ascii="Calibri" w:hAnsi="Calibri"/>
                <w:sz w:val="18"/>
              </w:rPr>
              <w:t>34.110</w:t>
            </w:r>
          </w:p>
        </w:tc>
      </w:tr>
      <w:tr>
        <w:tc>
          <w:tcPr>
            <w:tcW w:type="dxa" w:w="2880"/>
          </w:tcPr>
          <w:p>
            <w:r>
              <w:t>RecetaCristales ↔ OT y DetalleOT.Comentario</w:t>
            </w:r>
          </w:p>
        </w:tc>
        <w:tc>
          <w:tcPr>
            <w:tcW w:type="dxa" w:w="2880"/>
          </w:tcPr>
          <w:p>
            <w:r>
              <w:t>Backfill 2026-08-28 (SQL, M006)</w:t>
            </w:r>
          </w:p>
        </w:tc>
        <w:tc>
          <w:tcPr>
            <w:tcW w:type="dxa" w:w="2880"/>
          </w:tcPr>
          <w:p>
            <w:r>
              <w:t>12.574 recetas vinculadas a su OT y 11.168 comentarios de línea — 100% de lo esperado.</w:t>
            </w:r>
          </w:p>
        </w:tc>
      </w:tr>
    </w:tbl>
    <w:p>
      <w:pPr/>
      <w:r>
        <w:rPr>
          <w:rFonts w:ascii="Calibri" w:hAnsi="Calibri"/>
          <w:sz w:val="21"/>
        </w:rPr>
        <w:t>Antes de migrar Cliente/Anamnesis/RecetaCristales fue necesario extender el esquema (003_extras_cliente_receta.sql — ver 7.2 y 7.7): el legacy usa FechaNacimiento/TipoPrevision (Cliente) y Distancia Pupilar/Adición (RecetaCristales) en 59-91% de sus filas y el esquema Fase 0 no tenía columna equivalente. OPT_Atencion del legacy quedó confirmado fuera de alcance. Lo mismo ocurrió con el módulo Comercial (2026-08-27): hubo que aplicar primero 004_comercial_pagos_cuotas.sql porque OPT_Pago y OPT_Cuota no tenían tabla destino. Verificación de esa carga: los 7 conteos calzan exactamente con el legacy y los 5 totales de dinero cuadran al peso (Precio 1.431.504.714, Abonos 246.687.201, Pagos 293.944.093, Cuotas 1.157.674.769, Detalle 1.388.016.546), más 13 comprobaciones cruzadas fila a fila sin discrepancias. Por diseño NO cuadran TotalAbonado (540.631.294 vs. 246.687.186 del legacy) ni Saldo (890.873.420 vs. 1.185.383.027): es el recálculo abonos + pagos decidido en ADR 0006, porque el legacy nunca descontó OPT_Pago del saldo y 3.472 OT lo tenían inflado. Se preservaron tal cual 23 pagos, 20 abonos y 5 cuotas con monto ≤ 0, 33 detalles con Cantidad ≤ 0 y 18 OT con Precio 0 — dbOPT_NET no tiene CHECK constraints.</w:t>
      </w:r>
    </w:p>
    <w:p>
      <w:pPr>
        <w:pStyle w:val="Heading2"/>
      </w:pPr>
      <w:r>
        <w:t>13.4 Reglas y patrones aplicados</w:t>
      </w:r>
    </w:p>
    <w:p>
      <w:pPr>
        <w:pStyle w:val="ListBullet"/>
      </w:pPr>
      <w:r>
        <w:rPr>
          <w:rFonts w:ascii="Calibri" w:hAnsi="Calibri"/>
          <w:sz w:val="21"/>
        </w:rPr>
        <w:t>Rol, Región y Comuna se mapean por NOMBRE, nunca por id — los ids del legacy no coinciden con los del esquema nuevo (verificado; no asumir lo contrario en fases futuras).</w:t>
      </w:r>
    </w:p>
    <w:p>
      <w:pPr>
        <w:pStyle w:val="ListBullet"/>
      </w:pPr>
      <w:r>
        <w:rPr>
          <w:rFonts w:ascii="Calibri" w:hAnsi="Calibri"/>
          <w:sz w:val="21"/>
        </w:rPr>
        <w:t>Contraseñas re-hasheadas con BCrypt (work factor 12) al migrar — el valor original en texto plano del legacy nunca se persiste ni se expone en logs/reportes.</w:t>
      </w:r>
    </w:p>
    <w:p>
      <w:pPr>
        <w:pStyle w:val="ListBullet"/>
      </w:pPr>
      <w:r>
        <w:rPr>
          <w:rFonts w:ascii="Calibri" w:hAnsi="Calibri"/>
          <w:sz w:val="21"/>
        </w:rPr>
        <w:t>Auditoría (CreadoPor) de todo el lote apunta al primer Usuario Administrador migrado (patrón “usuario bootstrap”, autoreferenciado tras su propio insert) — decisión confirmada con el equipo, no un valor centinela arbitrario.</w:t>
      </w:r>
    </w:p>
    <w:p>
      <w:pPr>
        <w:pStyle w:val="ListBullet"/>
      </w:pPr>
      <w:r>
        <w:rPr>
          <w:rFonts w:ascii="Calibri" w:hAnsi="Calibri"/>
          <w:sz w:val="21"/>
        </w:rPr>
        <w:t>Fechas históricas del legacy se preservan como CreadoEn cuando existen (Sucursal.FechaRegistro, Usuario.FechaIngreso); Empresa no tiene fecha en el legacy, usa la fecha de ejecución de la migración.</w:t>
      </w:r>
    </w:p>
    <w:p>
      <w:pPr>
        <w:pStyle w:val="ListBullet"/>
      </w:pPr>
      <w:r>
        <w:rPr>
          <w:rFonts w:ascii="Calibri" w:hAnsi="Calibri"/>
          <w:sz w:val="21"/>
        </w:rPr>
        <w:t>Conflictos de datos reales (p. ej. dos Sucursal marcadas como “matriz”) se resuelven preguntando al equipo, no por heurística silenciosa.</w:t>
      </w:r>
    </w:p>
    <w:p>
      <w:pPr>
        <w:pStyle w:val="ListBullet"/>
      </w:pPr>
      <w:r>
        <w:rPr>
          <w:rFonts w:ascii="Calibri" w:hAnsi="Calibri"/>
          <w:sz w:val="21"/>
        </w:rPr>
        <w:t xml:space="preserve">Perfilar el volumen real de uso de cada campo legacy antes de decidir si se descarta: RecetaCristales.DP/ADD y Cliente.FechaNacimiento/TipoPrevision no tenían columna en el esquema Fase 0, pero se usaban en 59-91% de las filas reales — se extendió el esquema en vez de perder el dato (003_extras_cliente_receta.sql).</w:t>
      </w:r>
    </w:p>
    <w:p>
      <w:pPr>
        <w:pStyle w:val="ListBullet"/>
      </w:pPr>
      <w:r>
        <w:rPr>
          <w:rFonts w:ascii="Calibri" w:hAnsi="Calibri"/>
          <w:sz w:val="21"/>
        </w:rPr>
        <w:t xml:space="preserve">Formato numérico legacy inconsistente: además de mezclar punto y coma como separador decimal, aparece terminología clínica real como "NEUTRO"/"NEUTROS" (sin corrección → 0.00) mezclada con valores numéricos — normalizar ambos casos explícitamente antes de tratar un valor como excepción/basura.</w:t>
      </w:r>
    </w:p>
    <w:p>
      <w:pPr>
        <w:pStyle w:val="ListBullet"/>
      </w:pPr>
      <w:r>
        <w:rPr>
          <w:rFonts w:ascii="Calibri" w:hAnsi="Calibri"/>
          <w:sz w:val="21"/>
        </w:rPr>
        <w:t xml:space="preserve">Cuando un grupo de entidades ya fue migrado en una sesión anterior (ej. Organización), la corrida siguiente lo detecta y lo omite automáticamente por grupo — sin abortar toda la migración — reutilizando el Usuario bootstrap ya existente (búsqueda por RUT) en vez de reinsertarlo.</w:t>
      </w:r>
    </w:p>
    <w:p>
      <w:pPr/>
      <w:r>
        <w:rPr>
          <w:rFonts w:ascii="Calibri" w:hAnsi="Calibri"/>
          <w:sz w:val="21"/>
        </w:rPr>
        <w:t>Detalle operativo completo (gotchas de datos ya encontrados, el patrón de usuario bootstrap paso a paso, y qué esperar en las fases pendientes): .agents/context/migracion-datos-legacy.md. Justificación arquitectónica: .agents/decisions/0005-migracion-datos-herramienta-standalone.md.</w:t>
      </w:r>
    </w:p>
    <w:p>
      <w:pPr>
        <w:pStyle w:val="Heading1"/>
      </w:pPr>
      <w:r>
        <w:t>14. Módulo Operativo (Operativos Oftalmológicos en terreno)</w:t>
      </w:r>
    </w:p>
    <w:p>
      <w:pPr/>
      <w:r>
        <w:t>El usuario aportó un requerimiento funcional para un nuevo módulo: agrupar las OT generadas en una jornada de atención en terreno (“Operativo”) bajo esa jornada, registrar sus gastos, filtrar Cobranza y el reporte de cristales por Operativo, y calcular ganancia/pérdida (vendido y pagado vs. gastos). El módulo se construyó en dos etapas, ambas el 2026-09-15: Etapa 1 (esquema, §14.2) y Etapa 2 (OPT.Domain/OPT.Application/OPT.API completos, §14.5, ADR 0011). El detalle completo del requerimiento —incluido su texto íntegro— vive en .agents/context/modulo-operativo.md, que debe leerse antes de continuar con el frontend.</w:t>
      </w:r>
    </w:p>
    <w:p>
      <w:pPr>
        <w:pStyle w:val="Heading2"/>
      </w:pPr>
      <w:r>
        <w:t>14.1 Advertencia sobre el origen del requerimiento</w:t>
      </w:r>
    </w:p>
    <w:p>
      <w:pPr/>
      <w:r>
        <w:t>El documento de requerimiento fue escrito para OTRO proyecto (multi-tenant, PK UNIQUEIDENTIFIER/NEWSEQUENTIALID, columna IsDeleted, header X-Sucursal-Id, módulos “Agenda”/“Atención” inexistentes en OPT_NET) y daba por no implementada la entidad OrdenTrabajo — en OPT_NET, OrdenDeTrabajo está completa desde el 2026-08-27 (ADR 0007). Se tradujeron todas sus convenciones a las reales de OPT_NET antes de diseñar cualquier tabla. Tabla completa de la traducción en .agents/context/modulo-operativo.md § 2. Lección para sesiones futuras: nunca aplicar las convenciones de esquema/código de un requerimiento externo sin contrastarlas primero contra CLAUDE.md y el estado real del código.</w:t>
      </w:r>
    </w:p>
    <w:p>
      <w:pPr>
        <w:pStyle w:val="Heading2"/>
      </w:pPr>
      <w:r>
        <w:t>14.2 Esquema aplicado — 009_modulo_operativo.sql a 012_operativo_contacto.sql (aplicados a dbOPT_NET)</w:t>
      </w:r>
    </w:p>
    <w:tbl>
      <w:tblPr>
        <w:tblStyle w:val="TableGrid"/>
        <w:tblW w:type="auto" w:w="0"/>
        <w:tblLook w:firstColumn="1" w:firstRow="1" w:lastColumn="0" w:lastRow="0" w:noHBand="0" w:noVBand="1" w:val="04A0"/>
      </w:tblPr>
      <w:tblGrid>
        <w:gridCol w:w="2880"/>
        <w:gridCol w:w="2880"/>
        <w:gridCol w:w="2880"/>
      </w:tblGrid>
      <w:tr>
        <w:tc>
          <w:tcPr>
            <w:tcW w:type="dxa" w:w="2880"/>
          </w:tcPr>
          <w:p>
            <w:r>
              <w:t>Tabla / objeto</w:t>
            </w:r>
          </w:p>
        </w:tc>
        <w:tc>
          <w:tcPr>
            <w:tcW w:type="dxa" w:w="2880"/>
          </w:tcPr>
          <w:p>
            <w:r>
              <w:t>Tipo</w:t>
            </w:r>
          </w:p>
        </w:tc>
        <w:tc>
          <w:tcPr>
            <w:tcW w:type="dxa" w:w="2880"/>
          </w:tcPr>
          <w:p>
            <w:r>
              <w:t>Contenido</w:t>
            </w:r>
          </w:p>
        </w:tc>
      </w:tr>
      <w:tr>
        <w:tc>
          <w:tcPr>
            <w:tcW w:type="dxa" w:w="2880"/>
          </w:tcPr>
          <w:p>
            <w:r>
              <w:t>OPT_EstadoOperativo</w:t>
            </w:r>
          </w:p>
        </w:tc>
        <w:tc>
          <w:tcPr>
            <w:tcW w:type="dxa" w:w="2880"/>
          </w:tcPr>
          <w:p>
            <w:r>
              <w:t>Catálogo (sin auditoría)</w:t>
            </w:r>
          </w:p>
        </w:tc>
        <w:tc>
          <w:tcPr>
            <w:tcW w:type="dxa" w:w="2880"/>
          </w:tcPr>
          <w:p>
            <w:r>
              <w:t>PROSPECTO / INGRESADO / COBRANZA / CERRADO / ANULADO</w:t>
            </w:r>
          </w:p>
        </w:tc>
      </w:tr>
      <w:tr>
        <w:tc>
          <w:tcPr>
            <w:tcW w:type="dxa" w:w="2880"/>
          </w:tcPr>
          <w:p>
            <w:r>
              <w:t>SEQ_CorrelativoOperativo</w:t>
            </w:r>
          </w:p>
        </w:tc>
        <w:tc>
          <w:tcPr>
            <w:tcW w:type="dxa" w:w="2880"/>
          </w:tcPr>
          <w:p>
            <w:r>
              <w:t>SEQUENCE</w:t>
            </w:r>
          </w:p>
        </w:tc>
        <w:tc>
          <w:tcPr>
            <w:tcW w:type="dxa" w:w="2880"/>
          </w:tcPr>
          <w:p>
            <w:r>
              <w:t>Fuente del DEFAULT de Operativo.Correlativo (autogenerado)</w:t>
            </w:r>
          </w:p>
        </w:tc>
      </w:tr>
      <w:tr>
        <w:tc>
          <w:tcPr>
            <w:tcW w:type="dxa" w:w="2880"/>
          </w:tcPr>
          <w:p>
            <w:r>
              <w:t>OPT_Operativo</w:t>
            </w:r>
          </w:p>
        </w:tc>
        <w:tc>
          <w:tcPr>
            <w:tcW w:type="dxa" w:w="2880"/>
          </w:tcPr>
          <w:p>
            <w:r>
              <w:t>Auditable + PublicId</w:t>
            </w:r>
          </w:p>
        </w:tc>
        <w:tc>
          <w:tcPr>
            <w:tcW w:type="dxa" w:w="2880"/>
          </w:tcPr>
          <w:p>
            <w:r>
              <w:t>EmpresaId/SucursalId obligatorios, EstadoOperativoId, Correlativo, Fecha, Observacion, MontoTotalVendido/MontoTotalPagado/MontoTotalGastos (persistidos, recalculados transaccionalmente)</w:t>
            </w:r>
          </w:p>
        </w:tc>
      </w:tr>
      <w:tr>
        <w:tc>
          <w:tcPr>
            <w:tcW w:type="dxa" w:w="2880"/>
          </w:tcPr>
          <w:p>
            <w:r>
              <w:t>OPT_OperativoOT</w:t>
            </w:r>
          </w:p>
        </w:tc>
        <w:tc>
          <w:tcPr>
            <w:tcW w:type="dxa" w:w="2880"/>
          </w:tcPr>
          <w:p>
            <w:r>
              <w:t>Relación pura (sin auditoría)</w:t>
            </w:r>
          </w:p>
        </w:tc>
        <w:tc>
          <w:tcPr>
            <w:tcW w:type="dxa" w:w="2880"/>
          </w:tcPr>
          <w:p>
            <w:r/>
            <w:r>
              <w:t>1 Operativo → N OT; índice único en OrdenDeTrabajoId (una OT pertenece a lo sumo un Operativo); sin PublicId propio (anidada bajo el Operativo, ADR 0004/0007). Gana MontoVendidoSnapshot/MontoPagadoSnapshot (decimal(18,2), DEFAULT 0) al construir el dominio (Etapa 2, ADR 0011): snapshot del Precio/TotalAbonado de la OT al asociarla, refrescado a demanda vía POST /api/operativos/{publicId}/recalcular-montos.</w:t>
            </w:r>
          </w:p>
        </w:tc>
      </w:tr>
      <w:tr>
        <w:tc>
          <w:tcPr>
            <w:tcW w:type="dxa" w:w="2880"/>
          </w:tcPr>
          <w:p>
            <w:r>
              <w:t>OPT_GastoOperativo</w:t>
            </w:r>
          </w:p>
        </w:tc>
        <w:tc>
          <w:tcPr>
            <w:tcW w:type="dxa" w:w="2880"/>
          </w:tcPr>
          <w:p>
            <w:r>
              <w:t>Auditable</w:t>
            </w:r>
          </w:p>
        </w:tc>
        <w:tc>
          <w:tcPr>
            <w:tcW w:type="dxa" w:w="2880"/>
          </w:tcPr>
          <w:p>
            <w:r>
              <w:t>OperativoId, Monto, NumeroDocumento, Observacion</w:t>
            </w:r>
          </w:p>
        </w:tc>
      </w:tr>
    </w:tbl>
    <w:p>
      <w:pPr/>
    </w:p>
    <w:p>
      <w:pPr/>
      <w:r>
        <w:t>Registrado en src/basedatos/README.md (tabla “Estado actual”) y en CLAUDE.md (§ Pendiente, punto 7).</w:t>
      </w:r>
    </w:p>
    <w:p>
      <w:pPr>
        <w:pStyle w:val="Heading2"/>
      </w:pPr>
      <w:r>
        <w:t>14.3 Decisiones cerradas con el usuario (2026-09-15)</w:t>
      </w:r>
    </w:p>
    <w:tbl>
      <w:tblPr>
        <w:tblStyle w:val="TableGrid"/>
        <w:tblW w:type="auto" w:w="0"/>
        <w:tblLook w:firstColumn="1" w:firstRow="1" w:lastColumn="0" w:lastRow="0" w:noHBand="0" w:noVBand="1" w:val="04A0"/>
      </w:tblPr>
      <w:tblGrid>
        <w:gridCol w:w="4320"/>
        <w:gridCol w:w="4320"/>
      </w:tblGrid>
      <w:tr>
        <w:tc>
          <w:tcPr>
            <w:tcW w:type="dxa" w:w="4320"/>
          </w:tcPr>
          <w:p>
            <w:r>
              <w:t>Punto del requerimiento</w:t>
            </w:r>
          </w:p>
        </w:tc>
        <w:tc>
          <w:tcPr>
            <w:tcW w:type="dxa" w:w="4320"/>
          </w:tcPr>
          <w:p>
            <w:r>
              <w:t>Decisión</w:t>
            </w:r>
          </w:p>
        </w:tc>
      </w:tr>
      <w:tr>
        <w:tc>
          <w:tcPr>
            <w:tcW w:type="dxa" w:w="4320"/>
          </w:tcPr>
          <w:p>
            <w:r>
              <w:t>8.5 Correlativo</w:t>
            </w:r>
          </w:p>
        </w:tc>
        <w:tc>
          <w:tcPr>
            <w:tcW w:type="dxa" w:w="4320"/>
          </w:tcPr>
          <w:p>
            <w:r>
              <w:t>Autogenerado por la BD (SEQUENCE), no manual</w:t>
            </w:r>
          </w:p>
        </w:tc>
      </w:tr>
      <w:tr>
        <w:tc>
          <w:tcPr>
            <w:tcW w:type="dxa" w:w="4320"/>
          </w:tcPr>
          <w:p>
            <w:r>
              <w:t>8.8 Alcance de Sucursal</w:t>
            </w:r>
          </w:p>
        </w:tc>
        <w:tc>
          <w:tcPr>
            <w:tcW w:type="dxa" w:w="4320"/>
          </w:tcPr>
          <w:p>
            <w:r>
              <w:t>Operativo.SucursalId obligatorio — reusa AutorizacionSucursal.ValidarAcceso a futuro</w:t>
            </w:r>
          </w:p>
        </w:tc>
      </w:tr>
      <w:tr>
        <w:tc>
          <w:tcPr>
            <w:tcW w:type="dxa" w:w="4320"/>
          </w:tcPr>
          <w:p>
            <w:r>
              <w:t>8.4 Campos de GastoOperativo</w:t>
            </w:r>
          </w:p>
        </w:tc>
        <w:tc>
          <w:tcPr>
            <w:tcW w:type="dxa" w:w="4320"/>
          </w:tcPr>
          <w:p>
            <w:r>
              <w:t>Solo Monto + NumeroDocumento + Observacion, sin fecha propia ni categoría</w:t>
            </w:r>
          </w:p>
        </w:tc>
      </w:tr>
      <w:tr>
        <w:tc>
          <w:tcPr>
            <w:tcW w:type="dxa" w:w="4320"/>
          </w:tcPr>
          <w:p>
            <w:r>
              <w:t>8.6 Transición a Anulado</w:t>
            </w:r>
          </w:p>
        </w:tc>
        <w:tc>
          <w:tcPr>
            <w:tcW w:type="dxa" w:w="4320"/>
          </w:tcPr>
          <w:p>
            <w:r>
              <w:t>Solo desde PROSPECTO o INGRESADO — no desde COBRANZA</w:t>
            </w:r>
          </w:p>
        </w:tc>
      </w:tr>
    </w:tbl>
    <w:p>
      <w:pPr/>
    </w:p>
    <w:p>
      <w:pPr/>
      <w:r>
        <w:t>Un punto adicional se resolvió gratis al traducir el requerimiento: el punto 8.2 (“Monto Total Pagado”) no requiere agregar EstadoPago/MontoPagado a OrdenDeTrabajo — ya tiene TotalAbonado (abonos + pagos, recalculado transaccionalmente) y Saldo, así que MontoTotalPagado de un Operativo se deriva de SUM(OT.TotalAbonado) de sus OT vinculadas.</w:t>
      </w:r>
    </w:p>
    <w:p>
      <w:pPr>
        <w:pStyle w:val="Heading2"/>
      </w:pPr>
      <w:r>
        <w:t>14.4 Esquema — estado de aplicación</w:t>
      </w:r>
    </w:p>
    <w:p>
      <w:pPr/>
      <w:r>
        <w:t>Alcance de la Etapa 1: solo esquema, a pedido explícito del usuario. 009_modulo_operativo.sql se aplicó a dbOPT_NET el 2026-09-16 (tabla vacía en ese momento), junto con 010_operativo_nombre.sql (Operativo.Nombre) y 011_operativoot_snapshot_montos.sql (los snapshots de montos por OT, que la primera redacción del script no incluía). El 2026-09-22 se sumó 012_operativo_contacto.sql (NombreContacto/MailContacto/TelefonoContacto en Operativo, HU-OP-01/02). Las entidades de OPT.Domain, sus IEntityTypeConfiguration&lt;T&gt;, Application y API están alineadas con el esquema aplicado — ver 14.5 y 14.8.</w:t>
      </w:r>
    </w:p>
    <w:p>
      <w:pPr>
        <w:pStyle w:val="Heading2"/>
      </w:pPr>
      <w:r>
        <w:t>14.5 Dominio, Application y API — Etapa 2 (2026-09-15, ADR 0011)</w:t>
      </w:r>
    </w:p>
    <w:p>
      <w:r>
        <w:t>Construidos en la misma fecha que el esquema, en una sesión posterior. Sigue al pie el patrón ya aceptado para OrdenDeTrabajo (ADR 0007): agregado con raíz propia, catálogo de estados con reglas de transición, repositorio con BuscarPaginadoAsync + whitelist de orden, DtoFactory registrado a mano en AddApplication, controller con AutorizarRoles por acción. Detalle completo de las 6 decisiones de diseño (incluidas las alternativas descartadas) en el ADR 0011 y en .agents/context/modulo-operativo.md §5.</w:t>
      </w:r>
    </w:p>
    <w:tbl>
      <w:tblPr>
        <w:tblStyle w:val="TableGrid"/>
        <w:tblW w:type="auto" w:w="0"/>
        <w:tblLook w:firstColumn="1" w:firstRow="1" w:lastColumn="0" w:lastRow="0" w:noHBand="0" w:noVBand="1" w:val="04A0"/>
      </w:tblPr>
      <w:tblGrid>
        <w:gridCol w:w="4320"/>
        <w:gridCol w:w="4320"/>
      </w:tblGrid>
      <w:tr>
        <w:tc>
          <w:tcPr>
            <w:tcW w:type="dxa" w:w="4320"/>
          </w:tcPr>
          <w:p>
            <w:r>
              <w:t>Capa / pieza</w:t>
            </w:r>
          </w:p>
        </w:tc>
        <w:tc>
          <w:tcPr>
            <w:tcW w:type="dxa" w:w="4320"/>
          </w:tcPr>
          <w:p>
            <w:r>
              <w:t>Contenido</w:t>
            </w:r>
          </w:p>
        </w:tc>
      </w:tr>
      <w:tr>
        <w:tc>
          <w:tcPr>
            <w:tcW w:type="dxa" w:w="4320"/>
          </w:tcPr>
          <w:p>
            <w:r>
              <w:t>OPT.Domain/Entities/Operativo/</w:t>
            </w:r>
          </w:p>
        </w:tc>
        <w:tc>
          <w:tcPr>
            <w:tcW w:type="dxa" w:w="4320"/>
          </w:tcPr>
          <w:p>
            <w:r>
              <w:t>Operativo (agregado raíz — no referencia OrdenDeTrabajo, para no acoplar los dos módulos), OperativoOT, GastoOperativo, EstadoOperativo, EstadosOperativo (flujo Prospecto(1)→Ingresado(2)→Cobranza(3)→Cerrado(4), sin retroceso; Anulado(5) solo alcanzable desde Prospecto/Ingresado).</w:t>
            </w:r>
          </w:p>
        </w:tc>
      </w:tr>
      <w:tr>
        <w:tc>
          <w:tcPr>
            <w:tcW w:type="dxa" w:w="4320"/>
          </w:tcPr>
          <w:p>
            <w:r>
              <w:t>OPT.Domain/Interfaces/Repositories/</w:t>
            </w:r>
          </w:p>
        </w:tc>
        <w:tc>
          <w:tcPr>
            <w:tcW w:type="dxa" w:w="4320"/>
          </w:tcPr>
          <w:p>
            <w:r>
              <w:t>IOperativoRepositorio, IEstadoOperativoRepositorio. IOrdenDeTrabajoRepositorio.BuscarPaginadoAsync gana el parámetro operativoId (filtro de Cobranza por Operativo, sin tocar CobranzaController).</w:t>
            </w:r>
          </w:p>
        </w:tc>
      </w:tr>
      <w:tr>
        <w:tc>
          <w:tcPr>
            <w:tcW w:type="dxa" w:w="4320"/>
          </w:tcPr>
          <w:p>
            <w:r>
              <w:t>OPT.Infrastructure/</w:t>
            </w:r>
          </w:p>
        </w:tc>
        <w:tc>
          <w:tcPr>
            <w:tcW w:type="dxa" w:w="4320"/>
          </w:tcPr>
          <w:p>
            <w:r>
              <w:t>Configurations/Operativo/ (4 IEntityTypeConfiguration&lt;T&gt;), Repositories/OperativoRepositorio.cs, Repositories/EstadoOperativoRepositorio.cs; AppDbContext con los 4 DbSet nuevos y la secuencia SEQ_CorrelativoOperativo; los 2 repos registrados en DependencyInjection.</w:t>
            </w:r>
          </w:p>
        </w:tc>
      </w:tr>
      <w:tr>
        <w:tc>
          <w:tcPr>
            <w:tcW w:type="dxa" w:w="4320"/>
          </w:tcPr>
          <w:p>
            <w:r>
              <w:t>OPT.Application/Features/Operativos/</w:t>
            </w:r>
          </w:p>
        </w:tc>
        <w:tc>
          <w:tcPr>
            <w:tcW w:type="dxa" w:w="4320"/>
          </w:tcPr>
          <w:p>
            <w:r>
              <w:t>OperativoDto.cs, OperativoDtoFactory.cs (registrada a mano, igual que OrdenDeTrabajoDtoFactory) y 9 Commands (Crear, Actualizar, CambiarEstado, Anular, AsociarOrden, QuitarOrden, RecalcularMontos, RegistrarGasto, EliminarGasto) + 2 Queries (ObtenerTodos paginado, ObtenerPorId).</w:t>
            </w:r>
          </w:p>
        </w:tc>
      </w:tr>
      <w:tr>
        <w:tc>
          <w:tcPr>
            <w:tcW w:type="dxa" w:w="4320"/>
          </w:tcPr>
          <w:p>
            <w:r>
              <w:t>OPT.Application/Features/EstadosOperativo/</w:t>
            </w:r>
          </w:p>
        </w:tc>
        <w:tc>
          <w:tcPr>
            <w:tcW w:type="dxa" w:w="4320"/>
          </w:tcPr>
          <w:p>
            <w:r>
              <w:t>Catálogo de solo lectura (patrón EstadosOT).</w:t>
            </w:r>
          </w:p>
        </w:tc>
      </w:tr>
      <w:tr>
        <w:tc>
          <w:tcPr>
            <w:tcW w:type="dxa" w:w="4320"/>
          </w:tcPr>
          <w:p>
            <w:r>
              <w:t>OPT.API/Controllers/</w:t>
            </w:r>
          </w:p>
        </w:tc>
        <w:tc>
          <w:tcPr>
            <w:tcW w:type="dxa" w:w="4320"/>
          </w:tcPr>
          <w:p>
            <w:r>
              <w:t>OperativosController.cs (/api/operativos, siempre por PublicId; subrecursos ordenes/gastos/estado/anular/recalcular-montos anidados bajo el Operativo) y EstadosOperativoController.cs.</w:t>
            </w:r>
          </w:p>
        </w:tc>
      </w:tr>
    </w:tbl>
    <w:p>
      <w:pPr>
        <w:pStyle w:val="Heading2"/>
      </w:pPr>
      <w:r>
        <w:t>14.6 Puntos del requerimiento resueltos sin AskUserQuestion</w:t>
      </w:r>
    </w:p>
    <w:p>
      <w:r>
        <w:t>El usuario no estaba disponible para las preguntas puntuales de esta sesión; se resolvieron por analogía directa con patrones ya aceptados del ADR 0007 y quedaron documentados como decisión de IA (no de negocio) en el ADR 0011, para que una sesión futura las confirme o revierta.</w:t>
      </w:r>
    </w:p>
    <w:tbl>
      <w:tblPr>
        <w:tblStyle w:val="TableGrid"/>
        <w:tblW w:type="auto" w:w="0"/>
        <w:tblLook w:firstColumn="1" w:firstRow="1" w:lastColumn="0" w:lastRow="0" w:noHBand="0" w:noVBand="1" w:val="04A0"/>
      </w:tblPr>
      <w:tblGrid>
        <w:gridCol w:w="4320"/>
        <w:gridCol w:w="4320"/>
      </w:tblGrid>
      <w:tr>
        <w:tc>
          <w:tcPr>
            <w:tcW w:type="dxa" w:w="4320"/>
          </w:tcPr>
          <w:p>
            <w:r>
              <w:t>Punto del requerimiento</w:t>
            </w:r>
          </w:p>
        </w:tc>
        <w:tc>
          <w:tcPr>
            <w:tcW w:type="dxa" w:w="4320"/>
          </w:tcPr>
          <w:p>
            <w:r>
              <w:t>Decisión de esta sesión</w:t>
            </w:r>
          </w:p>
        </w:tc>
      </w:tr>
      <w:tr>
        <w:tc>
          <w:tcPr>
            <w:tcW w:type="dxa" w:w="4320"/>
          </w:tcPr>
          <w:p>
            <w:r>
              <w:t>8.1 Origen de Monto Total Vendido/Pagado</w:t>
            </w:r>
          </w:p>
        </w:tc>
        <w:tc>
          <w:tcPr>
            <w:tcW w:type="dxa" w:w="4320"/>
          </w:tcPr>
          <w:p>
            <w:r>
              <w:t>Snapshot en OperativoOT (MontoVendidoSnapshot/MontoPagadoSnapshot), fijado al asociar la OT y refrescado a demanda vía POST /api/operativos/{publicId}/recalcular-montos. Un abono/pago registrado después en una OT ya asociada NO actualiza solo el total del Operativo.</w:t>
            </w:r>
          </w:p>
        </w:tc>
      </w:tr>
      <w:tr>
        <w:tc>
          <w:tcPr>
            <w:tcW w:type="dxa" w:w="4320"/>
          </w:tcPr>
          <w:p>
            <w:r>
              <w:t>8.3 Fórmula de ganancia/pérdida</w:t>
            </w:r>
          </w:p>
        </w:tc>
        <w:tc>
          <w:tcPr>
            <w:tcW w:type="dxa" w:w="4320"/>
          </w:tcPr>
          <w:p>
            <w:r>
              <w:t>Se calculan AMBAS en el DTO (GananciaPagado = Pagado−Gastos, GananciaVendido = Vendido−Gastos), sin persistir ninguna columna.</w:t>
            </w:r>
          </w:p>
        </w:tc>
      </w:tr>
      <w:tr>
        <w:tc>
          <w:tcPr>
            <w:tcW w:type="dxa" w:w="4320"/>
          </w:tcPr>
          <w:p>
            <w:r>
              <w:t>8.7 Permisos por rol</w:t>
            </w:r>
          </w:p>
        </w:tc>
        <w:tc>
          <w:tcPr>
            <w:tcW w:type="dxa" w:w="4320"/>
          </w:tcPr>
          <w:p>
            <w:r>
              <w:t>Reuso directo de los grupos de RolesOPT ya existentes (OperacionComercial/AnulacionComercial), sin crear un grupo nuevo para Operativo.</w:t>
            </w:r>
          </w:p>
        </w:tc>
      </w:tr>
      <w:tr>
        <w:tc>
          <w:tcPr>
            <w:tcW w:type="dxa" w:w="4320"/>
          </w:tcPr>
          <w:p>
            <w:r>
              <w:t>Bitácora de cambios de estado</w:t>
            </w:r>
          </w:p>
        </w:tc>
        <w:tc>
          <w:tcPr>
            <w:tcW w:type="dxa" w:w="4320"/>
          </w:tcPr>
          <w:p>
            <w:r>
              <w:t>El módulo NO tiene una tabla análoga a OPT_BitacoraOT (el requerimiento no la pidió). El motivo de una anulación queda concatenado en Operativo.Observacion.</w:t>
            </w:r>
          </w:p>
        </w:tc>
      </w:tr>
    </w:tbl>
    <w:p>
      <w:pPr>
        <w:pStyle w:val="Heading2"/>
      </w:pPr>
      <w:r>
        <w:t>14.7 Pendiente (a partir de la sesión 2026-09-22)</w:t>
      </w:r>
    </w:p>
    <w:p>
      <w:r>
        <w:t>(1) Probar OperativosController y el frontend end-to-end con una sesión autenticada real contra dbOPT_NET — sigue bloqueado por lo mismo de siempre en este proyecto: los usuarios migrados conservan la clave de 4 caracteres del legacy y el validador de login exige 6. (2) Confirmar con el usuario las decisiones de §14.6. (3) Migración de OT históricas a Operativos: fuera de alcance, el requerimiento la pospuso explícitamente. (4) Épica C del HU del módulo (Cobranza: vínculo laboral/desvinculación/pérdida) y Épica D (Gastos: categoría/fecha) — ver §14.8, quedaron fuera de la sesión 2026-09-22 por alcance (D) y por riesgo de diseño sin resolver (C). El filtro por Operativo en el reporte de cristales GENERAL del sistema sigue sin existir — el Operativo tiene su propio Reporte de Cristales agregado en §14.8, que es un endpoint distinto.</w:t>
      </w:r>
    </w:p>
    <w:p>
      <w:pPr>
        <w:pStyle w:val="Heading2"/>
      </w:pPr>
      <w:r>
        <w:t>14.8 Submenú Recepción y Reporte de Cristales (sesión 2026-09-22)</w:t>
      </w:r>
    </w:p>
    <w:p>
      <w:r>
        <w:t>HU-OP-01 a HU-OP-10 de src/documentos/HU/02_HU_Modulo_Operativo.html (Épicas A y B — ver 00_Analisis_Impacto.html para el análisis completo de las 4 épicas del documento). Alcance elegido por el usuario para esta sesión: contacto del Operativo y el submenú Recepción completo. Cobranza (Épica C, introduce "vínculo laboral"/"desvinculación"/"pérdida", conceptos de negocio nuevos con preguntas abiertas sin resolver) y Gastos (Épica D, categoría + fecha del gasto) quedaron fuera. Detalle completo de diseño en .agents/context/modulo-operativo.md §10.</w:t>
      </w:r>
    </w:p>
    <w:p>
      <w:r>
        <w:t>Contacto del Operativo (HU-OP-01/02): NombreContacto/MailContacto/TelefonoContacto en Operativo (script 012, §14.2/§14.4) — propios de cada jornada, no de la Empresa, porque pueden cambiar de una jornada a otra aunque sea la misma Empresa convenio. Operativo.Crear/Actualizar, CrearOperativoCommand/ActualizarOperativoCommand (+ validators, mismo criterio de validación de email/teléfono que Cliente/Empresa — EmailAddress() condicional, sin regex de formato chileno) y OperativoDto/OperativoDtoFactory actualizados.</w:t>
      </w:r>
    </w:p>
    <w:p>
      <w:r>
        <w:t>Reporte de Cristales (HU-OP-10): endpoint nuevo GET /api/operativos/{publicId}/reporte-cristales (ObtenerReporteCristalesOperativoQuery, OPT.Application/Features/Operativos/Queries/ObtenerReporteCristales/) — devuelve, por cada OT asociada al Operativo, sus datos básicos (N° OT, cliente, estado, fecha de atención) y las recetas de cristales vinculadas a esa OT (RecetaCristalesDto, mismo mapeo que usa la ficha de la OT). Se agregó IRecetaCristalesRepositorio.ObtenerPorOrdenesAsync (bulk, nuevo) para resolver las recetas de todas las OT del Operativo en una sola consulta en vez de una por OT — mismo criterio de evitar N+1 que ya sigue OperativoDtoFactory.</w:t>
      </w:r>
    </w:p>
    <w:p>
      <w:r>
        <w:t>OperativoOTDto ganó FechaAtencion (tomada de OrdenDeTrabajo.FechaAtencion, ya cargada por OperativoDtoFactory — sin query nueva) para que el listado de OT del submenú Recepción la muestre por fila.</w:t>
      </w:r>
    </w:p>
    <w:p>
      <w:r>
        <w:t>RolesOPT.OperacionComercialConCalidad ganó TécnicoMedico (OPT.Domain/Common/RolesOPT.cs): antes [Administrador, Supervisor, JefeSucursal, Vendedor, Operador, ControlCalidad], HU-OP-08 pide explícitamente que el Técnico Médico avance etapas de OT desde Recepción. Se corrigió el grupo existente (no se creó uno nuevo) y se aplicó a los mismos endpoints que ya lo usaban: OrdenesDeTrabajoController.ObtenerTodos/ObtenerPorId/CambiarEstado y OperativosController.ObtenerTodos/ObtenerPorId, más el endpoint nuevo de reporte de cristales. Detalle y motivación completa en .agents/context/seguridad-apis.md.</w:t>
      </w:r>
    </w:p>
    <w:p>
      <w:r>
        <w:t>No se creó un comando combinado "crear OT + asociar a Operativo" en el backend (HU-OP-04): CrearOrdenDeTrabajoCommand sigue sin aceptar un operativoPublicId. El propio HU acepta que internamente se resuelva con dos llamadas (crear OT, luego POST /api/operativos/{publicId}/ordenes) — se implementó así en el frontend (ver Manual_Tecnico_Frontend_OPT.docx §6.9). Si la asociación falla después de creada la OT, la orden no se pierde: queda creada igual y se puede asociar manualmente después (HU-OP-05).</w:t>
      </w:r>
    </w:p>
    <w:p>
      <w:r>
        <w:t>Verificado: dotnet build OPT.sln limpio, dotnet ef dbcontext info (modelo EF válido), script 012 aplicado a dbOPT_NET y columnas confirmadas con sqlcmd. No verificado en navegador contra dbOPT_NET con sesión autenticada real (ver §14.7).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200"/>
      <w:ind w:left="227"/>
    </w:pPr>
    <w:rPr>
      <w:rFonts w:ascii="Consolas" w:hAnsi="Consolas"/>
      <w:color w:val="20202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