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3A5F"/>
          <w:sz w:val="88"/>
        </w:rPr>
        <w:t>OPT</w:t>
      </w:r>
    </w:p>
    <w:p>
      <w:r>
        <w:rPr>
          <w:rFonts w:ascii="Calibri" w:hAnsi="Calibri"/>
          <w:color w:val="2E74B5"/>
          <w:sz w:val="44"/>
        </w:rPr>
        <w:t>Manual Técnico — Frontend</w:t>
      </w:r>
    </w:p>
    <w:p>
      <w:r>
        <w:rPr>
          <w:rFonts w:ascii="Calibri" w:hAnsi="Calibri"/>
          <w:color w:val="595959"/>
          <w:sz w:val="26"/>
        </w:rPr>
        <w:t>Sistema de gestión de ópticas — Aplicación Angular (SPA)</w:t>
      </w:r>
    </w:p>
    <w:p/>
    <w:p/>
    <w:p>
      <w:pPr>
        <w:pStyle w:val="Heading1"/>
      </w:pPr>
      <w:r>
        <w:t>Índice</w:t>
      </w:r>
    </w:p>
    <w:p>
      <w:r>
        <w:rPr>
          <w:rFonts w:ascii="Calibri" w:hAnsi="Calibri"/>
          <w:b w:val="0"/>
          <w:i/>
        </w:rPr>
        <w:t>Haga clic derecho aquí y seleccione «Actualizar campo» para generar el índice.</w:t>
      </w:r>
    </w:p>
    <w:p/>
    <w:p>
      <w:pPr>
        <w:pStyle w:val="Heading1"/>
      </w:pPr>
      <w:r>
        <w:t>1. Introducción</w:t>
      </w:r>
    </w:p>
    <w:p>
      <w:pPr>
        <w:pStyle w:val="Heading2"/>
      </w:pPr>
      <w:r>
        <w:t>1.1 Propósito</w:t>
      </w:r>
    </w:p>
    <w:p>
      <w:r>
        <w:rPr>
          <w:rFonts w:ascii="Calibri" w:hAnsi="Calibri"/>
          <w:b w:val="0"/>
          <w:i w:val="0"/>
        </w:rPr>
        <w:t>Este manual documenta el diseño técnico del frontend del sistema OPT — una aplicación Angular (SPA) que consume la API REST expuesta por OPT.API (.NET 8). Está dirigido a desarrolladores que se incorporan al proyecto y a agentes de IA que generan código en src/frontend/.</w:t>
      </w:r>
    </w:p>
    <w:p>
      <w:pPr>
        <w:pStyle w:val="Heading2"/>
      </w:pPr>
      <w:r>
        <w:t>1.2 Alcance</w:t>
      </w:r>
    </w:p>
    <w:p>
      <w:r>
        <w:rPr>
          <w:rFonts w:ascii="Calibri" w:hAnsi="Calibri"/>
          <w:b w:val="0"/>
          <w:i w:val="0"/>
        </w:rPr>
        <w:t>Cubre exclusivamente el frontend: arquitectura de la aplicación Angular, estructura de carpetas, los módulos ya construidos (Auth; Organización — Sucursales/Empresas/Roles/Usuarios; Clínico — Clientes/Anamnesis/RecetaCristales con Ficha del cliente; Comercial — Órdenes de Trabajo con la vista "Ver Orden", el asistente de alta por pasos y el ticket imprimible, Abonos, Pagos, Cuotas y Cobranza; catálogos de solo lectura Regiones/Comunas) y lo que sigue pendiente (Inventario, del que solo existe el catálogo de productos), las decisiones de seguridad específicas del cliente web, las convenciones de código y los comandos de build/test/run.</w:t>
      </w:r>
    </w:p>
    <w:p>
      <w:r>
        <w:rPr>
          <w:rFonts w:ascii="Calibri" w:hAnsi="Calibri"/>
          <w:b w:val="0"/>
          <w:i w:val="0"/>
        </w:rPr>
        <w:t>No cubre Base de Datos ni Backend — ver src/documentos/Manual_Tecnico_Backend_OPT.docx para ese alcance — ni el código legacy en old/, documentado aparte.</w:t>
      </w:r>
    </w:p>
    <w:p>
      <w:pPr>
        <w:pStyle w:val="Heading2"/>
      </w:pPr>
      <w:r>
        <w:t>1.3 Documentos relacionados</w:t>
      </w:r>
    </w:p>
    <w:tbl>
      <w:tblPr>
        <w:tblStyle w:val="TableGrid"/>
        <w:tblW w:type="auto" w:w="0"/>
        <w:tblLook w:firstColumn="1" w:firstRow="1" w:lastColumn="0" w:lastRow="0" w:noHBand="0" w:noVBand="1" w:val="04A0"/>
      </w:tblPr>
      <w:tblGrid>
        <w:gridCol w:w="2882"/>
        <w:gridCol w:w="2882"/>
        <w:gridCol w:w="2882"/>
      </w:tblGrid>
      <w:tr>
        <w:tc>
          <w:tcPr>
            <w:tcW w:type="dxa" w:w="2268"/>
            <w:shd w:val="clear" w:fill="1F3A5F"/>
          </w:tcPr>
          <w:p>
            <w:r/>
            <w:r>
              <w:rPr>
                <w:rFonts w:ascii="Calibri" w:hAnsi="Calibri"/>
                <w:b/>
                <w:color w:val="FFFFFF"/>
                <w:sz w:val="19"/>
              </w:rPr>
              <w:t>Documento</w:t>
            </w:r>
          </w:p>
        </w:tc>
        <w:tc>
          <w:tcPr>
            <w:tcW w:type="dxa" w:w="3402"/>
            <w:shd w:val="clear" w:fill="1F3A5F"/>
          </w:tcPr>
          <w:p>
            <w:r/>
            <w:r>
              <w:rPr>
                <w:rFonts w:ascii="Calibri" w:hAnsi="Calibri"/>
                <w:b/>
                <w:color w:val="FFFFFF"/>
                <w:sz w:val="19"/>
              </w:rPr>
              <w:t>Ruta</w:t>
            </w:r>
          </w:p>
        </w:tc>
        <w:tc>
          <w:tcPr>
            <w:tcW w:type="dxa" w:w="4535"/>
            <w:shd w:val="clear" w:fill="1F3A5F"/>
          </w:tcPr>
          <w:p>
            <w:r/>
            <w:r>
              <w:rPr>
                <w:rFonts w:ascii="Calibri" w:hAnsi="Calibri"/>
                <w:b/>
                <w:color w:val="FFFFFF"/>
                <w:sz w:val="19"/>
              </w:rPr>
              <w:t>Contenido</w:t>
            </w:r>
          </w:p>
        </w:tc>
      </w:tr>
      <w:tr>
        <w:tc>
          <w:tcPr>
            <w:tcW w:type="dxa" w:w="2268"/>
          </w:tcPr>
          <w:p>
            <w:r>
              <w:t>Manual Técnico — Backend/BD</w:t>
            </w:r>
            <w:r>
              <w:rPr>
                <w:rFonts w:ascii="Calibri" w:hAnsi="Calibri"/>
                <w:sz w:val="19"/>
              </w:rPr>
            </w:r>
          </w:p>
        </w:tc>
        <w:tc>
          <w:tcPr>
            <w:tcW w:type="dxa" w:w="3402"/>
          </w:tcPr>
          <w:p>
            <w:r>
              <w:t>src/documentos/Manual_Tecnico_Backend_OPT.docx</w:t>
            </w:r>
            <w:r>
              <w:rPr>
                <w:rFonts w:ascii="Calibri" w:hAnsi="Calibri"/>
                <w:sz w:val="19"/>
              </w:rPr>
            </w:r>
          </w:p>
        </w:tc>
        <w:tc>
          <w:tcPr>
            <w:tcW w:type="dxa" w:w="4535"/>
          </w:tcPr>
          <w:p>
            <w:r/>
            <w:r>
              <w:rPr>
                <w:rFonts w:ascii="Calibri" w:hAnsi="Calibri"/>
                <w:sz w:val="19"/>
              </w:rPr>
              <w:t>Base de datos, arquitectura en capas del backend, seguridad del lado servidor.</w:t>
            </w:r>
          </w:p>
        </w:tc>
      </w:tr>
      <w:tr>
        <w:tc>
          <w:tcPr>
            <w:tcW w:type="dxa" w:w="2268"/>
          </w:tcPr>
          <w:p>
            <w:r/>
            <w:r>
              <w:rPr>
                <w:rFonts w:ascii="Calibri" w:hAnsi="Calibri"/>
                <w:sz w:val="19"/>
              </w:rPr>
              <w:t>README del frontend</w:t>
            </w:r>
          </w:p>
        </w:tc>
        <w:tc>
          <w:tcPr>
            <w:tcW w:type="dxa" w:w="3402"/>
          </w:tcPr>
          <w:p>
            <w:r/>
            <w:r>
              <w:rPr>
                <w:rFonts w:ascii="Calibri" w:hAnsi="Calibri"/>
                <w:sz w:val="19"/>
              </w:rPr>
              <w:t>src/frontend/README.md</w:t>
            </w:r>
          </w:p>
        </w:tc>
        <w:tc>
          <w:tcPr>
            <w:tcW w:type="dxa" w:w="4535"/>
          </w:tcPr>
          <w:p>
            <w:r/>
            <w:r>
              <w:rPr>
                <w:rFonts w:ascii="Calibri" w:hAnsi="Calibri"/>
                <w:sz w:val="19"/>
              </w:rPr>
              <w:t>Cómo correr el proyecto, estructura de carpetas, decisiones específicas.</w:t>
            </w:r>
          </w:p>
        </w:tc>
      </w:tr>
      <w:tr>
        <w:tc>
          <w:tcPr>
            <w:tcW w:type="dxa" w:w="2268"/>
          </w:tcPr>
          <w:p>
            <w:r/>
            <w:r>
              <w:rPr>
                <w:rFonts w:ascii="Calibri" w:hAnsi="Calibri"/>
                <w:sz w:val="19"/>
              </w:rPr>
              <w:t>CLAUDE.md del frontend</w:t>
            </w:r>
          </w:p>
        </w:tc>
        <w:tc>
          <w:tcPr>
            <w:tcW w:type="dxa" w:w="3402"/>
          </w:tcPr>
          <w:p>
            <w:r/>
            <w:r>
              <w:rPr>
                <w:rFonts w:ascii="Calibri" w:hAnsi="Calibri"/>
                <w:sz w:val="19"/>
              </w:rPr>
              <w:t>src/frontend/CLAUDE.md</w:t>
            </w:r>
          </w:p>
        </w:tc>
        <w:tc>
          <w:tcPr>
            <w:tcW w:type="dxa" w:w="4535"/>
          </w:tcPr>
          <w:p>
            <w:r/>
            <w:r>
              <w:rPr>
                <w:rFonts w:ascii="Calibri" w:hAnsi="Calibri"/>
                <w:sz w:val="19"/>
              </w:rPr>
              <w:t>Guía prescriptiva para generación de código con IA: convenciones, patrones, checklist antes de escribir un feature nuevo.</w:t>
            </w:r>
          </w:p>
        </w:tc>
      </w:tr>
      <w:tr>
        <w:tc>
          <w:tcPr>
            <w:tcW w:type="dxa" w:w="2268"/>
          </w:tcPr>
          <w:p>
            <w:r/>
            <w:r>
              <w:rPr>
                <w:rFonts w:ascii="Calibri" w:hAnsi="Calibri"/>
                <w:sz w:val="19"/>
              </w:rPr>
              <w:t>ADR 0002</w:t>
            </w:r>
          </w:p>
        </w:tc>
        <w:tc>
          <w:tcPr>
            <w:tcW w:type="dxa" w:w="3402"/>
          </w:tcPr>
          <w:p>
            <w:r/>
            <w:r>
              <w:rPr>
                <w:rFonts w:ascii="Calibri" w:hAnsi="Calibri"/>
                <w:sz w:val="19"/>
              </w:rPr>
              <w:t>.agents/decisions/0002-frontend-angular.md</w:t>
            </w:r>
          </w:p>
        </w:tc>
        <w:tc>
          <w:tcPr>
            <w:tcW w:type="dxa" w:w="4535"/>
          </w:tcPr>
          <w:p>
            <w:r/>
            <w:r>
              <w:rPr>
                <w:rFonts w:ascii="Calibri" w:hAnsi="Calibri"/>
                <w:sz w:val="19"/>
              </w:rPr>
              <w:t>Angular sobre Blazor — Aceptada.</w:t>
            </w:r>
          </w:p>
        </w:tc>
      </w:tr>
      <w:tr>
        <w:tc>
          <w:tcPr>
            <w:tcW w:type="dxa" w:w="2268"/>
          </w:tcPr>
          <w:p>
            <w:r/>
            <w:r>
              <w:rPr>
                <w:rFonts w:ascii="Calibri" w:hAnsi="Calibri"/>
                <w:sz w:val="19"/>
              </w:rPr>
              <w:t>ADR 0004</w:t>
            </w:r>
          </w:p>
        </w:tc>
        <w:tc>
          <w:tcPr>
            <w:tcW w:type="dxa" w:w="3402"/>
          </w:tcPr>
          <w:p>
            <w:r/>
            <w:r>
              <w:rPr>
                <w:rFonts w:ascii="Calibri" w:hAnsi="Calibri"/>
                <w:sz w:val="19"/>
              </w:rPr>
              <w:t>.agents/decisions/0004-cumplimiento-ley-21719.md</w:t>
            </w:r>
          </w:p>
        </w:tc>
        <w:tc>
          <w:tcPr>
            <w:tcW w:type="dxa" w:w="4535"/>
          </w:tcPr>
          <w:p>
            <w:r/>
            <w:r>
              <w:rPr>
                <w:rFonts w:ascii="Calibri" w:hAnsi="Calibri"/>
                <w:sz w:val="19"/>
              </w:rPr>
              <w:t>PublicId no enumerable, datos sensibles, Ley 21.719 — aplica también al frontend.</w:t>
            </w:r>
          </w:p>
        </w:tc>
      </w:tr>
      <w:tr>
        <w:tc>
          <w:tcPr>
            <w:tcW w:type="dxa" w:w="2268"/>
          </w:tcPr>
          <w:p>
            <w:r/>
            <w:r>
              <w:rPr>
                <w:rFonts w:ascii="Calibri" w:hAnsi="Calibri"/>
                <w:sz w:val="19"/>
              </w:rPr>
              <w:t>AGENTS.md / CLAUDE.md (raíz)</w:t>
            </w:r>
          </w:p>
        </w:tc>
        <w:tc>
          <w:tcPr>
            <w:tcW w:type="dxa" w:w="3402"/>
          </w:tcPr>
          <w:p>
            <w:r/>
            <w:r>
              <w:rPr>
                <w:rFonts w:ascii="Calibri" w:hAnsi="Calibri"/>
                <w:sz w:val="19"/>
              </w:rPr>
              <w:t>AGENTS.md, CLAUDE.md</w:t>
            </w:r>
          </w:p>
        </w:tc>
        <w:tc>
          <w:tcPr>
            <w:tcW w:type="dxa" w:w="4535"/>
          </w:tcPr>
          <w:p>
            <w:r/>
            <w:r>
              <w:rPr>
                <w:rFonts w:ascii="Calibri" w:hAnsi="Calibri"/>
                <w:sz w:val="19"/>
              </w:rPr>
              <w:t>Reglas globales del proyecto, dominio de negocio, reglas críticas.</w:t>
            </w:r>
          </w:p>
        </w:tc>
      </w:tr>
      <w:tr>
        <w:tc>
          <w:tcPr>
            <w:tcW w:type="dxa" w:w="2882"/>
          </w:tcPr>
          <w:p>
            <w:r>
              <w:t>Contexto de marca/branding para IA</w:t>
            </w:r>
          </w:p>
        </w:tc>
        <w:tc>
          <w:tcPr>
            <w:tcW w:type="dxa" w:w="2882"/>
          </w:tcPr>
          <w:p>
            <w:r>
              <w:t>.agents/context/branding-ux-ui.md</w:t>
            </w:r>
          </w:p>
        </w:tc>
        <w:tc>
          <w:tcPr>
            <w:tcW w:type="dxa" w:w="2882"/>
          </w:tcPr>
          <w:p>
            <w:r>
              <w:t>Paleta, tipografía, colores con significado de OPT_EstadoOT/OPT_FormaPago, accesibilidad WCAG — resumen accionable de src/documentos/Manual_Tecnico_UX_OPT.docx, ya aplicado en código (sección 2.5).</w:t>
            </w:r>
          </w:p>
        </w:tc>
      </w:tr>
    </w:tbl>
    <w:p/>
    <w:p>
      <w:pPr>
        <w:pStyle w:val="Heading1"/>
      </w:pPr>
      <w:r>
        <w:t>2. Arquitectura General</w:t>
      </w:r>
    </w:p>
    <w:p>
      <w:pPr>
        <w:pStyle w:val="Heading2"/>
      </w:pPr>
      <w:r>
        <w:t>2.1 Principios de diseño</w:t>
      </w:r>
    </w:p>
    <w:p>
      <w:pPr>
        <w:pStyle w:val="ListBullet"/>
      </w:pPr>
      <w:r>
        <w:rPr>
          <w:rFonts w:ascii="Calibri" w:hAnsi="Calibri"/>
        </w:rPr>
        <w:t>Standalone components — sin NgModules.</w:t>
      </w:r>
    </w:p>
    <w:p>
      <w:pPr>
        <w:pStyle w:val="ListBullet"/>
      </w:pPr>
      <w:r>
        <w:rPr>
          <w:rFonts w:ascii="Calibri" w:hAnsi="Calibri"/>
        </w:rPr>
        <w:t>Zoneless — sin zone.js; detección de cambios basada en signals (provideZonelessChangeDetection()).</w:t>
      </w:r>
    </w:p>
    <w:p>
      <w:pPr>
        <w:pStyle w:val="ListBullet"/>
      </w:pPr>
      <w:r>
        <w:rPr>
          <w:rFonts w:ascii="Calibri" w:hAnsi="Calibri"/>
        </w:rPr>
        <w:t>Signals como mecanismo de estado y reactividad; RxJS reservado para flujos asíncronos reales (HTTP, eventos).</w:t>
      </w:r>
    </w:p>
    <w:p>
      <w:pPr>
        <w:pStyle w:val="ListBullet"/>
      </w:pPr>
      <w:r>
        <w:rPr>
          <w:rFonts w:ascii="Calibri" w:hAnsi="Calibri"/>
        </w:rPr>
        <w:t>Sin librería de estado externa (NgRx u otra) — no se justifica para el volumen de este sistema.</w:t>
      </w:r>
    </w:p>
    <w:p>
      <w:pPr>
        <w:pStyle w:val="ListBullet"/>
      </w:pPr>
      <w:r>
        <w:rPr>
          <w:rFonts w:ascii="Calibri" w:hAnsi="Calibri"/>
        </w:rPr>
        <w:t>Los componentes nunca acceden a HttpClient directamente — siempre a través de un servicio de la carpeta services/ del feature correspondiente.</w:t>
      </w:r>
    </w:p>
    <w:p>
      <w:pPr>
        <w:pStyle w:val="ListBullet"/>
      </w:pPr>
      <w:r>
        <w:rPr>
          <w:rFonts w:ascii="Calibri" w:hAnsi="Calibri"/>
        </w:rPr>
        <w:t>Angular Material 21 (Material 3) con tema custom, definido en src/styles.scss.</w:t>
      </w:r>
    </w:p>
    <w:p/>
    <w:p>
      <w:pPr>
        <w:pStyle w:val="Heading2"/>
      </w:pPr>
      <w:r>
        <w:t>2.2 Capas de la aplicación</w:t>
      </w:r>
    </w:p>
    <w:p>
      <w:r>
        <w:rPr>
          <w:rFonts w:ascii="Calibri" w:hAnsi="Calibri"/>
          <w:b w:val="0"/>
          <w:i w:val="0"/>
        </w:rPr>
        <w:t>El flujo de una operación típica atraviesa las siguientes capas, en este orden:</w:t>
      </w:r>
    </w:p>
    <w:tbl>
      <w:tblPr>
        <w:tblStyle w:val="TableGrid"/>
        <w:tblW w:type="auto" w:w="0"/>
        <w:tblLook w:firstColumn="1" w:firstRow="1" w:lastColumn="0" w:lastRow="0" w:noHBand="0" w:noVBand="1" w:val="04A0"/>
      </w:tblPr>
      <w:tblGrid>
        <w:gridCol w:w="2882"/>
        <w:gridCol w:w="2882"/>
        <w:gridCol w:w="2882"/>
      </w:tblGrid>
      <w:tr>
        <w:tc>
          <w:tcPr>
            <w:tcW w:type="dxa" w:w="2268"/>
            <w:shd w:val="clear" w:fill="1F3A5F"/>
          </w:tcPr>
          <w:p>
            <w:r/>
            <w:r>
              <w:rPr>
                <w:rFonts w:ascii="Calibri" w:hAnsi="Calibri"/>
                <w:b/>
                <w:color w:val="FFFFFF"/>
                <w:sz w:val="19"/>
              </w:rPr>
              <w:t>Capa</w:t>
            </w:r>
          </w:p>
        </w:tc>
        <w:tc>
          <w:tcPr>
            <w:tcW w:type="dxa" w:w="5102"/>
            <w:shd w:val="clear" w:fill="1F3A5F"/>
          </w:tcPr>
          <w:p>
            <w:r/>
            <w:r>
              <w:rPr>
                <w:rFonts w:ascii="Calibri" w:hAnsi="Calibri"/>
                <w:b/>
                <w:color w:val="FFFFFF"/>
                <w:sz w:val="19"/>
              </w:rPr>
              <w:t>Responsabilidad</w:t>
            </w:r>
          </w:p>
        </w:tc>
        <w:tc>
          <w:tcPr>
            <w:tcW w:type="dxa" w:w="2835"/>
            <w:shd w:val="clear" w:fill="1F3A5F"/>
          </w:tcPr>
          <w:p>
            <w:r/>
            <w:r>
              <w:rPr>
                <w:rFonts w:ascii="Calibri" w:hAnsi="Calibri"/>
                <w:b/>
                <w:color w:val="FFFFFF"/>
                <w:sz w:val="19"/>
              </w:rPr>
              <w:t>Ejemplo</w:t>
            </w:r>
          </w:p>
        </w:tc>
      </w:tr>
      <w:tr>
        <w:tc>
          <w:tcPr>
            <w:tcW w:type="dxa" w:w="2268"/>
          </w:tcPr>
          <w:p>
            <w:r/>
            <w:r>
              <w:rPr>
                <w:rFonts w:ascii="Calibri" w:hAnsi="Calibri"/>
                <w:sz w:val="19"/>
              </w:rPr>
              <w:t>Componente (página)</w:t>
            </w:r>
          </w:p>
        </w:tc>
        <w:tc>
          <w:tcPr>
            <w:tcW w:type="dxa" w:w="5102"/>
          </w:tcPr>
          <w:p>
            <w:r/>
            <w:r>
              <w:rPr>
                <w:rFonts w:ascii="Calibri" w:hAnsi="Calibri"/>
                <w:sz w:val="19"/>
              </w:rPr>
              <w:t>Presentación, estado local (signals), delega toda operación de datos al servicio.</w:t>
            </w:r>
          </w:p>
        </w:tc>
        <w:tc>
          <w:tcPr>
            <w:tcW w:type="dxa" w:w="2835"/>
          </w:tcPr>
          <w:p>
            <w:r/>
            <w:r>
              <w:rPr>
                <w:rFonts w:ascii="Calibri" w:hAnsi="Calibri"/>
                <w:sz w:val="19"/>
              </w:rPr>
              <w:t>ClientesList</w:t>
            </w:r>
          </w:p>
        </w:tc>
      </w:tr>
      <w:tr>
        <w:tc>
          <w:tcPr>
            <w:tcW w:type="dxa" w:w="2268"/>
          </w:tcPr>
          <w:p>
            <w:r/>
            <w:r>
              <w:rPr>
                <w:rFonts w:ascii="Calibri" w:hAnsi="Calibri"/>
                <w:sz w:val="19"/>
              </w:rPr>
              <w:t>Servicio de feature</w:t>
            </w:r>
          </w:p>
        </w:tc>
        <w:tc>
          <w:tcPr>
            <w:tcW w:type="dxa" w:w="5102"/>
          </w:tcPr>
          <w:p>
            <w:r/>
            <w:r>
              <w:rPr>
                <w:rFonts w:ascii="Calibri" w:hAnsi="Calibri"/>
                <w:sz w:val="19"/>
              </w:rPr>
              <w:t>Único punto de acceso HTTP del módulo; construye URLs desde environment.apiUrl.</w:t>
            </w:r>
          </w:p>
        </w:tc>
        <w:tc>
          <w:tcPr>
            <w:tcW w:type="dxa" w:w="2835"/>
          </w:tcPr>
          <w:p>
            <w:r/>
            <w:r>
              <w:rPr>
                <w:rFonts w:ascii="Calibri" w:hAnsi="Calibri"/>
                <w:sz w:val="19"/>
              </w:rPr>
              <w:t>Clientes (clientes.ts)</w:t>
            </w:r>
          </w:p>
        </w:tc>
      </w:tr>
      <w:tr>
        <w:tc>
          <w:tcPr>
            <w:tcW w:type="dxa" w:w="2268"/>
          </w:tcPr>
          <w:p>
            <w:r/>
            <w:r>
              <w:rPr>
                <w:rFonts w:ascii="Calibri" w:hAnsi="Calibri"/>
                <w:sz w:val="19"/>
              </w:rPr>
              <w:t>Interceptores funcionales</w:t>
            </w:r>
          </w:p>
        </w:tc>
        <w:tc>
          <w:tcPr>
            <w:tcW w:type="dxa" w:w="5102"/>
          </w:tcPr>
          <w:p>
            <w:r/>
            <w:r>
              <w:rPr>
                <w:rFonts w:ascii="Calibri" w:hAnsi="Calibri"/>
                <w:sz w:val="19"/>
              </w:rPr>
              <w:t>authInterceptor agrega el Bearer token; errorInterceptor traduce errores y maneja 401.</w:t>
            </w:r>
          </w:p>
        </w:tc>
        <w:tc>
          <w:tcPr>
            <w:tcW w:type="dxa" w:w="2835"/>
          </w:tcPr>
          <w:p>
            <w:r/>
            <w:r>
              <w:rPr>
                <w:rFonts w:ascii="Calibri" w:hAnsi="Calibri"/>
                <w:sz w:val="19"/>
              </w:rPr>
              <w:t>core/interceptors/</w:t>
            </w:r>
          </w:p>
        </w:tc>
      </w:tr>
      <w:tr>
        <w:tc>
          <w:tcPr>
            <w:tcW w:type="dxa" w:w="2268"/>
          </w:tcPr>
          <w:p>
            <w:r/>
            <w:r>
              <w:rPr>
                <w:rFonts w:ascii="Calibri" w:hAnsi="Calibri"/>
                <w:sz w:val="19"/>
              </w:rPr>
              <w:t>HttpClient (Angular)</w:t>
            </w:r>
          </w:p>
        </w:tc>
        <w:tc>
          <w:tcPr>
            <w:tcW w:type="dxa" w:w="5102"/>
          </w:tcPr>
          <w:p>
            <w:r/>
            <w:r>
              <w:rPr>
                <w:rFonts w:ascii="Calibri" w:hAnsi="Calibri"/>
                <w:sz w:val="19"/>
              </w:rPr>
              <w:t>Transporte HTTP.</w:t>
            </w:r>
          </w:p>
        </w:tc>
        <w:tc>
          <w:tcPr>
            <w:tcW w:type="dxa" w:w="2835"/>
          </w:tcPr>
          <w:p>
            <w:r/>
            <w:r>
              <w:rPr>
                <w:rFonts w:ascii="Calibri" w:hAnsi="Calibri"/>
                <w:sz w:val="19"/>
              </w:rPr>
              <w:t>—</w:t>
            </w:r>
          </w:p>
        </w:tc>
      </w:tr>
      <w:tr>
        <w:tc>
          <w:tcPr>
            <w:tcW w:type="dxa" w:w="2268"/>
          </w:tcPr>
          <w:p>
            <w:r/>
            <w:r>
              <w:rPr>
                <w:rFonts w:ascii="Calibri" w:hAnsi="Calibri"/>
                <w:sz w:val="19"/>
              </w:rPr>
              <w:t>OPT.API (.NET)</w:t>
            </w:r>
          </w:p>
        </w:tc>
        <w:tc>
          <w:tcPr>
            <w:tcW w:type="dxa" w:w="5102"/>
          </w:tcPr>
          <w:p>
            <w:r/>
            <w:r>
              <w:rPr>
                <w:rFonts w:ascii="Calibri" w:hAnsi="Calibri"/>
                <w:sz w:val="19"/>
              </w:rPr>
              <w:t>Backend — fuera del alcance de este documento.</w:t>
            </w:r>
          </w:p>
        </w:tc>
        <w:tc>
          <w:tcPr>
            <w:tcW w:type="dxa" w:w="2835"/>
          </w:tcPr>
          <w:p>
            <w:r/>
            <w:r>
              <w:rPr>
                <w:rFonts w:ascii="Calibri" w:hAnsi="Calibri"/>
                <w:sz w:val="19"/>
              </w:rPr>
              <w:t>—</w:t>
            </w:r>
          </w:p>
        </w:tc>
      </w:tr>
    </w:tbl>
    <w:p/>
    <w:p>
      <w:pPr>
        <w:pStyle w:val="Heading2"/>
      </w:pPr>
      <w:r>
        <w:t>2.3 Enrutamiento y carga diferida (lazy loading)</w:t>
      </w:r>
    </w:p>
    <w:p>
      <w:r>
        <w:rPr>
          <w:rFonts w:ascii="Calibri" w:hAnsi="Calibri"/>
          <w:b w:val="0"/>
          <w:i w:val="0"/>
        </w:rPr>
        <w:t>app.routes.ts define dos ramas: la ruta pública /login (bajo el layout AuthLayout) y la raíz '' (bajo el layout Shell), protegida por authGuard. Cada feature bajo el Shell se carga con loadChildren apuntando a su propio archivo &lt;modulo&gt;.routes.ts, y cada página dentro de un feature se carga con loadComponent — ninguna página se importa de forma eager.</w:t>
      </w:r>
    </w:p>
    <w:p>
      <w:pPr>
        <w:ind w:left="283"/>
        <w:shd w:val="clear" w:fill="F2F2F2"/>
      </w:pPr>
      <w:r>
        <w:rPr>
          <w:rFonts w:ascii="Consolas" w:hAnsi="Consolas"/>
          <w:sz w:val="19"/>
        </w:rPr>
        <w:t>app.routes.ts</w:t>
        <w:br/>
        <w:t>├── /login  →  AuthLayout  →  AUTH_ROUTES (login)</w:t>
        <w:br/>
        <w:t>└── ''      →  Shell (authGuard)</w:t>
        <w:br/>
        <w:t xml:space="preserve">     ├── /clientes              → CLIENTES_ROUTES</w:t>
        <w:br/>
        <w:t xml:space="preserve">     │    └── /clientes/:publicId  → ClienteFicha (ruta hija, no diálogo)</w:t>
        <w:br/>
        <w:t xml:space="preserve">     ├── /ordenes-de-trabajo    → ORDENES_DE_TRABAJO_ROUTES</w:t>
        <w:br/>
        <w:t xml:space="preserve">     │    ├── /nueva               → OrdenDeTrabajoForm (va ANTES de :publicId)</w:t>
        <w:br/>
        <w:t xml:space="preserve">     │    ├── /:publicId           → OrdenDeTrabajoFicha (vista "Ver Orden")</w:t>
        <w:br/>
        <w:t xml:space="preserve">     │    └── /:publicId/editar    → OrdenDeTrabajoForm</w:t>
        <w:br/>
        <w:t xml:space="preserve">     ├── /abonos /pagos /cuotas → pantallas sobre subrecursos de la OT (aceptan ?ot=&lt;publicId&gt;)</w:t>
        <w:br/>
        <w:t xml:space="preserve">     ├── /cobranza              → COBRANZA_ROUTES (deudores por empresa)</w:t>
        <w:br/>
        <w:t xml:space="preserve">     ├── /inventario            → INVENTARIO_ROUTES (parcial: solo catálogo de productos)</w:t>
        <w:br/>
        <w:t xml:space="preserve">     ├── /sucursales            → SUCURSALES_ROUTES</w:t>
        <w:br/>
        <w:t xml:space="preserve">     ├── /empresas              → EMPRESAS_ROUTES</w:t>
        <w:br/>
        <w:t xml:space="preserve">     ├── /usuarios              → USUARIOS_ROUTES</w:t>
        <w:br/>
        <w:t xml:space="preserve">     └── /roles                 → ROLES_ROUTES</w:t>
      </w:r>
    </w:p>
    <w:p>
      <w:pPr>
        <w:pStyle w:val="Heading2"/>
      </w:pPr>
      <w:r>
        <w:t>2.4 Gestión de estado</w:t>
      </w:r>
    </w:p>
    <w:p>
      <w:r>
        <w:rPr>
          <w:rFonts w:ascii="Calibri" w:hAnsi="Calibri"/>
          <w:b w:val="0"/>
          <w:i w:val="0"/>
        </w:rPr>
        <w:t>No existe un store global. El estado de sesión vive en Auth (signal usuarioActual, computed estaAutenticado), respaldado por el JWT en sessionStorage para sobrevivir a un refresh de página. El estado de cada página (p. ej. la lista de clientes cargada) vive como signal local del componente. Este enfoque es intencional para un sistema chico y personalizado — revisar solo si aparece estado compartido complejo entre features no relacionados entre sí.</w:t>
      </w:r>
    </w:p>
    <w:p>
      <w:pPr>
        <w:pStyle w:val="Heading2"/>
      </w:pPr>
      <w:r>
        <w:t>2.5 Tema visual y branding</w:t>
      </w:r>
    </w:p>
    <w:p>
      <w:pPr/>
      <w:r>
        <w:t>El tema Angular Material M3 de marca esta aplicado a partir de la propuesta de branding v2.0 «Añil + Terracota» (sesion 2026-08-27), con dos pasadas posteriores de acabado (2ª pasada UX/UI: modo oscuro + escalas de sistema + componentes compartidos; Propuesta v2.1: densidad y tipografia). Ver .agents/context/branding-ux-ui.md para el mapa completo de que vive en que archivo antes de tocar cualquiera de estos:</w:t>
      </w:r>
    </w:p>
    <w:p>
      <w:pPr>
        <w:pStyle w:val="ListBullet"/>
      </w:pPr>
      <w:r>
        <w:t>src/theme-colors.scss — paleta M3 (primary #2F5D8A «Añil» / tertiary #E2703B «Terracota»), generada con ng generate @angular/material:theme-color. No editar a mano; regenerar con los mismos hex si cambian.</w:t>
      </w:r>
    </w:p>
    <w:p>
      <w:pPr>
        <w:pStyle w:val="ListBullet"/>
      </w:pPr>
      <w:r>
        <w:t>src/theme-tokens.scss — variables --opt-*: colores con significado (OPT_EstadoOT, OPT_FormaPago), tipografia de titulares (Fraunces) y monoespaciada (IBM Plex Mono), y escalas de sistema --opt-space/radius/elevation/motion-* (base 4px).</w:t>
      </w:r>
    </w:p>
    <w:p>
      <w:pPr>
        <w:pStyle w:val="ListBullet"/>
      </w:pPr>
      <w:r>
        <w:t>src/styles.scss — mat.theme() emitido para tema claro y oscuro (doble emision; esta version de Angular Material rechaza theme-type: light dark), density: -2, escala tipografica compacta v2.1 (override de tokens --mat-sys-* tras mat.theme()), halo de foco reforzado, utilidades .opt-titular / .opt-mono / .opt-badge-clinico, y reglas globales de color de tablas y titulos de dialogo.</w:t>
      </w:r>
    </w:p>
    <w:p>
      <w:pPr>
        <w:pStyle w:val="ListBullet"/>
      </w:pPr>
      <w:r>
        <w:t>src/app/app.config.ts — MAT_ICON_DEFAULT_OPTIONS fija Material Symbols Rounded como set de iconos por defecto de toda la app.</w:t>
      </w:r>
    </w:p>
    <w:p>
      <w:pPr>
        <w:pStyle w:val="ListBullet"/>
      </w:pPr>
      <w:r>
        <w:t>Modo claro/oscuro: servicio shared/services/tema.ts (Tema), toggle en la toolbar del Shell, preferencia light/dark/system persistida en localStorage (opt.tema). Un componente nuevo sale correcto en ambos temas solo si usa var(--mat-sys-*) / var(--opt-*), nunca hex sueltos ni #fff/#000 literales.</w:t>
      </w:r>
    </w:p>
    <w:p>
      <w:pPr>
        <w:pStyle w:val="ListBullet"/>
      </w:pPr>
      <w:r>
        <w:t>Densidad y tipografia (v2.1): density: -2 y la escala tipografica compacta son GLOBALES (styles.scss) — nunca fijar font-size ni alturas de control por componente. Si un texto se ve grande, es un rol M3 mal elegido (body-large vs body-medium vs label-large), no un tamano que falte. Excepcion movil obligatoria: el texto del input vuelve a 16px bajo 600px (anti auto-zoom de iOS).</w:t>
      </w:r>
    </w:p>
    <w:p>
      <w:pPr>
        <w:pStyle w:val="ListBullet"/>
      </w:pPr>
      <w:r>
        <w:t>Componentes compartidos de layout: app-page-header (encabezado de pagina, inputs title/subtitle?/backTo?/backLabel), app-list-skeleton (estado de carga) y app-empty-state (vacio/error). Usarlos, no reimplementar. El titulo de app-empty-state usa Fraunces y su icono el terracota --opt-accent-dark (guino humanista acotado al «momento de pausa»).</w:t>
      </w:r>
    </w:p>
    <w:p>
      <w:pPr>
        <w:pStyle w:val="ListBullet"/>
      </w:pPr>
      <w:r>
        <w:t>Cabecera de mat-table (v2.1): liviana — fondo surface + borde inferior 2px primary + texto primary (antes una banda primary-container plena). Aplicada globalmente en styles.scss; no re-estilar por tabla.</w:t>
      </w:r>
    </w:p>
    <w:p>
      <w:pPr>
        <w:pStyle w:val="ListBullet"/>
      </w:pPr>
      <w:r>
        <w:t>Pendiente: vector final del logotipo (SVG) — el login usa un lockup solo de texto mientras no exista.</w:t>
      </w:r>
    </w:p>
    <w:p>
      <w:pPr>
        <w:pStyle w:val="Heading1"/>
      </w:pPr>
      <w:r>
        <w:t>3. Estructura de Carpetas</w:t>
      </w:r>
    </w:p>
    <w:p>
      <w:pPr>
        <w:pStyle w:val="Heading2"/>
      </w:pPr>
      <w:r>
        <w:t>3.1 Vista general</w:t>
      </w:r>
    </w:p>
    <w:p>
      <w:pPr>
        <w:ind w:left="283"/>
        <w:shd w:val="clear" w:fill="F2F2F2"/>
      </w:pPr>
      <w:r>
        <w:rPr>
          <w:rFonts w:ascii="Consolas" w:hAnsi="Consolas"/>
          <w:sz w:val="19"/>
        </w:rPr>
        <w:t>src/app/</w:t>
        <w:br/>
        <w:t>├── core/            # Transversal — un solo consumidor: la app entera</w:t>
        <w:br/>
        <w:t>├── shared/          # Reutilizable entre features, sin lógica de negocio propia</w:t>
        <w:br/>
        <w:t>├── layout/          # Cascarones de página (Shell, AuthLayout)</w:t>
        <w:br/>
        <w:t>├── features/        # Un folder por módulo de negocio</w:t>
        <w:br/>
        <w:t>├── app.routes.ts</w:t>
        <w:br/>
        <w:t>└── app.config.ts</w:t>
        <w:br/>
        <w:t>src/environments/    # environment.ts (prod) / environment.development.ts</w:t>
      </w:r>
    </w:p>
    <w:p>
      <w:pPr>
        <w:pStyle w:val="Heading2"/>
      </w:pPr>
      <w:r>
        <w:t>3.2 core/</w:t>
      </w:r>
    </w:p>
    <w:tbl>
      <w:tblPr>
        <w:tblStyle w:val="TableGrid"/>
        <w:tblW w:type="auto" w:w="0"/>
        <w:tblLook w:firstColumn="1" w:firstRow="1" w:lastColumn="0" w:lastRow="0" w:noHBand="0" w:noVBand="1" w:val="04A0"/>
      </w:tblPr>
      <w:tblGrid>
        <w:gridCol w:w="4323"/>
        <w:gridCol w:w="4323"/>
      </w:tblGrid>
      <w:tr>
        <w:tc>
          <w:tcPr>
            <w:tcW w:type="dxa" w:w="3402"/>
            <w:shd w:val="clear" w:fill="1F3A5F"/>
          </w:tcPr>
          <w:p>
            <w:r/>
            <w:r>
              <w:rPr>
                <w:rFonts w:ascii="Calibri" w:hAnsi="Calibri"/>
                <w:b/>
                <w:color w:val="FFFFFF"/>
                <w:sz w:val="19"/>
              </w:rPr>
              <w:t>Archivo</w:t>
            </w:r>
          </w:p>
        </w:tc>
        <w:tc>
          <w:tcPr>
            <w:tcW w:type="dxa" w:w="6803"/>
            <w:shd w:val="clear" w:fill="1F3A5F"/>
          </w:tcPr>
          <w:p>
            <w:r/>
            <w:r>
              <w:rPr>
                <w:rFonts w:ascii="Calibri" w:hAnsi="Calibri"/>
                <w:b/>
                <w:color w:val="FFFFFF"/>
                <w:sz w:val="19"/>
              </w:rPr>
              <w:t>Rol</w:t>
            </w:r>
          </w:p>
        </w:tc>
      </w:tr>
      <w:tr>
        <w:tc>
          <w:tcPr>
            <w:tcW w:type="dxa" w:w="3402"/>
          </w:tcPr>
          <w:p>
            <w:r/>
            <w:r>
              <w:rPr>
                <w:rFonts w:ascii="Calibri" w:hAnsi="Calibri"/>
                <w:sz w:val="19"/>
              </w:rPr>
              <w:t>guards/auth-guard.ts</w:t>
            </w:r>
          </w:p>
        </w:tc>
        <w:tc>
          <w:tcPr>
            <w:tcW w:type="dxa" w:w="6803"/>
          </w:tcPr>
          <w:p>
            <w:r/>
            <w:r>
              <w:rPr>
                <w:rFonts w:ascii="Calibri" w:hAnsi="Calibri"/>
                <w:sz w:val="19"/>
              </w:rPr>
              <w:t>CanActivateFn — redirige a /login (con returnUrl) si no hay sesión.</w:t>
            </w:r>
          </w:p>
        </w:tc>
      </w:tr>
      <w:tr>
        <w:tc>
          <w:tcPr>
            <w:tcW w:type="dxa" w:w="3402"/>
          </w:tcPr>
          <w:p>
            <w:r/>
            <w:r>
              <w:rPr>
                <w:rFonts w:ascii="Calibri" w:hAnsi="Calibri"/>
                <w:sz w:val="19"/>
              </w:rPr>
              <w:t>interceptors/auth-interceptor.ts</w:t>
            </w:r>
          </w:p>
        </w:tc>
        <w:tc>
          <w:tcPr>
            <w:tcW w:type="dxa" w:w="6803"/>
          </w:tcPr>
          <w:p>
            <w:r/>
            <w:r>
              <w:rPr>
                <w:rFonts w:ascii="Calibri" w:hAnsi="Calibri"/>
                <w:sz w:val="19"/>
              </w:rPr>
              <w:t>Agrega Authorization: Bearer &lt;token&gt; a toda request.</w:t>
            </w:r>
          </w:p>
        </w:tc>
      </w:tr>
      <w:tr>
        <w:tc>
          <w:tcPr>
            <w:tcW w:type="dxa" w:w="3402"/>
          </w:tcPr>
          <w:p>
            <w:r/>
            <w:r>
              <w:rPr>
                <w:rFonts w:ascii="Calibri" w:hAnsi="Calibri"/>
                <w:sz w:val="19"/>
              </w:rPr>
              <w:t>interceptors/error-interceptor.ts</w:t>
            </w:r>
          </w:p>
        </w:tc>
        <w:tc>
          <w:tcPr>
            <w:tcW w:type="dxa" w:w="6803"/>
          </w:tcPr>
          <w:p>
            <w:r/>
            <w:r>
              <w:rPr>
                <w:rFonts w:ascii="Calibri" w:hAnsi="Calibri"/>
                <w:sz w:val="19"/>
              </w:rPr>
              <w:t>Traduce ProblemDetails a un Toast; en 401 cierra sesión y redirige.</w:t>
            </w:r>
          </w:p>
        </w:tc>
      </w:tr>
      <w:tr>
        <w:tc>
          <w:tcPr>
            <w:tcW w:type="dxa" w:w="3402"/>
          </w:tcPr>
          <w:p>
            <w:r/>
            <w:r>
              <w:rPr>
                <w:rFonts w:ascii="Calibri" w:hAnsi="Calibri"/>
                <w:sz w:val="19"/>
              </w:rPr>
              <w:t>models/auth.models.ts</w:t>
            </w:r>
          </w:p>
        </w:tc>
        <w:tc>
          <w:tcPr>
            <w:tcW w:type="dxa" w:w="6803"/>
          </w:tcPr>
          <w:p>
            <w:r/>
            <w:r>
              <w:rPr>
                <w:rFonts w:ascii="Calibri" w:hAnsi="Calibri"/>
                <w:sz w:val="19"/>
              </w:rPr>
              <w:t>LoginRequest, LoginResponse, JwtClaims, UsuarioActual — contrato exacto con el backend.</w:t>
            </w:r>
          </w:p>
        </w:tc>
      </w:tr>
      <w:tr>
        <w:tc>
          <w:tcPr>
            <w:tcW w:type="dxa" w:w="3402"/>
          </w:tcPr>
          <w:p>
            <w:r/>
            <w:r>
              <w:rPr>
                <w:rFonts w:ascii="Calibri" w:hAnsi="Calibri"/>
                <w:sz w:val="19"/>
              </w:rPr>
              <w:t>services/auth.ts</w:t>
            </w:r>
          </w:p>
        </w:tc>
        <w:tc>
          <w:tcPr>
            <w:tcW w:type="dxa" w:w="6803"/>
          </w:tcPr>
          <w:p>
            <w:r/>
            <w:r>
              <w:rPr>
                <w:rFonts w:ascii="Calibri" w:hAnsi="Calibri"/>
                <w:sz w:val="19"/>
              </w:rPr>
              <w:t>Sesión: login(), logout(), signal usuarioActual, computed estaAutenticado.</w:t>
            </w:r>
          </w:p>
        </w:tc>
      </w:tr>
      <w:tr>
        <w:tc>
          <w:tcPr>
            <w:tcW w:type="dxa" w:w="3402"/>
          </w:tcPr>
          <w:p>
            <w:r/>
            <w:r>
              <w:rPr>
                <w:rFonts w:ascii="Calibri" w:hAnsi="Calibri"/>
                <w:sz w:val="19"/>
              </w:rPr>
              <w:t>services/token-storage.ts</w:t>
            </w:r>
          </w:p>
        </w:tc>
        <w:tc>
          <w:tcPr>
            <w:tcW w:type="dxa" w:w="6803"/>
          </w:tcPr>
          <w:p>
            <w:r/>
            <w:r>
              <w:rPr>
                <w:rFonts w:ascii="Calibri" w:hAnsi="Calibri"/>
                <w:sz w:val="19"/>
              </w:rPr>
              <w:t>Encapsula sessionStorage — único lugar que toca el storage del navegador.</w:t>
            </w:r>
          </w:p>
        </w:tc>
      </w:tr>
      <w:tr>
        <w:tc>
          <w:tcPr>
            <w:tcW w:type="dxa" w:w="3402"/>
          </w:tcPr>
          <w:p>
            <w:r/>
            <w:r>
              <w:rPr>
                <w:rFonts w:ascii="Calibri" w:hAnsi="Calibri"/>
                <w:sz w:val="19"/>
              </w:rPr>
              <w:t>utils/jwt.util.ts</w:t>
            </w:r>
          </w:p>
        </w:tc>
        <w:tc>
          <w:tcPr>
            <w:tcW w:type="dxa" w:w="6803"/>
          </w:tcPr>
          <w:p>
            <w:r/>
            <w:r>
              <w:rPr>
                <w:rFonts w:ascii="Calibri" w:hAnsi="Calibri"/>
                <w:sz w:val="19"/>
              </w:rPr>
              <w:t>decodeJwtPayload — decodifica el payload del JWT sin dependencias externas.</w:t>
            </w:r>
          </w:p>
        </w:tc>
      </w:tr>
    </w:tbl>
    <w:p/>
    <w:p>
      <w:pPr>
        <w:pStyle w:val="Heading2"/>
      </w:pPr>
      <w:r>
        <w:t>3.3 shared/</w:t>
      </w:r>
    </w:p>
    <w:tbl>
      <w:tblPr>
        <w:tblStyle w:val="TableGrid"/>
        <w:tblW w:type="auto" w:w="0"/>
        <w:tblLook w:firstColumn="1" w:firstRow="1" w:lastColumn="0" w:lastRow="0" w:noHBand="0" w:noVBand="1" w:val="04A0"/>
      </w:tblPr>
      <w:tblGrid>
        <w:gridCol w:w="4323"/>
        <w:gridCol w:w="4323"/>
      </w:tblGrid>
      <w:tr>
        <w:tc>
          <w:tcPr>
            <w:tcW w:type="dxa" w:w="3402"/>
            <w:shd w:val="clear" w:fill="1F3A5F"/>
          </w:tcPr>
          <w:p>
            <w:r/>
            <w:r>
              <w:rPr>
                <w:rFonts w:ascii="Calibri" w:hAnsi="Calibri"/>
                <w:b/>
                <w:color w:val="FFFFFF"/>
                <w:sz w:val="19"/>
              </w:rPr>
              <w:t>Archivo</w:t>
            </w:r>
          </w:p>
        </w:tc>
        <w:tc>
          <w:tcPr>
            <w:tcW w:type="dxa" w:w="6803"/>
            <w:shd w:val="clear" w:fill="1F3A5F"/>
          </w:tcPr>
          <w:p>
            <w:r/>
            <w:r>
              <w:rPr>
                <w:rFonts w:ascii="Calibri" w:hAnsi="Calibri"/>
                <w:b/>
                <w:color w:val="FFFFFF"/>
                <w:sz w:val="19"/>
              </w:rPr>
              <w:t>Rol</w:t>
            </w:r>
          </w:p>
        </w:tc>
      </w:tr>
      <w:tr>
        <w:tc>
          <w:tcPr>
            <w:tcW w:type="dxa" w:w="3402"/>
          </w:tcPr>
          <w:p>
            <w:r/>
            <w:r>
              <w:rPr>
                <w:rFonts w:ascii="Calibri" w:hAnsi="Calibri"/>
                <w:sz w:val="19"/>
              </w:rPr>
              <w:t>models/api-problem-details.ts</w:t>
            </w:r>
          </w:p>
        </w:tc>
        <w:tc>
          <w:tcPr>
            <w:tcW w:type="dxa" w:w="6803"/>
          </w:tcPr>
          <w:p>
            <w:r/>
            <w:r>
              <w:rPr>
                <w:rFonts w:ascii="Calibri" w:hAnsi="Calibri"/>
                <w:sz w:val="19"/>
              </w:rPr>
              <w:t>Forma de ProblemDetails que produce ExceptionHandlingMiddleware.</w:t>
            </w:r>
          </w:p>
        </w:tc>
      </w:tr>
      <w:tr>
        <w:tc>
          <w:tcPr>
            <w:tcW w:type="dxa" w:w="3402"/>
          </w:tcPr>
          <w:p>
            <w:r/>
            <w:r>
              <w:rPr>
                <w:rFonts w:ascii="Calibri" w:hAnsi="Calibri"/>
                <w:sz w:val="19"/>
              </w:rPr>
              <w:t>services/toast.ts</w:t>
            </w:r>
          </w:p>
        </w:tc>
        <w:tc>
          <w:tcPr>
            <w:tcW w:type="dxa" w:w="6803"/>
          </w:tcPr>
          <w:p>
            <w:r/>
            <w:r>
              <w:rPr>
                <w:rFonts w:ascii="Calibri" w:hAnsi="Calibri"/>
                <w:sz w:val="19"/>
              </w:rPr>
              <w:t>Notificaciones vía MatSnackBar — reemplaza al SweetAlert del legacy.</w:t>
            </w:r>
          </w:p>
        </w:tc>
      </w:tr>
      <w:tr>
        <w:tc>
          <w:tcPr>
            <w:tcW w:type="dxa" w:w="3402"/>
          </w:tcPr>
          <w:p>
            <w:r>
              <w:t>styles.scss (global) — clases .opt-chip / --si / --alerta / --info</w:t>
            </w:r>
          </w:p>
        </w:tc>
        <w:tc>
          <w:tcPr>
            <w:tcW w:type="dxa" w:w="6803"/>
          </w:tcPr>
          <w:p>
            <w:r>
              <w:t>Chip de flag booleano (Urgente, Laboratorio, antecedentes). Global porque lo usan la ficha del cliente y la de la OT con el mismo significado; siempre fondo + texto, nunca solo color.</w:t>
            </w:r>
          </w:p>
        </w:tc>
      </w:tr>
    </w:tbl>
    <w:p/>
    <w:p>
      <w:pPr>
        <w:pStyle w:val="Heading2"/>
      </w:pPr>
      <w:r>
        <w:t>3.4 layout/</w:t>
      </w:r>
    </w:p>
    <w:tbl>
      <w:tblPr>
        <w:tblStyle w:val="TableGrid"/>
        <w:tblW w:type="auto" w:w="0"/>
        <w:tblLook w:firstColumn="1" w:firstRow="1" w:lastColumn="0" w:lastRow="0" w:noHBand="0" w:noVBand="1" w:val="04A0"/>
      </w:tblPr>
      <w:tblGrid>
        <w:gridCol w:w="4323"/>
        <w:gridCol w:w="4323"/>
      </w:tblGrid>
      <w:tr>
        <w:tc>
          <w:tcPr>
            <w:tcW w:type="dxa" w:w="3402"/>
            <w:shd w:val="clear" w:fill="1F3A5F"/>
          </w:tcPr>
          <w:p>
            <w:r/>
            <w:r>
              <w:rPr>
                <w:rFonts w:ascii="Calibri" w:hAnsi="Calibri"/>
                <w:b/>
                <w:color w:val="FFFFFF"/>
                <w:sz w:val="19"/>
              </w:rPr>
              <w:t>Archivo</w:t>
            </w:r>
          </w:p>
        </w:tc>
        <w:tc>
          <w:tcPr>
            <w:tcW w:type="dxa" w:w="6803"/>
            <w:shd w:val="clear" w:fill="1F3A5F"/>
          </w:tcPr>
          <w:p>
            <w:r/>
            <w:r>
              <w:rPr>
                <w:rFonts w:ascii="Calibri" w:hAnsi="Calibri"/>
                <w:b/>
                <w:color w:val="FFFFFF"/>
                <w:sz w:val="19"/>
              </w:rPr>
              <w:t>Rol</w:t>
            </w:r>
          </w:p>
        </w:tc>
      </w:tr>
      <w:tr>
        <w:tc>
          <w:tcPr>
            <w:tcW w:type="dxa" w:w="3402"/>
          </w:tcPr>
          <w:p>
            <w:r/>
            <w:r>
              <w:rPr>
                <w:rFonts w:ascii="Calibri" w:hAnsi="Calibri"/>
                <w:sz w:val="19"/>
              </w:rPr>
              <w:t>shell/</w:t>
            </w:r>
          </w:p>
        </w:tc>
        <w:tc>
          <w:tcPr>
            <w:tcW w:type="dxa" w:w="6803"/>
          </w:tcPr>
          <w:p>
            <w:r/>
            <w:r>
              <w:rPr>
                <w:rFonts w:ascii="Calibri" w:hAnsi="Calibri"/>
                <w:sz w:val="19"/>
              </w:rPr>
              <w:t>Toolbar + sidenav de navegación + router-outlet — zona autenticada.</w:t>
            </w:r>
          </w:p>
        </w:tc>
      </w:tr>
      <w:tr>
        <w:tc>
          <w:tcPr>
            <w:tcW w:type="dxa" w:w="3402"/>
          </w:tcPr>
          <w:p>
            <w:r/>
            <w:r>
              <w:rPr>
                <w:rFonts w:ascii="Calibri" w:hAnsi="Calibri"/>
                <w:sz w:val="19"/>
              </w:rPr>
              <w:t>auth-layout/</w:t>
            </w:r>
          </w:p>
        </w:tc>
        <w:tc>
          <w:tcPr>
            <w:tcW w:type="dxa" w:w="6803"/>
          </w:tcPr>
          <w:p>
            <w:r/>
            <w:r>
              <w:rPr>
                <w:rFonts w:ascii="Calibri" w:hAnsi="Calibri"/>
                <w:sz w:val="19"/>
              </w:rPr>
              <w:t>Contenedor centrado — zona pública (login).</w:t>
            </w:r>
          </w:p>
        </w:tc>
      </w:tr>
    </w:tbl>
    <w:p/>
    <w:p>
      <w:pPr>
        <w:pStyle w:val="Heading2"/>
      </w:pPr>
      <w:r>
        <w:t>3.5 features/</w:t>
      </w:r>
    </w:p>
    <w:tbl>
      <w:tblPr>
        <w:tblStyle w:val="TableGrid"/>
        <w:tblW w:type="auto" w:w="0"/>
        <w:tblLook w:firstColumn="1" w:firstRow="1" w:lastColumn="0" w:lastRow="0" w:noHBand="0" w:noVBand="1" w:val="04A0"/>
      </w:tblPr>
      <w:tblGrid>
        <w:gridCol w:w="2882"/>
        <w:gridCol w:w="2882"/>
        <w:gridCol w:w="2882"/>
      </w:tblGrid>
      <w:tr>
        <w:tc>
          <w:tcPr>
            <w:tcW w:type="dxa" w:w="2268"/>
            <w:shd w:val="clear" w:fill="1F3A5F"/>
          </w:tcPr>
          <w:p>
            <w:r/>
            <w:r>
              <w:rPr>
                <w:rFonts w:ascii="Calibri" w:hAnsi="Calibri"/>
                <w:b/>
                <w:color w:val="FFFFFF"/>
                <w:sz w:val="19"/>
              </w:rPr>
              <w:t>Feature</w:t>
            </w:r>
          </w:p>
        </w:tc>
        <w:tc>
          <w:tcPr>
            <w:tcW w:type="dxa" w:w="1701"/>
            <w:shd w:val="clear" w:fill="1F3A5F"/>
          </w:tcPr>
          <w:p>
            <w:r/>
            <w:r>
              <w:rPr>
                <w:rFonts w:ascii="Calibri" w:hAnsi="Calibri"/>
                <w:b/>
                <w:color w:val="FFFFFF"/>
                <w:sz w:val="19"/>
              </w:rPr>
              <w:t>Estado</w:t>
            </w:r>
          </w:p>
        </w:tc>
        <w:tc>
          <w:tcPr>
            <w:tcW w:type="dxa" w:w="6236"/>
            <w:shd w:val="clear" w:fill="1F3A5F"/>
          </w:tcPr>
          <w:p>
            <w:r/>
            <w:r>
              <w:rPr>
                <w:rFonts w:ascii="Calibri" w:hAnsi="Calibri"/>
                <w:b/>
                <w:color w:val="FFFFFF"/>
                <w:sz w:val="19"/>
              </w:rPr>
              <w:t>Contenido</w:t>
            </w:r>
          </w:p>
        </w:tc>
      </w:tr>
      <w:tr>
        <w:tc>
          <w:tcPr>
            <w:tcW w:type="dxa" w:w="2268"/>
          </w:tcPr>
          <w:p>
            <w:r/>
            <w:r>
              <w:rPr>
                <w:rFonts w:ascii="Calibri" w:hAnsi="Calibri"/>
                <w:sz w:val="19"/>
              </w:rPr>
              <w:t>auth/</w:t>
            </w:r>
          </w:p>
        </w:tc>
        <w:tc>
          <w:tcPr>
            <w:tcW w:type="dxa" w:w="1701"/>
          </w:tcPr>
          <w:p>
            <w:r/>
            <w:r>
              <w:rPr>
                <w:rFonts w:ascii="Calibri" w:hAnsi="Calibri"/>
                <w:sz w:val="19"/>
              </w:rPr>
              <w:t>Implementado</w:t>
            </w:r>
          </w:p>
        </w:tc>
        <w:tc>
          <w:tcPr>
            <w:tcW w:type="dxa" w:w="6236"/>
          </w:tcPr>
          <w:p>
            <w:r/>
            <w:r>
              <w:rPr>
                <w:rFonts w:ascii="Calibri" w:hAnsi="Calibri"/>
                <w:sz w:val="19"/>
              </w:rPr>
              <w:t>login/ + auth.routes.ts. Único flujo end-to-end funcional contra el backend.</w:t>
            </w:r>
          </w:p>
        </w:tc>
      </w:tr>
      <w:tr>
        <w:tc>
          <w:tcPr>
            <w:tcW w:type="dxa" w:w="2268"/>
          </w:tcPr>
          <w:p>
            <w:r/>
            <w:r>
              <w:rPr>
                <w:rFonts w:ascii="Calibri" w:hAnsi="Calibri"/>
                <w:sz w:val="19"/>
              </w:rPr>
              <w:t>clientes/</w:t>
            </w:r>
          </w:p>
        </w:tc>
        <w:tc>
          <w:tcPr>
            <w:tcW w:type="dxa" w:w="1701"/>
          </w:tcPr>
          <w:p>
            <w:r/>
            <w:r>
              <w:rPr>
                <w:rFonts w:ascii="Calibri" w:hAnsi="Calibri"/>
                <w:sz w:val="19"/>
              </w:rPr>
              <w:t>Implementado</w:t>
            </w:r>
          </w:p>
        </w:tc>
        <w:tc>
          <w:tcPr>
            <w:tcW w:type="dxa" w:w="6236"/>
          </w:tcPr>
          <w:p>
            <w:r/>
            <w:r>
              <w:rPr>
                <w:rFonts w:ascii="Calibri" w:hAnsi="Calibri"/>
                <w:sz w:val="19"/>
              </w:rPr>
              <w:t>CRUD completo con búsqueda paginada + Ficha del cliente (pestañas Anamnesis/RecetaCristales) en /clientes/:publicId — reemplaza a “Atención” del legacy.</w:t>
            </w:r>
          </w:p>
        </w:tc>
      </w:tr>
      <w:tr>
        <w:tc>
          <w:tcPr>
            <w:tcW w:type="dxa" w:w="2268"/>
          </w:tcPr>
          <w:p>
            <w:r/>
            <w:r>
              <w:rPr>
                <w:rFonts w:ascii="Calibri" w:hAnsi="Calibri"/>
                <w:sz w:val="19"/>
              </w:rPr>
              <w:t>ordenes-de-trabajo/</w:t>
            </w:r>
          </w:p>
        </w:tc>
        <w:tc>
          <w:tcPr>
            <w:tcW w:type="dxa" w:w="1701"/>
          </w:tcPr>
          <w:p>
            <w:r>
              <w:t>Implementado</w:t>
            </w:r>
          </w:p>
        </w:tc>
        <w:tc>
          <w:tcPr>
            <w:tcW w:type="dxa" w:w="6236"/>
          </w:tcPr>
          <w:p>
            <w:r>
              <w:t>Agregado Comercial: listado diferido, asistente de alta por pasos, ficha "Ver Orden", ticket imprimible y los componentes compartidos (estado-ot-chip, resumen-financiero, selector-orden, ticket-ot, orden-creada-dialog). Ver §6.</w:t>
            </w:r>
          </w:p>
        </w:tc>
      </w:tr>
      <w:tr>
        <w:tc>
          <w:tcPr>
            <w:tcW w:type="dxa" w:w="2268"/>
          </w:tcPr>
          <w:p>
            <w:r/>
            <w:r>
              <w:rPr>
                <w:rFonts w:ascii="Calibri" w:hAnsi="Calibri"/>
                <w:sz w:val="19"/>
              </w:rPr>
              <w:t>inventario/</w:t>
            </w:r>
          </w:p>
        </w:tc>
        <w:tc>
          <w:tcPr>
            <w:tcW w:type="dxa" w:w="1701"/>
          </w:tcPr>
          <w:p>
            <w:r>
              <w:t>Parcial</w:t>
            </w:r>
          </w:p>
        </w:tc>
        <w:tc>
          <w:tcPr>
            <w:tcW w:type="dxa" w:w="6236"/>
          </w:tcPr>
          <w:p>
            <w:r>
              <w:t>Solo el catálogo de productos (GET /api/productos), que alimenta el selector del detalle de una OT. El resto de InventarioController sigue stub en el backend.</w:t>
            </w:r>
          </w:p>
        </w:tc>
      </w:tr>
      <w:tr>
        <w:tc>
          <w:tcPr>
            <w:tcW w:type="dxa" w:w="2882"/>
          </w:tcPr>
          <w:p>
            <w:r>
              <w:t>sucursales/</w:t>
            </w:r>
          </w:p>
        </w:tc>
        <w:tc>
          <w:tcPr>
            <w:tcW w:type="dxa" w:w="2882"/>
          </w:tcPr>
          <w:p>
            <w:r>
              <w:t>Implementado</w:t>
            </w:r>
          </w:p>
        </w:tc>
        <w:tc>
          <w:tcPr>
            <w:tcW w:type="dxa" w:w="2882"/>
          </w:tcPr>
          <w:p>
            <w:r>
              <w:t>CRUD completo (lista + diálogo de alta/edición) — Id interno en rutas.</w:t>
            </w:r>
          </w:p>
        </w:tc>
      </w:tr>
      <w:tr>
        <w:tc>
          <w:tcPr>
            <w:tcW w:type="dxa" w:w="2882"/>
          </w:tcPr>
          <w:p>
            <w:r>
              <w:t>empresas/</w:t>
            </w:r>
          </w:p>
        </w:tc>
        <w:tc>
          <w:tcPr>
            <w:tcW w:type="dxa" w:w="2882"/>
          </w:tcPr>
          <w:p>
            <w:r>
              <w:t>Implementado</w:t>
            </w:r>
          </w:p>
        </w:tc>
        <w:tc>
          <w:tcPr>
            <w:tcW w:type="dxa" w:w="2882"/>
          </w:tcPr>
          <w:p>
            <w:r>
              <w:t>CRUD completo (lista + diálogo de alta/edición) — PublicId en rutas.</w:t>
            </w:r>
          </w:p>
        </w:tc>
      </w:tr>
      <w:tr>
        <w:tc>
          <w:tcPr>
            <w:tcW w:type="dxa" w:w="2882"/>
          </w:tcPr>
          <w:p>
            <w:r>
              <w:t>roles/</w:t>
            </w:r>
          </w:p>
        </w:tc>
        <w:tc>
          <w:tcPr>
            <w:tcW w:type="dxa" w:w="2882"/>
          </w:tcPr>
          <w:p>
            <w:r>
              <w:t>Implementado</w:t>
            </w:r>
          </w:p>
        </w:tc>
        <w:tc>
          <w:tcPr>
            <w:tcW w:type="dxa" w:w="2882"/>
          </w:tcPr>
          <w:p>
            <w:r>
              <w:t>Solo lectura — catálogo sembrado, sin diálogo de alta/edición.</w:t>
            </w:r>
          </w:p>
        </w:tc>
      </w:tr>
      <w:tr>
        <w:tc>
          <w:tcPr>
            <w:tcW w:type="dxa" w:w="2882"/>
          </w:tcPr>
          <w:p>
            <w:r>
              <w:t>usuarios/</w:t>
            </w:r>
          </w:p>
        </w:tc>
        <w:tc>
          <w:tcPr>
            <w:tcW w:type="dxa" w:w="2882"/>
          </w:tcPr>
          <w:p>
            <w:r>
              <w:t>Implementado</w:t>
            </w:r>
          </w:p>
        </w:tc>
        <w:tc>
          <w:tcPr>
            <w:tcW w:type="dxa" w:w="2882"/>
          </w:tcPr>
          <w:p>
            <w:r>
              <w:t>CRUD + diálogos de cambiar clave y asignar/quitar sucursal — PublicId en rutas.</w:t>
            </w:r>
          </w:p>
        </w:tc>
      </w:tr>
      <w:tr>
        <w:tc>
          <w:tcPr>
            <w:tcW w:type="dxa" w:w="2882"/>
          </w:tcPr>
          <w:p>
            <w:r>
              <w:t>anamnesis/</w:t>
            </w:r>
          </w:p>
        </w:tc>
        <w:tc>
          <w:tcPr>
            <w:tcW w:type="dxa" w:w="2882"/>
          </w:tcPr>
          <w:p>
            <w:r>
              <w:t>Implementado</w:t>
            </w:r>
          </w:p>
        </w:tc>
        <w:tc>
          <w:tcPr>
            <w:tcW w:type="dxa" w:w="2882"/>
          </w:tcPr>
          <w:p>
            <w:r>
              <w:t>Sin listado propio — se consume desde la pestaña Anamnesis de la Ficha del cliente.</w:t>
            </w:r>
          </w:p>
        </w:tc>
      </w:tr>
      <w:tr>
        <w:tc>
          <w:tcPr>
            <w:tcW w:type="dxa" w:w="2882"/>
          </w:tcPr>
          <w:p>
            <w:r>
              <w:t>receta-cristales/</w:t>
            </w:r>
          </w:p>
        </w:tc>
        <w:tc>
          <w:tcPr>
            <w:tcW w:type="dxa" w:w="2882"/>
          </w:tcPr>
          <w:p>
            <w:r>
              <w:t>Implementado</w:t>
            </w:r>
          </w:p>
        </w:tc>
        <w:tc>
          <w:tcPr>
            <w:tcW w:type="dxa" w:w="2882"/>
          </w:tcPr>
          <w:p>
            <w:r>
              <w:t>Sin listado propio — se consume desde la pestaña Receta de cristales de la Ficha del cliente.</w:t>
            </w:r>
          </w:p>
        </w:tc>
      </w:tr>
      <w:tr>
        <w:tc>
          <w:tcPr>
            <w:tcW w:type="dxa" w:w="2882"/>
          </w:tcPr>
          <w:p>
            <w:r>
              <w:t>regiones/</w:t>
            </w:r>
          </w:p>
        </w:tc>
        <w:tc>
          <w:tcPr>
            <w:tcW w:type="dxa" w:w="2882"/>
          </w:tcPr>
          <w:p>
            <w:r>
              <w:t>Implementado</w:t>
            </w:r>
          </w:p>
        </w:tc>
        <w:tc>
          <w:tcPr>
            <w:tcW w:type="dxa" w:w="2882"/>
          </w:tcPr>
          <w:p>
            <w:r>
              <w:t>Solo lectura — catálogo consumido por el selector de Comuna del ClienteForm.</w:t>
            </w:r>
          </w:p>
        </w:tc>
      </w:tr>
      <w:tr>
        <w:tc>
          <w:tcPr>
            <w:tcW w:type="dxa" w:w="2882"/>
          </w:tcPr>
          <w:p>
            <w:r>
              <w:t>comunas/</w:t>
            </w:r>
          </w:p>
        </w:tc>
        <w:tc>
          <w:tcPr>
            <w:tcW w:type="dxa" w:w="2882"/>
          </w:tcPr>
          <w:p>
            <w:r>
              <w:t>Implementado</w:t>
            </w:r>
          </w:p>
        </w:tc>
        <w:tc>
          <w:tcPr>
            <w:tcW w:type="dxa" w:w="2882"/>
          </w:tcPr>
          <w:p>
            <w:r>
              <w:t>Solo lectura, filtrado por región — mismo consumidor que regiones/.</w:t>
            </w:r>
          </w:p>
        </w:tc>
      </w:tr>
      <w:tr>
        <w:tc>
          <w:tcPr>
            <w:tcW w:type="dxa" w:w="2882"/>
          </w:tcPr>
          <w:p>
            <w:r>
              <w:t>abonos/ pagos/ cuotas/</w:t>
            </w:r>
          </w:p>
        </w:tc>
        <w:tc>
          <w:tcPr>
            <w:tcW w:type="dxa" w:w="2882"/>
          </w:tcPr>
          <w:p>
            <w:r>
              <w:t>Implementado</w:t>
            </w:r>
          </w:p>
        </w:tc>
        <w:tc>
          <w:tcPr>
            <w:tcW w:type="dxa" w:w="2882"/>
          </w:tcPr>
          <w:p>
            <w:r>
              <w:t>Pantallas propias sobre subrecursos de la OT (en la API no existen /api/pagos ni /api/cuotas). Importan modelos y servicios de ordenes-de-trabajo/.</w:t>
            </w:r>
          </w:p>
        </w:tc>
      </w:tr>
      <w:tr>
        <w:tc>
          <w:tcPr>
            <w:tcW w:type="dxa" w:w="2882"/>
          </w:tcPr>
          <w:p>
            <w:r>
              <w:t>cobranza/</w:t>
            </w:r>
          </w:p>
        </w:tc>
        <w:tc>
          <w:tcPr>
            <w:tcW w:type="dxa" w:w="2882"/>
          </w:tcPr>
          <w:p>
            <w:r>
              <w:t>Implementado</w:t>
            </w:r>
          </w:p>
        </w:tc>
        <w:tc>
          <w:tcPr>
            <w:tcW w:type="dxa" w:w="2882"/>
          </w:tcPr>
          <w:p>
            <w:r>
              <w:t>Deudores agrupados por empresa convenio (GET /api/cobranza/deudores); enlaza al listado de OT filtrado.</w:t>
            </w:r>
          </w:p>
        </w:tc>
      </w:tr>
    </w:tbl>
    <w:p/>
    <w:p>
      <w:pPr>
        <w:pStyle w:val="Heading2"/>
      </w:pPr>
      <w:r>
        <w:t>3.6 environments/</w:t>
      </w:r>
    </w:p>
    <w:p>
      <w:r>
        <w:rPr>
          <w:rFonts w:ascii="Calibri" w:hAnsi="Calibri"/>
          <w:b w:val="0"/>
          <w:i w:val="0"/>
        </w:rPr>
        <w:t>environment.ts (producción) y environment.development.ts exponen apiUrl. angular.json aplica el reemplazo correcto vía fileReplacements según la configuración de build (production/development). En desarrollo, apiUrl apunta al puerto fijo de launchSettings.json de OPT.API: https://localhost:63595/api — ajustar si tu launchSettings.json local usa un puerto distinto.</w:t>
      </w:r>
    </w:p>
    <w:p>
      <w:pPr/>
      <w:r>
        <w:t>Selector de sucursal en el menú (2026-09-15). Shell (layout/shell/) agrega, junto al menú de navegación, un selector de sucursal (mat-menu, ícono storefront) construido en el cliente: en el constructor pide Sucursales.listar() y lo filtra contra auth.usuarioActual()?.sucursalesAsignadas — deliberadamente sin un endpoint «mis sucursales» nuevo, porque el catálogo por usuario es chico. Con una sola sucursal asignada se muestra de solo lectura (.sucursal-unica, sin flecha de menú: no hay nada entre qué elegir); con más de una, el botón abre el menú y cada ítem llama a Auth.cambiarSucursal(id). En pantallas angostas colapsa a un icon-button con tooltip, igual que el resto de la barra. Ver 4.2 para el detalle de por qué el cambio no reemite el JWT.</w:t>
      </w:r>
    </w:p>
    <w:p>
      <w:pPr>
        <w:pStyle w:val="Heading1"/>
      </w:pPr>
      <w:r>
        <w:t>4. Módulo Auth — Autenticación (implementado)</w:t>
      </w:r>
    </w:p>
    <w:p>
      <w:pPr>
        <w:pStyle w:val="Heading2"/>
      </w:pPr>
      <w:r>
        <w:t>4.1 Contrato con el backend</w:t>
      </w:r>
    </w:p>
    <w:p>
      <w:r>
        <w:rPr>
          <w:rFonts w:ascii="Calibri" w:hAnsi="Calibri"/>
          <w:b w:val="0"/>
          <w:i w:val="0"/>
        </w:rPr>
        <w:t>Login por RUT + clave (convención de negocio heredada del legacy, preservada intencionalmente).</w:t>
      </w:r>
    </w:p>
    <w:tbl>
      <w:tblPr>
        <w:tblStyle w:val="TableGrid"/>
        <w:tblW w:type="auto" w:w="0"/>
        <w:tblLook w:firstColumn="1" w:firstRow="1" w:lastColumn="0" w:lastRow="0" w:noHBand="0" w:noVBand="1" w:val="04A0"/>
      </w:tblPr>
      <w:tblGrid>
        <w:gridCol w:w="4323"/>
        <w:gridCol w:w="4323"/>
      </w:tblGrid>
      <w:tr>
        <w:tc>
          <w:tcPr>
            <w:tcW w:type="dxa" w:w="3402"/>
            <w:shd w:val="clear" w:fill="1F3A5F"/>
          </w:tcPr>
          <w:p>
            <w:r/>
            <w:r>
              <w:rPr>
                <w:rFonts w:ascii="Calibri" w:hAnsi="Calibri"/>
                <w:b/>
                <w:color w:val="FFFFFF"/>
                <w:sz w:val="19"/>
              </w:rPr>
              <w:t>Elemento</w:t>
            </w:r>
          </w:p>
        </w:tc>
        <w:tc>
          <w:tcPr>
            <w:tcW w:type="dxa" w:w="6803"/>
            <w:shd w:val="clear" w:fill="1F3A5F"/>
          </w:tcPr>
          <w:p>
            <w:r/>
            <w:r>
              <w:rPr>
                <w:rFonts w:ascii="Calibri" w:hAnsi="Calibri"/>
                <w:b/>
                <w:color w:val="FFFFFF"/>
                <w:sz w:val="19"/>
              </w:rPr>
              <w:t>Detalle</w:t>
            </w:r>
          </w:p>
        </w:tc>
      </w:tr>
      <w:tr>
        <w:tc>
          <w:tcPr>
            <w:tcW w:type="dxa" w:w="3402"/>
          </w:tcPr>
          <w:p>
            <w:r/>
            <w:r>
              <w:rPr>
                <w:rFonts w:ascii="Calibri" w:hAnsi="Calibri"/>
                <w:sz w:val="19"/>
              </w:rPr>
              <w:t>Endpoint</w:t>
            </w:r>
          </w:p>
        </w:tc>
        <w:tc>
          <w:tcPr>
            <w:tcW w:type="dxa" w:w="6803"/>
          </w:tcPr>
          <w:p>
            <w:r/>
            <w:r>
              <w:rPr>
                <w:rFonts w:ascii="Calibri" w:hAnsi="Calibri"/>
                <w:sz w:val="19"/>
              </w:rPr>
              <w:t>POST /api/auth/login</w:t>
            </w:r>
          </w:p>
        </w:tc>
      </w:tr>
      <w:tr>
        <w:tc>
          <w:tcPr>
            <w:tcW w:type="dxa" w:w="3402"/>
          </w:tcPr>
          <w:p>
            <w:r/>
            <w:r>
              <w:rPr>
                <w:rFonts w:ascii="Calibri" w:hAnsi="Calibri"/>
                <w:sz w:val="19"/>
              </w:rPr>
              <w:t>Request (LoginRequest)</w:t>
            </w:r>
          </w:p>
        </w:tc>
        <w:tc>
          <w:tcPr>
            <w:tcW w:type="dxa" w:w="6803"/>
          </w:tcPr>
          <w:p>
            <w:r/>
            <w:r>
              <w:rPr>
                <w:rFonts w:ascii="Calibri" w:hAnsi="Calibri"/>
                <w:sz w:val="19"/>
              </w:rPr>
              <w:t>{ rut: string, clave: string }</w:t>
            </w:r>
          </w:p>
        </w:tc>
      </w:tr>
      <w:tr>
        <w:tc>
          <w:tcPr>
            <w:tcW w:type="dxa" w:w="3402"/>
          </w:tcPr>
          <w:p>
            <w:r/>
            <w:r>
              <w:rPr>
                <w:rFonts w:ascii="Calibri" w:hAnsi="Calibri"/>
                <w:sz w:val="19"/>
              </w:rPr>
              <w:t>Response (LoginResponse)</w:t>
            </w:r>
          </w:p>
        </w:tc>
        <w:tc>
          <w:tcPr>
            <w:tcW w:type="dxa" w:w="6803"/>
          </w:tcPr>
          <w:p>
            <w:r/>
            <w:r>
              <w:rPr>
                <w:rFonts w:ascii="Calibri" w:hAnsi="Calibri"/>
                <w:sz w:val="19"/>
              </w:rPr>
              <w:t>{ token: string, usuarioId: number, nombreCompleto: string, sucursalActivaId: number }</w:t>
            </w:r>
          </w:p>
        </w:tc>
      </w:tr>
      <w:tr>
        <w:tc>
          <w:tcPr>
            <w:tcW w:type="dxa" w:w="3402"/>
          </w:tcPr>
          <w:p>
            <w:r/>
            <w:r>
              <w:rPr>
                <w:rFonts w:ascii="Calibri" w:hAnsi="Calibri"/>
                <w:sz w:val="19"/>
              </w:rPr>
              <w:t>Claims del JWT</w:t>
            </w:r>
          </w:p>
        </w:tc>
        <w:tc>
          <w:tcPr>
            <w:tcW w:type="dxa" w:w="6803"/>
          </w:tcPr>
          <w:p>
            <w:r/>
            <w:r>
              <w:rPr>
                <w:rFonts w:ascii="Calibri" w:hAnsi="Calibri"/>
                <w:sz w:val="19"/>
              </w:rPr>
              <w:t>sub, rut, nombre, rolId, sucursalId, exp, jti</w:t>
            </w:r>
          </w:p>
        </w:tc>
      </w:tr>
    </w:tbl>
    <w:p/>
    <w:p>
      <w:pPr>
        <w:pStyle w:val="Heading2"/>
      </w:pPr>
      <w:r>
        <w:t>4.2 Gestión de sesión</w:t>
      </w:r>
    </w:p>
    <w:p>
      <w:r>
        <w:rPr>
          <w:rFonts w:ascii="Calibri" w:hAnsi="Calibri"/>
          <w:b w:val="0"/>
          <w:i w:val="0"/>
        </w:rPr>
        <w:t>Auth (core/services/auth.ts) es la única fuente de verdad de la sesión en memoria. Al hacer login, guarda el token en TokenStorage y reconstruye UsuarioActual decodificando los claims del propio JWT — no existe todavía un endpoint /me. Al recargar la página, restaurarSesion() repite el mismo proceso a partir del token guardado en sessionStorage, validando además que no esté expirado.</w:t>
      </w:r>
    </w:p>
    <w:p>
      <w:pPr/>
      <w:r>
        <w:t>Sucursal actual de la sesión (2026-09-15). Auth también mantiene sucursalActualId (signal), equivalente al selector del legacy: al hacer login se fija a UsuarioActual.sucursalActivaId (la primera sucursal asignada, regla ya existente) y queda respaldada en sessionStorage (clave opt.sucursalActual) para sobrevivir a un refresh, igual que el propio token. cambiarSucursal(sucursalId) solo acepta un id presente en sucursalesAsignadas — cualquier otro valor se ignora en silencio, porque el selector del menú nunca debería ofrecer uno que no corresponda. El cambio es puramente de sesión en el frontend: no vuelve a pedir nada al backend ni reemite el JWT, porque OPT.API ya autoriza cualquier operación contra cualquiera de las sucursales asignadas al usuario (AutorizacionSucursal.ValidarAcceso, no solo la sucursalId activa del token — ver Manual_Tecnico_Backend_OPT.docx §8.3). JwtClaims ganó el campo sucursales (CSV de UsuarioSucursal) y UsuarioActual ganó sucursalesAsignadas (number[]), ambos poblados al decodificar el JWT.</w:t>
      </w:r>
    </w:p>
    <w:p>
      <w:pPr>
        <w:pStyle w:val="Heading2"/>
      </w:pPr>
      <w:r>
        <w:t>4.3 Guard e interceptores</w:t>
      </w:r>
    </w:p>
    <w:p>
      <w:pPr>
        <w:pStyle w:val="ListBullet"/>
      </w:pPr>
      <w:r>
        <w:rPr>
          <w:rFonts w:ascii="Calibri" w:hAnsi="Calibri"/>
        </w:rPr>
        <w:t>authGuard: bloquea rutas bajo el Shell si no hay sesión; agrega returnUrl como query param.</w:t>
      </w:r>
    </w:p>
    <w:p>
      <w:pPr>
        <w:pStyle w:val="ListBullet"/>
      </w:pPr>
      <w:r>
        <w:rPr>
          <w:rFonts w:ascii="Calibri" w:hAnsi="Calibri"/>
        </w:rPr>
        <w:t>authInterceptor: agrega el Bearer token a toda request saliente.</w:t>
      </w:r>
    </w:p>
    <w:p>
      <w:pPr>
        <w:pStyle w:val="ListBullet"/>
      </w:pPr>
      <w:r>
        <w:rPr>
          <w:rFonts w:ascii="Calibri" w:hAnsi="Calibri"/>
        </w:rPr>
        <w:t>errorInterceptor: en 401 cierra sesión y redirige a /login; en cualquier otro error muestra un Toast con el title del ProblemDetails.</w:t>
      </w:r>
    </w:p>
    <w:p>
      <w:pPr>
        <w:pStyle w:val="Heading1"/>
      </w:pPr>
      <w:r>
        <w:t>5. Módulo Clínico — Clientes, Anamnesis y RecetaCristales (implementado)</w:t>
      </w:r>
    </w:p>
    <w:p>
      <w:r>
        <w:rPr>
          <w:rFonts w:ascii="Calibri" w:hAnsi="Calibri"/>
          <w:b w:val="0"/>
          <w:i w:val="0"/>
        </w:rPr>
        <w:t>Sesión 2026-08-26. Consume el CRUD/API de backend ya implementado el mismo día (ClientesController, AnamnesisController, RecetaCristalesController — ver Manual_Tecnico_Backend_OPT.docx secciones 4.3 y 6.2). OPT_Atencion del legacy no tiene tabla equivalente en el esquema nuevo: Anamnesis y RecetaCristales son recursos independientes vinculados directo a Cliente por clientePublicId, cada uno con su propio historial (ver 5.4). “Atender a un cliente” en el frontend es navegar a su ficha y agregar una Anamnesis y/o una RecetaCristales ahí — no existe un formulario “Atención”.</w:t>
      </w:r>
    </w:p>
    <w:p>
      <w:pPr>
        <w:pStyle w:val="Heading2"/>
      </w:pPr>
      <w:r>
        <w:t>5.1 Cliente — Modelo</w:t>
      </w:r>
    </w:p>
    <w:tbl>
      <w:tblPr>
        <w:tblStyle w:val="TableGrid"/>
        <w:tblW w:type="auto" w:w="0"/>
        <w:tblLook w:firstColumn="1" w:firstRow="1" w:lastColumn="0" w:lastRow="0" w:noHBand="0" w:noVBand="1" w:val="04A0"/>
      </w:tblPr>
      <w:tblGrid>
        <w:gridCol w:w="2882"/>
        <w:gridCol w:w="2882"/>
        <w:gridCol w:w="2882"/>
      </w:tblGrid>
      <w:tr>
        <w:tc>
          <w:tcPr>
            <w:tcW w:type="dxa" w:w="2835"/>
            <w:shd w:val="clear" w:fill="1F3A5F"/>
          </w:tcPr>
          <w:p>
            <w:r/>
            <w:r>
              <w:rPr>
                <w:rFonts w:ascii="Calibri" w:hAnsi="Calibri"/>
                <w:b/>
                <w:color w:val="FFFFFF"/>
                <w:sz w:val="19"/>
              </w:rPr>
              <w:t>Campo</w:t>
            </w:r>
          </w:p>
        </w:tc>
        <w:tc>
          <w:tcPr>
            <w:tcW w:type="dxa" w:w="2835"/>
            <w:shd w:val="clear" w:fill="1F3A5F"/>
          </w:tcPr>
          <w:p>
            <w:r/>
            <w:r>
              <w:rPr>
                <w:rFonts w:ascii="Calibri" w:hAnsi="Calibri"/>
                <w:b/>
                <w:color w:val="FFFFFF"/>
                <w:sz w:val="19"/>
              </w:rPr>
              <w:t>Tipo</w:t>
            </w:r>
          </w:p>
        </w:tc>
        <w:tc>
          <w:tcPr>
            <w:tcW w:type="dxa" w:w="4535"/>
            <w:shd w:val="clear" w:fill="1F3A5F"/>
          </w:tcPr>
          <w:p>
            <w:r/>
            <w:r>
              <w:rPr>
                <w:rFonts w:ascii="Calibri" w:hAnsi="Calibri"/>
                <w:b/>
                <w:color w:val="FFFFFF"/>
                <w:sz w:val="19"/>
              </w:rPr>
              <w:t>Origen</w:t>
            </w:r>
          </w:p>
        </w:tc>
      </w:tr>
      <w:tr>
        <w:tc>
          <w:tcPr>
            <w:tcW w:type="dxa" w:w="2835"/>
          </w:tcPr>
          <w:p>
            <w:r/>
            <w:r>
              <w:rPr>
                <w:rFonts w:ascii="Calibri" w:hAnsi="Calibri"/>
                <w:sz w:val="19"/>
              </w:rPr>
              <w:t>publicId</w:t>
            </w:r>
          </w:p>
        </w:tc>
        <w:tc>
          <w:tcPr>
            <w:tcW w:type="dxa" w:w="2835"/>
          </w:tcPr>
          <w:p>
            <w:r/>
            <w:r>
              <w:rPr>
                <w:rFonts w:ascii="Calibri" w:hAnsi="Calibri"/>
                <w:sz w:val="19"/>
              </w:rPr>
              <w:t>string (Guid)</w:t>
            </w:r>
          </w:p>
        </w:tc>
        <w:tc>
          <w:tcPr>
            <w:tcW w:type="dxa" w:w="4535"/>
          </w:tcPr>
          <w:p>
            <w:r/>
            <w:r>
              <w:rPr>
                <w:rFonts w:ascii="Calibri" w:hAnsi="Calibri"/>
                <w:sz w:val="19"/>
              </w:rPr>
              <w:t>Identificador de exposición — ADR 0004. Nunca el Id interno.</w:t>
            </w:r>
          </w:p>
        </w:tc>
      </w:tr>
      <w:tr>
        <w:tc>
          <w:tcPr>
            <w:tcW w:type="dxa" w:w="2835"/>
          </w:tcPr>
          <w:p>
            <w:r/>
            <w:r>
              <w:rPr>
                <w:rFonts w:ascii="Calibri" w:hAnsi="Calibri"/>
                <w:sz w:val="19"/>
              </w:rPr>
              <w:t>rut</w:t>
            </w:r>
          </w:p>
        </w:tc>
        <w:tc>
          <w:tcPr>
            <w:tcW w:type="dxa" w:w="2835"/>
          </w:tcPr>
          <w:p>
            <w:r/>
            <w:r>
              <w:rPr>
                <w:rFonts w:ascii="Calibri" w:hAnsi="Calibri"/>
                <w:sz w:val="19"/>
              </w:rPr>
              <w:t>string</w:t>
            </w:r>
          </w:p>
        </w:tc>
        <w:tc>
          <w:tcPr>
            <w:tcW w:type="dxa" w:w="4535"/>
          </w:tcPr>
          <w:p>
            <w:r/>
            <w:r>
              <w:rPr>
                <w:rFonts w:ascii="Calibri" w:hAnsi="Calibri"/>
                <w:sz w:val="19"/>
              </w:rPr>
              <w:t>Cliente.Rut</w:t>
            </w:r>
          </w:p>
        </w:tc>
      </w:tr>
      <w:tr>
        <w:tc>
          <w:tcPr>
            <w:tcW w:type="dxa" w:w="2835"/>
          </w:tcPr>
          <w:p>
            <w:r/>
            <w:r>
              <w:rPr>
                <w:rFonts w:ascii="Calibri" w:hAnsi="Calibri"/>
                <w:sz w:val="19"/>
              </w:rPr>
              <w:t>nombre / apellido</w:t>
            </w:r>
          </w:p>
        </w:tc>
        <w:tc>
          <w:tcPr>
            <w:tcW w:type="dxa" w:w="2835"/>
          </w:tcPr>
          <w:p>
            <w:r/>
            <w:r>
              <w:rPr>
                <w:rFonts w:ascii="Calibri" w:hAnsi="Calibri"/>
                <w:sz w:val="19"/>
              </w:rPr>
              <w:t>string</w:t>
            </w:r>
          </w:p>
        </w:tc>
        <w:tc>
          <w:tcPr>
            <w:tcW w:type="dxa" w:w="4535"/>
          </w:tcPr>
          <w:p>
            <w:r/>
            <w:r>
              <w:rPr>
                <w:rFonts w:ascii="Calibri" w:hAnsi="Calibri"/>
                <w:sz w:val="19"/>
              </w:rPr>
              <w:t>Cliente.Nombre / Cliente.Apellido</w:t>
            </w:r>
          </w:p>
        </w:tc>
      </w:tr>
      <w:tr>
        <w:tc>
          <w:tcPr>
            <w:tcW w:type="dxa" w:w="2835"/>
          </w:tcPr>
          <w:p>
            <w:r/>
            <w:r>
              <w:rPr>
                <w:rFonts w:ascii="Calibri" w:hAnsi="Calibri"/>
                <w:sz w:val="19"/>
              </w:rPr>
              <w:t>email / telefono / direccion</w:t>
            </w:r>
          </w:p>
        </w:tc>
        <w:tc>
          <w:tcPr>
            <w:tcW w:type="dxa" w:w="2835"/>
          </w:tcPr>
          <w:p>
            <w:r/>
            <w:r>
              <w:rPr>
                <w:rFonts w:ascii="Calibri" w:hAnsi="Calibri"/>
                <w:sz w:val="19"/>
              </w:rPr>
              <w:t>string | null</w:t>
            </w:r>
          </w:p>
        </w:tc>
        <w:tc>
          <w:tcPr>
            <w:tcW w:type="dxa" w:w="4535"/>
          </w:tcPr>
          <w:p>
            <w:r/>
            <w:r>
              <w:rPr>
                <w:rFonts w:ascii="Calibri" w:hAnsi="Calibri"/>
                <w:sz w:val="19"/>
              </w:rPr>
              <w:t>Campos opcionales del dominio</w:t>
            </w:r>
          </w:p>
        </w:tc>
      </w:tr>
      <w:tr>
        <w:tc>
          <w:tcPr>
            <w:tcW w:type="dxa" w:w="2835"/>
          </w:tcPr>
          <w:p>
            <w:r/>
            <w:r>
              <w:rPr>
                <w:rFonts w:ascii="Calibri" w:hAnsi="Calibri"/>
                <w:sz w:val="19"/>
              </w:rPr>
              <w:t>comunaId</w:t>
            </w:r>
          </w:p>
        </w:tc>
        <w:tc>
          <w:tcPr>
            <w:tcW w:type="dxa" w:w="2835"/>
          </w:tcPr>
          <w:p>
            <w:r/>
            <w:r>
              <w:rPr>
                <w:rFonts w:ascii="Calibri" w:hAnsi="Calibri"/>
                <w:sz w:val="19"/>
              </w:rPr>
              <w:t>number | null</w:t>
            </w:r>
          </w:p>
        </w:tc>
        <w:tc>
          <w:tcPr>
            <w:tcW w:type="dxa" w:w="4535"/>
          </w:tcPr>
          <w:p>
            <w:r/>
            <w:r>
              <w:rPr>
                <w:rFonts w:ascii="Calibri" w:hAnsi="Calibri"/>
                <w:sz w:val="19"/>
              </w:rPr>
              <w:t>Cliente.ComunaId</w:t>
            </w:r>
          </w:p>
        </w:tc>
      </w:tr>
      <w:tr>
        <w:tc>
          <w:tcPr>
            <w:tcW w:type="dxa" w:w="2835"/>
          </w:tcPr>
          <w:p>
            <w:r/>
            <w:r>
              <w:rPr>
                <w:rFonts w:ascii="Calibri" w:hAnsi="Calibri"/>
                <w:sz w:val="19"/>
              </w:rPr>
              <w:t>fechaNacimiento</w:t>
            </w:r>
          </w:p>
        </w:tc>
        <w:tc>
          <w:tcPr>
            <w:tcW w:type="dxa" w:w="2835"/>
          </w:tcPr>
          <w:p>
            <w:r/>
            <w:r>
              <w:rPr>
                <w:rFonts w:ascii="Calibri" w:hAnsi="Calibri"/>
                <w:sz w:val="19"/>
              </w:rPr>
              <w:t>string (date) | null</w:t>
            </w:r>
          </w:p>
        </w:tc>
        <w:tc>
          <w:tcPr>
            <w:tcW w:type="dxa" w:w="4535"/>
          </w:tcPr>
          <w:p>
            <w:r/>
            <w:r>
              <w:rPr>
                <w:rFonts w:ascii="Calibri" w:hAnsi="Calibri"/>
                <w:sz w:val="19"/>
              </w:rPr>
              <w:t>Cliente.FechaNacimiento — 003_extras_cliente_receta.sql</w:t>
            </w:r>
          </w:p>
        </w:tc>
      </w:tr>
      <w:tr>
        <w:tc>
          <w:tcPr>
            <w:tcW w:type="dxa" w:w="2835"/>
          </w:tcPr>
          <w:p>
            <w:r/>
            <w:r>
              <w:rPr>
                <w:rFonts w:ascii="Calibri" w:hAnsi="Calibri"/>
                <w:sz w:val="19"/>
              </w:rPr>
              <w:t>tipoPrevision</w:t>
            </w:r>
          </w:p>
        </w:tc>
        <w:tc>
          <w:tcPr>
            <w:tcW w:type="dxa" w:w="2835"/>
          </w:tcPr>
          <w:p>
            <w:r/>
            <w:r>
              <w:rPr>
                <w:rFonts w:ascii="Calibri" w:hAnsi="Calibri"/>
                <w:sz w:val="19"/>
              </w:rPr>
              <w:t>string | null</w:t>
            </w:r>
          </w:p>
        </w:tc>
        <w:tc>
          <w:tcPr>
            <w:tcW w:type="dxa" w:w="4535"/>
          </w:tcPr>
          <w:p>
            <w:r/>
            <w:r>
              <w:rPr>
                <w:rFonts w:ascii="Calibri" w:hAnsi="Calibri"/>
                <w:sz w:val="19"/>
              </w:rPr>
              <w:t>Cliente.TipoPrevision — combo FONASA/ISAPRE en el diálogo, igual que el legacy</w:t>
            </w:r>
          </w:p>
        </w:tc>
      </w:tr>
    </w:tbl>
    <w:p/>
    <w:p>
      <w:pPr>
        <w:pStyle w:val="Heading2"/>
      </w:pPr>
      <w:r>
        <w:t>5.2 Cliente — Servicio y listado paginado</w:t>
      </w:r>
    </w:p>
    <w:p>
      <w:r>
        <w:rPr>
          <w:rFonts w:ascii="Calibri" w:hAnsi="Calibri"/>
          <w:b w:val="0"/>
          <w:i w:val="0"/>
        </w:rPr>
        <w:t>Clientes (features/clientes/services/clientes.ts) expone buscar(filtro, pagina, tamanioPagina) contra GET /api/clientes (paginado, con filtro opcional por rut/nombre — Cliente tiene ~12.000 filas, no se expone un listado completo), obtener(publicId), crear(), actualizar(publicId, datos) (sin rut, inmutable tras la creación) y eliminar(publicId).</w:t>
      </w:r>
    </w:p>
    <w:p>
      <w:pPr>
        <w:pStyle w:val="Heading2"/>
      </w:pPr>
      <w:r>
        <w:t>5.3 Cliente — Página de listado y diálogo de alta/edición</w:t>
      </w:r>
    </w:p>
    <w:p>
      <w:r>
        <w:rPr>
          <w:rFonts w:ascii="Calibri" w:hAnsi="Calibri"/>
          <w:b w:val="0"/>
          <w:i w:val="0"/>
        </w:rPr>
        <w:t>ClientesList (features/clientes/pages/clientes-list/) agrega un formulario de filtro (rut/nombre) y un MatPaginator al patrón de listado simple, siguiendo la paginación real del backend. Alta y edición son el diálogo ClienteForm (mismo patrón lista + diálogo de la sección 7.1): el RUT solo es editable al crear, incluye datepicker de fecha de nacimiento (MAT_DATE_LOCALE 'es-CL') y un selector cascada Región→Comuna, porque ComunasController solo expone ObtenerPorRegion (igual que el legacy OPT_ComunaDAL.Lista) — ver 5.7.</w:t>
      </w:r>
    </w:p>
    <w:p>
      <w:pPr>
        <w:pStyle w:val="Heading2"/>
      </w:pPr>
      <w:r>
        <w:t>5.4 Ficha del cliente</w:t>
      </w:r>
    </w:p>
    <w:p>
      <w:r>
        <w:rPr>
          <w:rFonts w:ascii="Calibri" w:hAnsi="Calibri"/>
          <w:b w:val="0"/>
          <w:i w:val="0"/>
        </w:rPr>
        <w:t>ClienteFicha (features/clientes/pages/cliente-ficha/) es una página ruteada en /clientes/:publicId — la única excepción al patrón “lista + diálogo” de la sección 7.1, porque su contenido (datos + 2 historiales independientes) no cabe en un diálogo chico. Reemplaza a la pantalla “Atención” del legacy: como no existe una entidad Atencion en el backend, la ficha organiza 3 pestañas (MatTabsModule) — Datos (el botón Editar reabre el mismo ClienteForm de 5.3), Anamnesis y Receta de cristales. Estas dos últimas llevan la clase .opt-badge-clinico (dato de salud, Ley 21.719) y cada una tiene su propio botón “Nueva…”, tarjetas de historial y acciones editar/eliminar (con ConfirmDialog para eliminar).</w:t>
      </w:r>
    </w:p>
    <w:p/>
    <w:p>
      <w:pPr>
        <w:pStyle w:val="Heading2"/>
      </w:pPr>
      <w:r>
        <w:t>5.5 Anamnesis</w:t>
      </w:r>
    </w:p>
    <w:p>
      <w:r>
        <w:rPr>
          <w:rFonts w:ascii="Calibri" w:hAnsi="Calibri"/>
          <w:b w:val="0"/>
          <w:i w:val="0"/>
        </w:rPr>
        <w:t>features/anamnesis/ sigue el mismo layout que Clientes (models/, services/, pages/anamnesis-form/), pero sin página de listado propia — su único punto de entrada es la pestaña Anamnesis de la Ficha del cliente (5.4).</w:t>
      </w:r>
    </w:p>
    <w:p>
      <w:pPr>
        <w:pStyle w:val="ListBullet"/>
      </w:pPr>
      <w:r>
        <w:rPr>
          <w:rFonts w:ascii="Calibri" w:hAnsi="Calibri"/>
        </w:rPr>
        <w:t>El servicio (services/anamnesis.ts) expone obtenerPorCliente(clientePublicId), crear(clientePublicId, datos), actualizar(publicId, datos) y eliminar(publicId).</w:t>
      </w:r>
    </w:p>
    <w:p>
      <w:pPr>
        <w:pStyle w:val="ListBullet"/>
      </w:pPr>
      <w:r>
        <w:rPr>
          <w:rFonts w:ascii="Calibri" w:hAnsi="Calibri"/>
        </w:rPr>
        <w:t>La clase del servicio se llama Anamnesis, igual que el modelo — mismo problema de nombre que OPT.Application.Features.Anamnesis en el backend (ver CLAUDE.md raíz), resuelto igual: alias de tipo al importar el modelo (import { Anamnesis as AnamnesisModel } from '...model') en cualquier archivo que necesite ambos símbolos (ver 11. Gotchas Conocidos).</w:t>
      </w:r>
    </w:p>
    <w:p>
      <w:pPr>
        <w:pStyle w:val="ListBullet"/>
      </w:pPr>
      <w:r>
        <w:rPr>
          <w:rFonts w:ascii="Calibri" w:hAnsi="Calibri"/>
        </w:rPr>
        <w:t>El formulario (AnamnesisForm) usa checkboxes para Hipertension/Diabetes/Alergias/UsaLentesPrevio; DetalleAlergias solo se muestra si Alergias está marcado.</w:t>
      </w:r>
    </w:p>
    <w:tbl>
      <w:tblPr>
        <w:tblStyle w:val="TableGrid"/>
        <w:tblW w:type="auto" w:w="0"/>
        <w:tblLook w:firstColumn="1" w:firstRow="1" w:lastColumn="0" w:lastRow="0" w:noHBand="0" w:noVBand="1" w:val="04A0"/>
      </w:tblPr>
      <w:tblGrid>
        <w:gridCol w:w="2882"/>
        <w:gridCol w:w="2882"/>
        <w:gridCol w:w="2882"/>
      </w:tblGrid>
      <w:tr>
        <w:tc>
          <w:tcPr>
            <w:tcW w:type="dxa" w:w="2835"/>
            <w:shd w:val="clear" w:fill="1F3A5F"/>
          </w:tcPr>
          <w:p>
            <w:r/>
            <w:r>
              <w:rPr>
                <w:rFonts w:ascii="Calibri" w:hAnsi="Calibri"/>
                <w:b/>
                <w:color w:val="FFFFFF"/>
                <w:sz w:val="19"/>
              </w:rPr>
              <w:t>Campo</w:t>
            </w:r>
          </w:p>
        </w:tc>
        <w:tc>
          <w:tcPr>
            <w:tcW w:type="dxa" w:w="2835"/>
            <w:shd w:val="clear" w:fill="1F3A5F"/>
          </w:tcPr>
          <w:p>
            <w:r/>
            <w:r>
              <w:rPr>
                <w:rFonts w:ascii="Calibri" w:hAnsi="Calibri"/>
                <w:b/>
                <w:color w:val="FFFFFF"/>
                <w:sz w:val="19"/>
              </w:rPr>
              <w:t>Tipo</w:t>
            </w:r>
          </w:p>
        </w:tc>
        <w:tc>
          <w:tcPr>
            <w:tcW w:type="dxa" w:w="4535"/>
            <w:shd w:val="clear" w:fill="1F3A5F"/>
          </w:tcPr>
          <w:p>
            <w:r/>
            <w:r>
              <w:rPr>
                <w:rFonts w:ascii="Calibri" w:hAnsi="Calibri"/>
                <w:b/>
                <w:color w:val="FFFFFF"/>
                <w:sz w:val="19"/>
              </w:rPr>
              <w:t>Origen</w:t>
            </w:r>
          </w:p>
        </w:tc>
      </w:tr>
      <w:tr>
        <w:tc>
          <w:tcPr>
            <w:tcW w:type="dxa" w:w="2835"/>
          </w:tcPr>
          <w:p>
            <w:r/>
            <w:r>
              <w:rPr>
                <w:rFonts w:ascii="Calibri" w:hAnsi="Calibri"/>
                <w:sz w:val="19"/>
              </w:rPr>
              <w:t>clientePublicId</w:t>
            </w:r>
          </w:p>
        </w:tc>
        <w:tc>
          <w:tcPr>
            <w:tcW w:type="dxa" w:w="2835"/>
          </w:tcPr>
          <w:p>
            <w:r/>
            <w:r>
              <w:rPr>
                <w:rFonts w:ascii="Calibri" w:hAnsi="Calibri"/>
                <w:sz w:val="19"/>
              </w:rPr>
              <w:t>string (Guid)</w:t>
            </w:r>
          </w:p>
        </w:tc>
        <w:tc>
          <w:tcPr>
            <w:tcW w:type="dxa" w:w="4535"/>
          </w:tcPr>
          <w:p>
            <w:r/>
            <w:r>
              <w:rPr>
                <w:rFonts w:ascii="Calibri" w:hAnsi="Calibri"/>
                <w:sz w:val="19"/>
              </w:rPr>
              <w:t>FK a Cliente — solo se envía al crear</w:t>
            </w:r>
          </w:p>
        </w:tc>
      </w:tr>
      <w:tr>
        <w:tc>
          <w:tcPr>
            <w:tcW w:type="dxa" w:w="2835"/>
          </w:tcPr>
          <w:p>
            <w:r/>
            <w:r>
              <w:rPr>
                <w:rFonts w:ascii="Calibri" w:hAnsi="Calibri"/>
                <w:sz w:val="19"/>
              </w:rPr>
              <w:t>hipertension / diabetes / alergias</w:t>
            </w:r>
          </w:p>
        </w:tc>
        <w:tc>
          <w:tcPr>
            <w:tcW w:type="dxa" w:w="2835"/>
          </w:tcPr>
          <w:p>
            <w:r/>
            <w:r>
              <w:rPr>
                <w:rFonts w:ascii="Calibri" w:hAnsi="Calibri"/>
                <w:sz w:val="19"/>
              </w:rPr>
              <w:t>boolean</w:t>
            </w:r>
          </w:p>
        </w:tc>
        <w:tc>
          <w:tcPr>
            <w:tcW w:type="dxa" w:w="4535"/>
          </w:tcPr>
          <w:p>
            <w:r/>
            <w:r>
              <w:rPr>
                <w:rFonts w:ascii="Calibri" w:hAnsi="Calibri"/>
                <w:sz w:val="19"/>
              </w:rPr>
              <w:t>Antecedentes de salud (checkboxes)</w:t>
            </w:r>
          </w:p>
        </w:tc>
      </w:tr>
      <w:tr>
        <w:tc>
          <w:tcPr>
            <w:tcW w:type="dxa" w:w="2835"/>
          </w:tcPr>
          <w:p>
            <w:r/>
            <w:r>
              <w:rPr>
                <w:rFonts w:ascii="Calibri" w:hAnsi="Calibri"/>
                <w:sz w:val="19"/>
              </w:rPr>
              <w:t>detalleAlergias</w:t>
            </w:r>
          </w:p>
        </w:tc>
        <w:tc>
          <w:tcPr>
            <w:tcW w:type="dxa" w:w="2835"/>
          </w:tcPr>
          <w:p>
            <w:r/>
            <w:r>
              <w:rPr>
                <w:rFonts w:ascii="Calibri" w:hAnsi="Calibri"/>
                <w:sz w:val="19"/>
              </w:rPr>
              <w:t>string | null</w:t>
            </w:r>
          </w:p>
        </w:tc>
        <w:tc>
          <w:tcPr>
            <w:tcW w:type="dxa" w:w="4535"/>
          </w:tcPr>
          <w:p>
            <w:r/>
            <w:r>
              <w:rPr>
                <w:rFonts w:ascii="Calibri" w:hAnsi="Calibri"/>
                <w:sz w:val="19"/>
              </w:rPr>
              <w:t>Solo tiene sentido si alergias = true</w:t>
            </w:r>
          </w:p>
        </w:tc>
      </w:tr>
      <w:tr>
        <w:tc>
          <w:tcPr>
            <w:tcW w:type="dxa" w:w="2835"/>
          </w:tcPr>
          <w:p>
            <w:r/>
            <w:r>
              <w:rPr>
                <w:rFonts w:ascii="Calibri" w:hAnsi="Calibri"/>
                <w:sz w:val="19"/>
              </w:rPr>
              <w:t>usaLentesPrevio</w:t>
            </w:r>
          </w:p>
        </w:tc>
        <w:tc>
          <w:tcPr>
            <w:tcW w:type="dxa" w:w="2835"/>
          </w:tcPr>
          <w:p>
            <w:r/>
            <w:r>
              <w:rPr>
                <w:rFonts w:ascii="Calibri" w:hAnsi="Calibri"/>
                <w:sz w:val="19"/>
              </w:rPr>
              <w:t>boolean</w:t>
            </w:r>
          </w:p>
        </w:tc>
        <w:tc>
          <w:tcPr>
            <w:tcW w:type="dxa" w:w="4535"/>
          </w:tcPr>
          <w:p>
            <w:r/>
            <w:r>
              <w:rPr>
                <w:rFonts w:ascii="Calibri" w:hAnsi="Calibri"/>
                <w:sz w:val="19"/>
              </w:rPr>
              <w:t>—</w:t>
            </w:r>
          </w:p>
        </w:tc>
      </w:tr>
      <w:tr>
        <w:tc>
          <w:tcPr>
            <w:tcW w:type="dxa" w:w="2835"/>
          </w:tcPr>
          <w:p>
            <w:r/>
            <w:r>
              <w:rPr>
                <w:rFonts w:ascii="Calibri" w:hAnsi="Calibri"/>
                <w:sz w:val="19"/>
              </w:rPr>
              <w:t>observaciones</w:t>
            </w:r>
          </w:p>
        </w:tc>
        <w:tc>
          <w:tcPr>
            <w:tcW w:type="dxa" w:w="2835"/>
          </w:tcPr>
          <w:p>
            <w:r/>
            <w:r>
              <w:rPr>
                <w:rFonts w:ascii="Calibri" w:hAnsi="Calibri"/>
                <w:sz w:val="19"/>
              </w:rPr>
              <w:t>string | null</w:t>
            </w:r>
          </w:p>
        </w:tc>
        <w:tc>
          <w:tcPr>
            <w:tcW w:type="dxa" w:w="4535"/>
          </w:tcPr>
          <w:p>
            <w:r/>
            <w:r>
              <w:rPr>
                <w:rFonts w:ascii="Calibri" w:hAnsi="Calibri"/>
                <w:sz w:val="19"/>
              </w:rPr>
              <w:t>—</w:t>
            </w:r>
          </w:p>
        </w:tc>
      </w:tr>
    </w:tbl>
    <w:p/>
    <w:p>
      <w:pPr>
        <w:pStyle w:val="Heading2"/>
      </w:pPr>
      <w:r>
        <w:t>5.6 RecetaCristales</w:t>
      </w:r>
    </w:p>
    <w:p>
      <w:r>
        <w:rPr>
          <w:rFonts w:ascii="Calibri" w:hAnsi="Calibri"/>
          <w:b w:val="0"/>
          <w:i w:val="0"/>
        </w:rPr>
        <w:t>features/receta-cristales/ replica la misma estructura que Anamnesis (5.5), con el mismo problema y la misma solución de alias de nombre (RecetaCristales como clase de servicio vs. RecetaCristalesModel para el modelo).</w:t>
      </w:r>
    </w:p>
    <w:p>
      <w:pPr>
        <w:pStyle w:val="ListBullet"/>
      </w:pPr>
      <w:r>
        <w:rPr>
          <w:rFonts w:ascii="Calibri" w:hAnsi="Calibri"/>
        </w:rPr>
        <w:t>El formulario (RecetaCristalesForm) reproduce el layout de la pantalla de receta del legacy (Areas/Clientes/Views/FichaMedica/_ModalReceta.cshtml): dos tablas OD/OI × Esférico/Cilíndrico/Eje, una para Lejos y otra para Cerca, más DpLejos/DpCerca/AddLejos como texto libre (igual que el backend, ver 003_extras_cliente_receta.sql) y checkboxes Urgente/RequiereLab.</w:t>
      </w:r>
    </w:p>
    <w:p>
      <w:pPr>
        <w:pStyle w:val="ListBullet"/>
      </w:pPr>
      <w:r>
        <w:rPr>
          <w:rFonts w:ascii="Calibri" w:hAnsi="Calibri"/>
        </w:rPr>
        <w:t>Los rangos de validación del frontend (Esférico/Cilíndrico entre -30 y 30, Eje entre 0 y 180) replican los mismos límites de CrearRecetaCristalesCommandValidator en el backend — no son un invento del frontend.</w:t>
      </w:r>
    </w:p>
    <w:p>
      <w:pPr>
        <w:pStyle w:val="ListBullet"/>
      </w:pPr>
      <w:r>
        <w:rPr>
          <w:rFonts w:ascii="Calibri" w:hAnsi="Calibri"/>
        </w:rPr>
        <w:t>Actualización 2026-08-28: la tabla de graduación de solo lectura se extrajo al componente compartido features/receta-cristales/components/receta-graduacion/ (app-receta-graduacion, input receta), porque la usan tanto el historial de la ficha del cliente como la pestaña Receta de la orden de trabajo. Además, una receta puede estar vinculada a una OT (ADR 0008): el historial del cliente las muestra todas, y la ficha de la orden solo la suya.</w:t>
      </w:r>
    </w:p>
    <w:p>
      <w:pPr>
        <w:pStyle w:val="ListBullet"/>
      </w:pPr>
      <w:r>
        <w:rPr>
          <w:rFonts w:ascii="Calibri" w:hAnsi="Calibri"/>
        </w:rPr>
        <w:t>Actualización 2026-09-08 (UX/UI, sin ADR): el diálogo pasó a un ancho explícito de 960px (antes 560px, con las dos tablas Lejos/Cerca apilándose por falta de espacio) — coordinado entre el :host del componente y la config width/maxWidth de las 3 llamadas a dialog.open(...) que lo abren, porque el CDK de Material limita a 80vw por defecto si no se pasa explícitamente en el .open(). DP y ADD pasaron a ser inputs numéricos en la UI (antes texto libre); la API sigue recibiendo esos tres campos como string, sin cambio de esquema — la conversión número↔texto ocurre solo al guardar/cargar, y una receta migrada con un DP en formato no numérico (p. ej. "31/30") se ve vacía en ese campo al editarla. Al ingresar un ADD mayor a 0 se marca "Incluir Cristales Cerca" automáticamente (el legacy ya recalculaba los valores de Cerca pero no marcaba el checkbox). Los checks "Incluir Cristales Lejos/Cerca" se movieron de una fila aparte a la caption de su propia tabla — el checkbox pasa a ser el título del bloque — con un signal que atenúa visualmente la tabla mientras el bloque está desactivado.</w:t>
      </w:r>
    </w:p>
    <w:tbl>
      <w:tblPr>
        <w:tblStyle w:val="TableGrid"/>
        <w:tblW w:type="auto" w:w="0"/>
        <w:tblLook w:firstColumn="1" w:firstRow="1" w:lastColumn="0" w:lastRow="0" w:noHBand="0" w:noVBand="1" w:val="04A0"/>
      </w:tblPr>
      <w:tblGrid>
        <w:gridCol w:w="2882"/>
        <w:gridCol w:w="2882"/>
        <w:gridCol w:w="2882"/>
      </w:tblGrid>
      <w:tr>
        <w:tc>
          <w:tcPr>
            <w:tcW w:type="dxa" w:w="2835"/>
            <w:shd w:val="clear" w:fill="1F3A5F"/>
          </w:tcPr>
          <w:p>
            <w:r/>
            <w:r>
              <w:rPr>
                <w:rFonts w:ascii="Calibri" w:hAnsi="Calibri"/>
                <w:b/>
                <w:color w:val="FFFFFF"/>
                <w:sz w:val="19"/>
              </w:rPr>
              <w:t>Campo</w:t>
            </w:r>
          </w:p>
        </w:tc>
        <w:tc>
          <w:tcPr>
            <w:tcW w:type="dxa" w:w="2835"/>
            <w:shd w:val="clear" w:fill="1F3A5F"/>
          </w:tcPr>
          <w:p>
            <w:r/>
            <w:r>
              <w:rPr>
                <w:rFonts w:ascii="Calibri" w:hAnsi="Calibri"/>
                <w:b/>
                <w:color w:val="FFFFFF"/>
                <w:sz w:val="19"/>
              </w:rPr>
              <w:t>Tipo</w:t>
            </w:r>
          </w:p>
        </w:tc>
        <w:tc>
          <w:tcPr>
            <w:tcW w:type="dxa" w:w="4535"/>
            <w:shd w:val="clear" w:fill="1F3A5F"/>
          </w:tcPr>
          <w:p>
            <w:r/>
            <w:r>
              <w:rPr>
                <w:rFonts w:ascii="Calibri" w:hAnsi="Calibri"/>
                <w:b/>
                <w:color w:val="FFFFFF"/>
                <w:sz w:val="19"/>
              </w:rPr>
              <w:t>Origen</w:t>
            </w:r>
          </w:p>
        </w:tc>
      </w:tr>
      <w:tr>
        <w:tc>
          <w:tcPr>
            <w:tcW w:type="dxa" w:w="2835"/>
          </w:tcPr>
          <w:p>
            <w:r/>
            <w:r>
              <w:rPr>
                <w:rFonts w:ascii="Calibri" w:hAnsi="Calibri"/>
                <w:sz w:val="19"/>
              </w:rPr>
              <w:t>clientePublicId</w:t>
            </w:r>
          </w:p>
        </w:tc>
        <w:tc>
          <w:tcPr>
            <w:tcW w:type="dxa" w:w="2835"/>
          </w:tcPr>
          <w:p>
            <w:r/>
            <w:r>
              <w:rPr>
                <w:rFonts w:ascii="Calibri" w:hAnsi="Calibri"/>
                <w:sz w:val="19"/>
              </w:rPr>
              <w:t>string (Guid)</w:t>
            </w:r>
          </w:p>
        </w:tc>
        <w:tc>
          <w:tcPr>
            <w:tcW w:type="dxa" w:w="4535"/>
          </w:tcPr>
          <w:p>
            <w:r/>
            <w:r>
              <w:rPr>
                <w:rFonts w:ascii="Calibri" w:hAnsi="Calibri"/>
                <w:sz w:val="19"/>
              </w:rPr>
              <w:t>FK a Cliente — solo se envía al crear</w:t>
            </w:r>
          </w:p>
        </w:tc>
      </w:tr>
      <w:tr>
        <w:tc>
          <w:tcPr>
            <w:tcW w:type="dxa" w:w="2835"/>
          </w:tcPr>
          <w:p>
            <w:r/>
            <w:r>
              <w:rPr>
                <w:rFonts w:ascii="Calibri" w:hAnsi="Calibri"/>
                <w:sz w:val="19"/>
              </w:rPr>
              <w:t>odEsferaLejos / odCilindroLejos / odEjeLejos</w:t>
            </w:r>
          </w:p>
        </w:tc>
        <w:tc>
          <w:tcPr>
            <w:tcW w:type="dxa" w:w="2835"/>
          </w:tcPr>
          <w:p>
            <w:r/>
            <w:r>
              <w:rPr>
                <w:rFonts w:ascii="Calibri" w:hAnsi="Calibri"/>
                <w:sz w:val="19"/>
              </w:rPr>
              <w:t>number | null</w:t>
            </w:r>
          </w:p>
        </w:tc>
        <w:tc>
          <w:tcPr>
            <w:tcW w:type="dxa" w:w="4535"/>
          </w:tcPr>
          <w:p>
            <w:r/>
            <w:r>
              <w:rPr>
                <w:rFonts w:ascii="Calibri" w:hAnsi="Calibri"/>
                <w:sz w:val="19"/>
              </w:rPr>
              <w:t>OD lejos (Esférico/Cilíndrico/Eje)</w:t>
            </w:r>
          </w:p>
        </w:tc>
      </w:tr>
      <w:tr>
        <w:tc>
          <w:tcPr>
            <w:tcW w:type="dxa" w:w="2835"/>
          </w:tcPr>
          <w:p>
            <w:r/>
            <w:r>
              <w:rPr>
                <w:rFonts w:ascii="Calibri" w:hAnsi="Calibri"/>
                <w:sz w:val="19"/>
              </w:rPr>
              <w:t>odEsferaCerca / odCilindroCerca / odEjeCerca</w:t>
            </w:r>
          </w:p>
        </w:tc>
        <w:tc>
          <w:tcPr>
            <w:tcW w:type="dxa" w:w="2835"/>
          </w:tcPr>
          <w:p>
            <w:r/>
            <w:r>
              <w:rPr>
                <w:rFonts w:ascii="Calibri" w:hAnsi="Calibri"/>
                <w:sz w:val="19"/>
              </w:rPr>
              <w:t>number | null</w:t>
            </w:r>
          </w:p>
        </w:tc>
        <w:tc>
          <w:tcPr>
            <w:tcW w:type="dxa" w:w="4535"/>
          </w:tcPr>
          <w:p>
            <w:r/>
            <w:r>
              <w:rPr>
                <w:rFonts w:ascii="Calibri" w:hAnsi="Calibri"/>
                <w:sz w:val="19"/>
              </w:rPr>
              <w:t>OD cerca</w:t>
            </w:r>
          </w:p>
        </w:tc>
      </w:tr>
      <w:tr>
        <w:tc>
          <w:tcPr>
            <w:tcW w:type="dxa" w:w="2835"/>
          </w:tcPr>
          <w:p>
            <w:r/>
            <w:r>
              <w:rPr>
                <w:rFonts w:ascii="Calibri" w:hAnsi="Calibri"/>
                <w:sz w:val="19"/>
              </w:rPr>
              <w:t>oiEsferaLejos / oiCilindroLejos / oiEjeLejos</w:t>
            </w:r>
          </w:p>
        </w:tc>
        <w:tc>
          <w:tcPr>
            <w:tcW w:type="dxa" w:w="2835"/>
          </w:tcPr>
          <w:p>
            <w:r/>
            <w:r>
              <w:rPr>
                <w:rFonts w:ascii="Calibri" w:hAnsi="Calibri"/>
                <w:sz w:val="19"/>
              </w:rPr>
              <w:t>number | null</w:t>
            </w:r>
          </w:p>
        </w:tc>
        <w:tc>
          <w:tcPr>
            <w:tcW w:type="dxa" w:w="4535"/>
          </w:tcPr>
          <w:p>
            <w:r/>
            <w:r>
              <w:rPr>
                <w:rFonts w:ascii="Calibri" w:hAnsi="Calibri"/>
                <w:sz w:val="19"/>
              </w:rPr>
              <w:t>OI lejos</w:t>
            </w:r>
          </w:p>
        </w:tc>
      </w:tr>
      <w:tr>
        <w:tc>
          <w:tcPr>
            <w:tcW w:type="dxa" w:w="2835"/>
          </w:tcPr>
          <w:p>
            <w:r/>
            <w:r>
              <w:rPr>
                <w:rFonts w:ascii="Calibri" w:hAnsi="Calibri"/>
                <w:sz w:val="19"/>
              </w:rPr>
              <w:t>oiEsferaCerca / oiCilindroCerca / oiEjeCerca</w:t>
            </w:r>
          </w:p>
        </w:tc>
        <w:tc>
          <w:tcPr>
            <w:tcW w:type="dxa" w:w="2835"/>
          </w:tcPr>
          <w:p>
            <w:r/>
            <w:r>
              <w:rPr>
                <w:rFonts w:ascii="Calibri" w:hAnsi="Calibri"/>
                <w:sz w:val="19"/>
              </w:rPr>
              <w:t>number | null</w:t>
            </w:r>
          </w:p>
        </w:tc>
        <w:tc>
          <w:tcPr>
            <w:tcW w:type="dxa" w:w="4535"/>
          </w:tcPr>
          <w:p>
            <w:r/>
            <w:r>
              <w:rPr>
                <w:rFonts w:ascii="Calibri" w:hAnsi="Calibri"/>
                <w:sz w:val="19"/>
              </w:rPr>
              <w:t>OI cerca</w:t>
            </w:r>
          </w:p>
        </w:tc>
      </w:tr>
      <w:tr>
        <w:tc>
          <w:tcPr>
            <w:tcW w:type="dxa" w:w="2835"/>
          </w:tcPr>
          <w:p>
            <w:r/>
            <w:r>
              <w:rPr>
                <w:rFonts w:ascii="Calibri" w:hAnsi="Calibri"/>
                <w:sz w:val="19"/>
              </w:rPr>
              <w:t>dpLejos / dpCerca / addLejos</w:t>
            </w:r>
          </w:p>
        </w:tc>
        <w:tc>
          <w:tcPr>
            <w:tcW w:type="dxa" w:w="2835"/>
          </w:tcPr>
          <w:p>
            <w:r/>
            <w:r>
              <w:rPr>
                <w:rFonts w:ascii="Calibri" w:hAnsi="Calibri"/>
                <w:sz w:val="19"/>
              </w:rPr>
              <w:t>string | null</w:t>
            </w:r>
          </w:p>
        </w:tc>
        <w:tc>
          <w:tcPr>
            <w:tcW w:type="dxa" w:w="4535"/>
          </w:tcPr>
          <w:p>
            <w:r/>
            <w:r>
              <w:rPr>
                <w:rFonts w:ascii="Calibri" w:hAnsi="Calibri"/>
                <w:sz w:val="19"/>
              </w:rPr>
              <w:t>Texto libre, sin formato fijo (igual que el legacy)</w:t>
            </w:r>
          </w:p>
        </w:tc>
      </w:tr>
      <w:tr>
        <w:tc>
          <w:tcPr>
            <w:tcW w:type="dxa" w:w="2835"/>
          </w:tcPr>
          <w:p>
            <w:r/>
            <w:r>
              <w:rPr>
                <w:rFonts w:ascii="Calibri" w:hAnsi="Calibri"/>
                <w:sz w:val="19"/>
              </w:rPr>
              <w:t>urgente / requiereLab</w:t>
            </w:r>
          </w:p>
        </w:tc>
        <w:tc>
          <w:tcPr>
            <w:tcW w:type="dxa" w:w="2835"/>
          </w:tcPr>
          <w:p>
            <w:r/>
            <w:r>
              <w:rPr>
                <w:rFonts w:ascii="Calibri" w:hAnsi="Calibri"/>
                <w:sz w:val="19"/>
              </w:rPr>
              <w:t>boolean</w:t>
            </w:r>
          </w:p>
        </w:tc>
        <w:tc>
          <w:tcPr>
            <w:tcW w:type="dxa" w:w="4535"/>
          </w:tcPr>
          <w:p>
            <w:r/>
            <w:r>
              <w:rPr>
                <w:rFonts w:ascii="Calibri" w:hAnsi="Calibri"/>
                <w:sz w:val="19"/>
              </w:rPr>
              <w:t>—</w:t>
            </w:r>
          </w:p>
        </w:tc>
      </w:tr>
    </w:tbl>
    <w:p/>
    <w:p>
      <w:pPr>
        <w:pStyle w:val="Heading2"/>
      </w:pPr>
      <w:r>
        <w:t>5.7 Regiones y Comunas — catálogos de solo lectura</w:t>
      </w:r>
    </w:p>
    <w:p>
      <w:r>
        <w:rPr>
          <w:rFonts w:ascii="Calibri" w:hAnsi="Calibri"/>
          <w:b w:val="0"/>
          <w:i w:val="0"/>
        </w:rPr>
        <w:t>features/regiones/ y features/comunas/ solo tienen models/ + services/ (sin páginas propias) — su único consumidor hoy es el selector cascada Región→Comuna del ClienteForm (5.3). Regiones.listar() y Comunas.listarPorRegion(regionId) replican los endpoints de solo lectura del backend (RegionesController, ComunasController), sin mutadores porque son catálogos sembrados.</w:t>
      </w:r>
    </w:p>
    <w:p/>
    <w:p>
      <w:pPr>
        <w:pStyle w:val="Heading1"/>
      </w:pPr>
      <w:r>
        <w:t>6. Módulo Comercial — Órdenes de Trabajo, Abonos, Pagos, Cuotas y Cobranza y Operativos (implementado); Inventario (parcial)</w:t>
      </w:r>
    </w:p>
    <w:p>
      <w:r>
        <w:rPr>
          <w:rFonts w:ascii="Calibri" w:hAnsi="Calibri"/>
          <w:b w:val="0"/>
          <w:i w:val="0"/>
        </w:rPr>
        <w:t>Actualizado 2026-08-28. El módulo Comercial dejó de ser un placeholder: features/ordenes-de-trabajo/ concentra el agregado (models/, services/ y los componentes compartidos estado-ot-chip, resumen-financiero y selector-orden), y features/abonos, pagos, cuotas y cobranza lo consumen — en la API no existen /api/pagos ni /api/cuotas, son subrecursos de la OT (ADR 0007). De Inventario solo está el catálogo de productos (GET /api/productos), que alimenta el selector del detalle; el resto sigue siendo un stub.</w:t>
      </w:r>
    </w:p>
    <w:p>
      <w:r>
        <w:rPr>
          <w:rFonts w:ascii="Calibri" w:hAnsi="Calibri"/>
          <w:b w:val="0"/>
          <w:i w:val="0"/>
        </w:rPr>
        <w:t>6.1 Ficha de la OT — la vista "Ver Orden". A pedido del negocio, /ordenes-de-trabajo/:publicId replica el modal "Detalle Orden de Trabajo" del legacy: la cabecera de la orden arriba, a todo el ancho y en solo lectura (N° OT, fecha, fecha de entrega, beneficiario, empresa, sucursal, estado y resumen financiero), y pestañas debajo. Las cuatro primeras son las del legacy — Cliente, Receta, Detalle (el legacy lo llamaba "Lentes", nombre descartado por el usuario) y Abonos — y Pagos, Cuotas y Bitácora son propias del sistema nuevo. Cliente y Receta se pintan con lo que ya trae OrdenDeTrabajoDto (campos cliente y recetas): no se hace ninguna llamada adicional. La pantalla es además la del flujo de estados (avanzar/retroceder una etapa, anular con motivo).</w:t>
      </w:r>
    </w:p>
    <w:p>
      <w:r>
        <w:rPr>
          <w:rFonts w:ascii="Calibri" w:hAnsi="Calibri"/>
          <w:b w:val="0"/>
          <w:i w:val="0"/>
        </w:rPr>
        <w:t>6.2 Listado sin carga inicial. El listado de OT no consulta nada al entrar: son más de 12.000 órdenes y en el legacy traerlas completas daba timeout. Arranca en un app-empty-state ("Busca una orden de trabajo", signal consultado) y consulta recién con la primera búsqueda o filtro. La excepción es llegar con un filtro de contexto en la URL (clientePublicId, empresaPublicId, soloConSaldo, desde la ficha del cliente o desde Cobranza), que ya es un criterio; quitar ese contexto devuelve la pantalla al estado inicial en vez de traer todo.</w:t>
      </w:r>
    </w:p>
    <w:p>
      <w:r>
        <w:rPr>
          <w:rFonts w:ascii="Calibri" w:hAnsi="Calibri"/>
          <w:b w:val="0"/>
          <w:i w:val="0"/>
        </w:rPr>
        <w:t>6.3 Alta de una OT — asistente por pasos. El alta y la edición viven en una página ruteada (/ordenes-de-trabajo/nueva y /:publicId/editar), no en un diálogo, porque incluyen la tabla de detalle. Desde la 2ª sesión del 2026-08-28 la pantalla es un mat-stepper de cuatro pasos — Cliente · Receta · Detalle · Pago —, que es la misma secuencia de las cuatro pestañas del legacy (Ingreso/Create.cshtml) con el tercero renombrado a Detalle. Es lineal al crear (el orden de los pasos es el orden en que ocurren las cosas en el mesón) y no lineal al editar; el paso Pago solo existe al crear, porque el abono inicial y el plan de cuotas viajan en el mismo POST y el dinero de una OT ya creada se maneja desde su ficha. Cada paso tiene su propio FormGroup (formCliente / formOrden / formPago) enlazado con [stepControl]; como el detalle vive en un signal, el paso lo valida a través de un control espejo (hayDetalle, Validators.requiredTrue) sincronizado desde un effect — mat-step valida por control, no por signal. Tres capacidades del legacy que la primera versión del formulario no tenía: (a) el cliente se puede crear sin salir de la orden — si la búsqueda no arroja resultados aparece «Crear cliente», que abre el diálogo ClienteForm con el RUT ya tecleado (ClienteFormDialogData.rutInicial) y lo deja seleccionado al cerrarse; el cliente elegido se muestra en una ficha resumida con «Editar datos»; (b) la receta se puede tomar ahí mismo con «Tomar receta nueva», que abre RecetaCristalesForm y vincula la receta creada a la orden — sin dejar de poder elegir una del historial clínico; (c) si tras el abono inicial queda saldo, hay que indicar número de cuotas y primer vencimiento o marcar explícitamente «Sin plan de cuotas (cobro directo)», que es la regla del legacy sin su bloqueo duro (el sistema nuevo sí permite cobrar con pagos sueltos). En los dos casos de alta se reutilizan los diálogos existentes en vez de duplicar sus campos: ClienteForm ya trae la cascada Región→Comuna y RecetaCristalesForm las tablas de graduación con sus rangos. Consecuencia aceptada: cliente y receta se persisten antes que la orden, así que si el POST de la OT falla quedan creados — son datos válidos por sí mismos y es lo que hacía el legacy. Lo que la migración ya mejoró no se revierte: no se pide N° de OT ni precio (los genera y calcula el backend). La receta se envía como recetaPublicId y, ojo en edición, el backend trata ese campo como estado final: hay que reenviar la receta actual o la orden queda sin receta. Cada línea del detalle admite un comentario (modelo y color del armazón). Ver ADR 0009.</w:t>
      </w:r>
    </w:p>
    <w:p>
      <w:r>
        <w:rPr>
          <w:rFonts w:ascii="Calibri" w:hAnsi="Calibri"/>
          <w:b w:val="0"/>
          <w:i w:val="0"/>
        </w:rPr>
        <w:t>6.4 Cierre del alta, ticket e impresión. Al crear la orden se abre orden-creada-dialog — el equivalente a Finaliza.cshtml del legacy — con el ticket a la vista y tres acciones: Imprimir ticket, Nueva OT (reinicia el asistente sin recargar la página) y Ver orden. El comprobante es el componente features/ordenes-de-trabajo/components/ticket-ot/ (app-ticket-ot, input orden), que reemplaza al reporte rptTicketOT.rdlc del legacy: N° de OT, cliente y teléfono, fechas de atención y entrega, detalle con su comentario, receta (reusando app-receta-graduacion) y el resumen de dinero con el plan de cuotas, dejando fuera las cuotas anuladas. Ya no hay motor de reportes en el servidor: imprime el navegador. El contrato de impresión es global y hay que respetarlo al agregar cualquier otra pantalla imprimible — las reglas @media print viven en src/styles.scss y nunca en el SCSS de un componente (los estilos encapsulados no pueden ocultar el resto de la aplicación); quien imprime agrega la clase opt-imprimiendo al &lt;body&gt; mientras dura el window.print() y la quita después (afterprint más un finally, porque afterprint no dispara en todos los navegadores si se cancela); lo que no va en papel se marca con .opt-no-imprimir; y el bloque global devuelve el overlay de Material, que es position: fixed, al flujo del documento — sin eso el papel se recorta en la primera página. Es la única parte del módulo que no cubren los tests: hay que verificarla a mano en un navegador real.</w:t>
      </w:r>
    </w:p>
    <w:p>
      <w:r>
        <w:rPr>
          <w:rFonts w:ascii="Calibri" w:hAnsi="Calibri"/>
          <w:b w:val="0"/>
          <w:i w:val="0"/>
        </w:rPr>
        <w:t>6.5 Piezas compartidas. La tabla de graduación de una receta vive en features/receta-cristales/components/receta-graduacion/ (app-receta-graduacion) y la usan la ficha del cliente, la pestaña Receta de la OT, el paso Receta del asistente de alta y el ticket. Los chips de flag booleano (Urgente, Laboratorio, antecedentes) usan las clases globales .opt-chip / .opt-chip--si / --alerta / --info de styles.scss. La fixture de OT para tests vive en features/ordenes-de-trabajo/models/orden-de-trabajo.fixture.ts, fuera de un .spec.ts: una constante exportada desde un spec deja a Vitest sin suite que ejecutar en el archivo que la publica.</w:t>
      </w:r>
    </w:p>
    <w:p>
      <w:r>
        <w:rPr>
          <w:rFonts w:ascii="Calibri" w:hAnsi="Calibri"/>
          <w:b w:val="0"/>
          <w:i w:val="0"/>
        </w:rPr>
        <w:t>6.6 Segunda pasada sobre la ficha/alta de OT (2026-09-08, ADR 0010). Seis observaciones puntuales del negocio, resueltas sin tocar backend salvo una excepción (ver 4.3 equivalente en Manual_Tecnico_Backend_OPT.docx). Bloqueo de edición: la ficha (6.1) muestra un aviso fijo (.aviso--bloqueo, icono block/lock) cuando la OT está Entregado o anulada — la regla de dominio ya existía (OrdenDeTrabajo.GarantizarModificable), faltaba comunicarla. Cabecera en el paso Cliente: fechaAtencion (default hoy), fechaEntrega, horaEntrega, empresa y beneficiario se movieron a formCliente del asistente de alta (6.3) — antes vivían repartidos entre el paso Detalle y ninguna parte; el N° de OT lo sigue generando la base de datos. Combo de receta reciente: el paso Receta ofrece un mat-select con la receta más nueva del cliente dentro de los últimos 3 meses contados desde hoy (preseleccionada al crear) y un botón «Ver historial completo» que revela el mat-radio-group de siempre — no se pierde la posibilidad de elegir una receta más antigua. Rediseño del paso Pago: reemplaza al checkbox «Sin plan de cuotas» de la sesión anterior. formPago.modalidadPago ('total' | 'abonoCuotas' | 'cuotas' | null) es nulo y obligatorio por defecto — nunca un valor prellenado, porque eso habría dejado el saldo en 0 antes de que el usuario eligiera nada, rompiendo la regla de que un saldo sin decisión bloquea el guardado. Un único effect() en el constructor habilita/deshabilita los controles de formPago según la modalidad elegida (pagar el total; abonar y financiar el resto en cuotas; pagar todo en cuotas). cuotasPreview, un computed(), replica en el frontend la fórmula exacta de OrdenDeTrabajo.GenerarPlanCuotas del backend (monto truncado a 2 decimales por cuota, el resto de redondeo en la última, vencimientos mensuales con AddMonths — se confirmó con el usuario que las cuotas siguen siendo mensuales, no de 30 días fijos) para mostrar la tabla de cuotas antes de guardar; el backend sigue siendo quien genera el plan real al persistir. Único cambio de backend: CrearRecetaCristalesCommandValidator/ActualizarRecetaCristalesCommandValidator dejaron de exigir con NotEmpty() las 6 observaciones de Receta cuando su checkbox Lejos/Cerca está activo — la relajación del Validators.required del frontend por sí sola habría dejado el botón Guardar habilitado pero la API rechazando con 422. No se pudo compilar OPT.sln ni correr ng test en el entorno donde se hizo el cambio (dotnet no instalado; Vitest no devolvió resultado) — pendiente verificar antes de desplegar. Ver ADR 0010.</w:t>
      </w:r>
    </w:p>
    <w:p>
      <w:pPr/>
      <w:r>
        <w:t>6.7 N° de OT manual (2026-09-11). numeroOT vuelve a ser el primer campo del paso Cliente del asistente de alta (6.3), obligatorio y &gt; 0 en el cliente (mismo validador que el resto del formulario), deshabilitado en edición igual que cliente/sucursalId — es inmutable tras crear la orden. La base de datos dejó de generarlo (antes con SEQ_NumeroOT): el operador lo teclea, igual que en el legacy, pero ahora con la validación de duplicados por año que el legacy nunca tuvo (ver Manual_Tecnico_Backend_OPT.docx §4.3/§7.7). El mensaje de duplicado llega tal cual desde el backend vía el errorInterceptor existente — sin lógica nueva en el frontend.</w:t>
      </w:r>
    </w:p>
    <w:p>
      <w:pPr/>
      <w:r>
        <w:t>6.8 Rediseño del ticket imprimible y reimpresión (2026-09-15, sin cambios de backend). ticket-ot (6.4) pasó a replicar el formato del legacy _ParcialTicketOT.cshtml: encabezado con los datos fijos de la empresa (constante EMPRESA en ticket-ot.ts — nombre «Centro Óptico BL», RUT, fono y dirección, con nota en el código de que está pendiente de definición final), el texto «Nota de venta y autorización de descuento» con líneas de firma, y se imprime en NUMERO_DE_COPIAS = 3 copias (una visible en pantalla, tres en el papel vía @for + reglas de impresión en ticket-ot.scss) — el legacy generaba 3 copias para que el cliente firme el compromiso de pago. La lógica de impresión compartida (marcar &lt;body class="opt-imprimiendo"&gt;, llamar a window.print(), limpiar en afterprint con un finally de respaldo) se extrajo a shared/utils/impresion.util.ts (imprimirConClaseBody()), reemplazando el window.print() suelto que antes vivía solo en orden-creada-dialog. Nuevo componente features/ordenes-de-trabajo/components/imprimir-ticket-dialog/ (ImprimirTicketDialog, MatDialog): reimprime el ticket de una OT ya existente desde el botón «Imprimir ticket» de la ficha de la OT (orden-de-trabajo-ficha), disponible aunque la orden esté anulada o entregada — reimprimir no modifica nada, así que no queda sujeto al bloqueo de edición de 6.6. Es la versión de OrdenCreadaDialog sin los botones «Nueva OT»/«Ver orden» (acá no se acaba de crear nada): ambos diálogos comparten &lt;app-ticket-ot&gt; y el mismo helper de impresión.</w:t>
      </w:r>
    </w:p>
    <w:p>
      <w:pPr/>
      <w:r>
        <w:t>6.9 Módulo Operativo (2026-09-15, frontend). features/operativos/ agrupa las OT de una jornada en terreno bajo un Operativo, registra sus gastos y expone ganancia/pérdida (ambas fórmulas, Pagado−Gastos y Vendido−Gastos, ya calculadas por el backend). Sigue el mismo patrón de agregado que Órdenes de Trabajo (§6): alta/edición es un diálogo (OperativoForm — Empresa por autocompletado igual que en el formulario de OT, Sucursal por mat-select, ambas inmutables tras crear), y la ficha (/operativos/:publicId) es ruteada porque agrupa dos historiales de subrecurso a la vez — Órdenes asociadas y Gastos —, mismo criterio que la ficha del cliente y la de la OT. El flujo de estados (Prospecto→Ingresado→Cobranza→Cerrado) solo permite avanzar, nunca retroceder: a diferencia de OrdenDeTrabajo.CambiarEstado, el dominio de Operativo no admite volver a un estado anterior. Anular solo es posible desde Prospecto o Ingresado (lo indica el catálogo /api/estados-operativo, no una constante del frontend). Para asociar una OT se reutiliza el componente compartido &lt;app-selector-orden&gt; (ya usado por Abonos/Pagos/Cuotas), envuelto en AsociarOrdenDialog — no se creó un buscador nuevo. El chip de estado (EstadoOperativoChip) no definió tokens de color nuevos: reutiliza las clases globales opt-chip--info/si/alerta de styles.scss, evitando el proceso de auditoría WCAG que exige el documento de branding para sumar un color — un catálogo de 5 estados no lo justificaba. El listado de Órdenes de Trabajo (§6.2) ganó el filtro de contexto operativoPublicId (mismo mecanismo que empresaPublicId/clientePublicId) para que el botón “Ver en el listado de OT” de la ficha del Operativo navegue hasta ahí. Registrado en app.routes.ts (/operativos) y en el grupo “Comercial” del menú de Shell. Verificado con npm run lint/build (limpios) y npm test (105/107 — los 2 que fallan son de orden-de-trabajo-form.spec.ts, preexistentes y no relacionados). Script 009_modulo_operativo.sql aplicado a dbOPT_NET el 2026-09-16 (ver §6.9.1 para el submenú Recepción agregado después). No verificado en navegador con sesión autenticada real — mismo bloqueo estructural de todo el sistema (usuarios migrados con clave de 4 caracteres, validador exige 6).</w:t>
      </w:r>
    </w:p>
    <w:p>
      <w:pPr/>
      <w:r>
        <w:t>6.9.1 Submenú Recepción y Reporte de Cristales (sesión 2026-09-22, HU-OP-03 a HU-OP-10 de src/documentos/HU/02_HU_Modulo_Operativo.html). La pestaña "Órdenes" de operativo-ficha se renombró a "Recepción" y sumó: columna Fecha de atención; un filtro por estado de OT (mat-select, cliente-side — el volumen de OT por Operativo es de jornada, no amerita paginación server-side como el listado general de OT); acción "Avanzar etapa" por fila (reutiliza OrdenesDeTrabajo.cambiarEstado) y "Anular OT" en el menú de más acciones (reutiliza OrdenesDeTrabajo.anular + MotivoDialog) — ambas sin salir de la ficha del Operativo ni navegar a la ficha de la OT; y el botón "Nueva OT". Como estas dos acciones operan sobre la OT y no devuelven el Operativo completo, tras ejecutarlas se relee el Operativo con Operativos.obtener(...) sin pasar por el signal cargando, para no disparar el skeleton completo de la ficha (ver ejecutarSobreOrden en operativo-ficha.ts). El botón de avance de la cabecera pasa a decir "Iniciar recepción" en vez de "Avanzar a Ingresado" cuando el Operativo está en Prospecto (HU-OP-09); en cualquier otra etapa sigue diciendo "Avanzar a X".</w:t>
      </w:r>
    </w:p>
    <w:p>
      <w:pPr/>
      <w:r>
        <w:t>"Nueva OT" desde Recepción (HU-OP-04) encadena dos llamadas HTTP en el frontend (crear la OT, luego asociarla) porque el backend no ofrece un comando combinado — aceptado así por el propio HU. orden-de-trabajo-form ganó un tercer origen de contexto (además de "alta libre" y "edición"): query params operativoPublicId/empresaPublicId/sucursalId, leídos en el constructor. Con ese contexto presente, Empresa se precarga y su control se deshabilita (aviso .aviso-operativo en vez del hint habitual), y la sucursal usada al crear es la del contexto — no Auth.sucursalActualId(), que puede ser otra si el usuario tiene el menú del Shell en una sucursal distinta. Tras crear la OT con éxito se llama a Operativos.asociarOrden(...) antes de abrir OrdenCreadaDialog; si la asociación falla, se avisa con un toast pero la OT ya creada no se pierde (criterio de aceptación explícito de HU-OP-04) y la navegación final va a /operativos/:publicId en vez de a la ficha de la OT.</w:t>
      </w:r>
    </w:p>
    <w:p>
      <w:pPr/>
      <w:r>
        <w:t>Reporte de Cristales (HU-OP-10, GET /api/operativos/{publicId}/reporte-cristales): pestaña nueva de operativo-ficha que carga bajo demanda al entrar a la pestaña (evento (click) en el mat-tab, no en cargar() de la ficha) para no pagar el costo en las otras pestañas, que se usan más seguido. Reutiliza app-receta-graduacion tal cual (una card por OT, una tabla de graduación por receta), con filtro por estado. Dos exportaciones, ninguna suma una librería nueva al proyecto: "Exportar a Excel" genera un CSV client-side (con BOM UTF-8 para que Excel en Windows no rompa las tildes) — no hay librería de .xlsx instalada y no se justificó agregar una; el formato de columnas es una primera versión, el propio HU señala que se valida con el usuario antes de cerrarlo. "Exportar a PDF" abre components/reporte-cristales-imprimible/ (ReporteCristalesImprimible), un diálogo que reutiliza imprimirConClaseBody() — el mismo mecanismo ya establecido para el ticket de OT (§6.8) — y deja que "Guardar como PDF" lo haga el navegador desde su diálogo nativo de impresión; no hay generación de PDF real en ninguna capa.</w:t>
      </w:r>
    </w:p>
    <w:p>
      <w:pPr/>
      <w:r>
        <w:t>Verificado con npm run build/npm run lint (limpios) y npm test (66/66 archivos, 105/105 tests, sin regresiones). No verificado en navegador con sesión autenticada real. Cobranza (Épica C del HU) y Gastos con categoría/fecha (Épica D) quedaron fuera de esta sesión — ver Manual_Tecnico_Backend_OPT.docx §14.7/§14.8 y .agents/context/modulo-operativo.md §10.</w:t>
      </w:r>
    </w:p>
    <w:p>
      <w:pPr/>
      <w:r>
        <w:t>6.10 Origen Sucursal/Operativo en el listado y enlace desde la ficha (sesión 2026-09-22, HU-OT-02/03 de src/documentos/HU/01_HU_Modulo_OT.html). ordenes-de-trabajo-list gana la columna "Origen": un chip "Sucursal" de solo lectura, o un chip clicable con el nombre del Operativo (navega a /operativos/:publicId) cuando la OT tiene uno asociado — dato derivado que llega en operativoPublicId/operativoNombre del OrdenDeTrabajoResumen, nunca calculado en el frontend. Suma también el checkbox "Solo Sucursal" (filtro soloSucursal), deshabilitado cuando ya hay un filtro de contexto operativoPublicId en la URL, para no combinar dos criterios contradictorios. orden-de-trabajo-ficha muestra un campo "Operativo" en la cabecera, con enlace a /operativos/:publicId, solo cuando la OT tiene uno asociado (operativoPublicId no nulo) — si no lo tiene, la sección no se muestra (no queda un campo vacío). Las otras 3 HU del documento (HU-OT-01, HU-OT-04, HU-OT-05) no requirieron cambios: ya estaban resueltas por el diseño existente. Verificado con npm run build/lint (limpios) y npm test (66/66 · 105/105, sin regresiones) — no verificado en navegador con sesión autenticada real.</w:t>
      </w:r>
    </w:p>
    <w:p>
      <w:pPr>
        <w:pStyle w:val="Heading1"/>
      </w:pPr>
      <w:r>
        <w:t>7. Módulo Organización — Sucursales, Empresas, Roles y Usuarios (implementado)</w:t>
      </w:r>
    </w:p>
    <w:p>
      <w:pPr/>
      <w:r>
        <w:t>Sesión 2026-08-25. Consume el CRUD/API de backend ya implementado (sesión 2026-08-24, ver Manual_Tecnico_Backend_OPT.docx secciones 4.3 y 6.2) — no se inventó ningún contrato: los modelos TypeScript se construyeron leyendo los Commands/Queries/DTOs/Validators reales de OPT.Application antes de escribir código, siguiendo la regla de src/frontend/CLAUDE.md.</w:t>
      </w:r>
    </w:p>
    <w:p>
      <w:pPr>
        <w:pStyle w:val="Heading2"/>
      </w:pPr>
      <w:r>
        <w:t>7.1 Patrón: lista + diálogo (MatDialog)</w:t>
      </w:r>
    </w:p>
    <w:p>
      <w:pPr/>
      <w:r>
        <w:t>A diferencia de Clientes (solo listado), estos 3 módulos con alta/edición real establecen un patrón nuevo, documentado como convención en src/frontend/CLAUDE.md: la página &lt;modulo&gt;-list es la única ruta del feature; alta y edición son un componente &lt;entidad&gt;-form abierto con MatDialog desde esa página, nunca una ruta /nuevo o /editar/:id. El propio diálogo llama al servicio y cierra con el resultado; el listado solo reacciona a afterClosed() para refrescar.</w:t>
      </w:r>
    </w:p>
    <w:p>
      <w:pPr>
        <w:pStyle w:val="ListBullet"/>
      </w:pPr>
      <w:r>
        <w:t>shared/components/confirm-dialog/ — diálogo de confirmación genérico, reutilizado por las 3 eliminaciones y por activar/desactivar Usuario, en vez de un diálogo por feature.</w:t>
      </w:r>
    </w:p>
    <w:p>
      <w:pPr>
        <w:pStyle w:val="ListBullet"/>
      </w:pPr>
      <w:r>
        <w:t>Un campo que solo aplica al crear (EsMatriz de Sucursal, Clave de Usuario) se oculta del formulario en modo edición con @if (!esEdicion) — nunca se inventa un endpoint de actualización para un campo que el backend no permite editar.</w:t>
      </w:r>
    </w:p>
    <w:p>
      <w:pPr>
        <w:pStyle w:val="Heading2"/>
      </w:pPr>
      <w:r>
        <w:t>7.2 Sucursales y Empresas</w:t>
      </w:r>
    </w:p>
    <w:p>
      <w:pPr>
        <w:pStyle w:val="ListBullet"/>
      </w:pPr>
      <w:r>
        <w:t>Sucursales — CRUD completo, identificado por el Id interno (no está en el alcance de PublicId del ADR 0004). EsMatriz solo se puede fijar al crear.</w:t>
      </w:r>
    </w:p>
    <w:p>
      <w:pPr>
        <w:pStyle w:val="ListBullet"/>
      </w:pPr>
      <w:r>
        <w:t>Empresas — CRUD completo, identificado por PublicId (Guid). Mismo shape de campos para crear y actualizar (Nombre, Rut, RazonSocial, Giro, Direccion, Telefono, Email, Contacto).</w:t>
      </w:r>
    </w:p>
    <w:p>
      <w:pPr>
        <w:pStyle w:val="Heading2"/>
      </w:pPr>
      <w:r>
        <w:t>7.3 Roles (solo lectura)</w:t>
      </w:r>
    </w:p>
    <w:p>
      <w:pPr/>
      <w:r>
        <w:t>Página de listado sin diálogo de alta/edición — coincide con el backend, que no tiene mutadores de dominio para Rol (catálogo sembrado, 8 filas fijas). Sirve además como origen del combo de rol en el formulario de Usuario.</w:t>
      </w:r>
    </w:p>
    <w:p>
      <w:pPr>
        <w:pStyle w:val="Heading2"/>
      </w:pPr>
      <w:r>
        <w:t>7.4 Usuarios (CRUD + acciones)</w:t>
      </w:r>
    </w:p>
    <w:p>
      <w:pPr/>
      <w:r>
        <w:t>El módulo con más superficie de API — cubre el 100%, no solo CRUD básico. Identificado por PublicId.</w:t>
      </w:r>
    </w:p>
    <w:p>
      <w:pPr>
        <w:pStyle w:val="ListBullet"/>
      </w:pPr>
      <w:r>
        <w:t>CambiarClave — CambiarClaveUsuarioCommand verifica claveActual contra el hash del usuario OBJETIVO, no del administrador que ejecuta la acción; no es un "reseteo" sin conocer la clave vigente. El diálogo lo indica explícitamente para no inducir a error de uso.</w:t>
      </w:r>
    </w:p>
    <w:p>
      <w:pPr>
        <w:pStyle w:val="ListBullet"/>
      </w:pPr>
      <w:r>
        <w:t>Activar/Desactivar — acción directa con ConfirmDialog, sin formulario propio.</w:t>
      </w:r>
    </w:p>
    <w:p>
      <w:pPr>
        <w:pStyle w:val="ListBullet"/>
      </w:pPr>
      <w:r>
        <w:t>Asignar/Quitar sucursal — límite real de la API: UsuarioDto solo expone sucursalActivaId (no la lista completa de sucursales asignadas), y esa propiedad solo la fija el login (no hay endpoint para setearla manualmente). El diálogo asigna/quita sin poder mostrar el estado actual completo — es una limitación de la API, no un defecto del frontend.</w:t>
      </w:r>
    </w:p>
    <w:p>
      <w:pPr>
        <w:pStyle w:val="Heading1"/>
      </w:pPr>
      <w:r>
        <w:t>8. Seguridad</w:t>
      </w:r>
    </w:p>
    <w:p>
      <w:pPr>
        <w:pStyle w:val="Heading2"/>
      </w:pPr>
      <w:r>
        <w:t>8.1 Almacenamiento de sesión</w:t>
      </w:r>
    </w:p>
    <w:p>
      <w:r>
        <w:rPr>
          <w:rFonts w:ascii="Calibri" w:hAnsi="Calibri"/>
          <w:b w:val="0"/>
          <w:i w:val="0"/>
        </w:rPr>
        <w:t>El JWT se guarda en sessionStorage, no en localStorage: se pierde al cerrar la pestaña, acotando la ventana de exposición para un sistema que maneja datos clínicos sensibles (Anamnesis, RecetaCristales — Ley 21.719). No se persiste nada más que el token en el navegador.</w:t>
      </w:r>
    </w:p>
    <w:p>
      <w:pPr>
        <w:pStyle w:val="Heading2"/>
      </w:pPr>
      <w:r>
        <w:t>8.2 PublicId — identificador no enumerable</w:t>
      </w:r>
    </w:p>
    <w:p>
      <w:r>
        <w:rPr>
          <w:rFonts w:ascii="Calibri" w:hAnsi="Calibri"/>
          <w:b w:val="0"/>
          <w:i w:val="0"/>
        </w:rPr>
        <w:t>Toda ruta, modelo o servicio que hable de Cliente, Empresa, Usuario, Anamnesis o RecetaCristales usa publicId (Guid) — nunca un id numérico interno. Es la misma regla del backend (ADR 0004), aplicada también en el cliente para no reintroducir enumerabilidad en la URL del navegador, historial o logs.</w:t>
      </w:r>
    </w:p>
    <w:p>
      <w:pPr>
        <w:pStyle w:val="Heading2"/>
      </w:pPr>
      <w:r>
        <w:t>8.3 Manejo de errores (ProblemDetails)</w:t>
      </w:r>
    </w:p>
    <w:p>
      <w:r>
        <w:rPr>
          <w:rFonts w:ascii="Calibri" w:hAnsi="Calibri"/>
          <w:b w:val="0"/>
          <w:i w:val="0"/>
        </w:rPr>
        <w:t>ExceptionHandlingMiddleware (backend) devuelve toda respuesta de error en formato ProblemDetails (RFC 7807, content-type application/problem+json). errorInterceptor la traduce a un Toast usando el campo title; cuando la excepción de origen fue una ValidationException, el detalle de campos viaja en extensions.errores.</w:t>
      </w:r>
    </w:p>
    <w:p>
      <w:pPr>
        <w:pStyle w:val="Heading2"/>
      </w:pPr>
      <w:r>
        <w:t>8.4 Autorización por rol y por sucursal (2026-09-15)</w:t>
      </w:r>
    </w:p>
    <w:p>
      <w:pPr/>
      <w:r>
        <w:t>El control de autorización real vive en el backend (AutorizarRolesAttribute + AutorizacionSucursal — ver Manual_Tecnico_Backend_OPT.docx §8.3 y Manual_Tecnico_Seguridad_OPT.docx). El frontend no reimplementa ninguna regla: el selector de sucursal del menú (3.4) es una comodidad de sesión — dado que OPT.API ya autoriza contra cualquiera de las sucursales asignadas al usuario, cambiar la sucursal activa en el menú no requiere volver a autenticarse. Un 403 (ForbiddenAccessException, recurso de otra sucursal) o un intento de acción sin el rol requerido llegan como cualquier otro error de la API y los maneja el mismo errorInterceptor/ProblemDetails de 8.3 — no hay todavía una pantalla o mensaje específico para «no tiene permiso» distinto del genérico.</w:t>
      </w:r>
    </w:p>
    <w:p>
      <w:pPr>
        <w:pStyle w:val="Heading1"/>
      </w:pPr>
      <w:r>
        <w:t>9. Convenciones de Código</w:t>
      </w:r>
    </w:p>
    <w:p>
      <w:r>
        <w:rPr>
          <w:rFonts w:ascii="Calibri" w:hAnsi="Calibri"/>
          <w:b w:val="0"/>
          <w:i w:val="0"/>
        </w:rPr>
        <w:t>Resumen ejecutivo — el detalle completo, prescriptivo y mantenido junto al código vive en src/frontend/CLAUDE.md. Ante cualquier discrepancia entre este manual y ese archivo, src/frontend/CLAUDE.md es la fuente de verdad (se actualiza con cada cambio de convención).</w:t>
      </w:r>
    </w:p>
    <w:p>
      <w:pPr>
        <w:pStyle w:val="Heading2"/>
      </w:pPr>
      <w:r>
        <w:t>9.1 Componentes</w:t>
      </w:r>
    </w:p>
    <w:p>
      <w:pPr>
        <w:pStyle w:val="ListBullet"/>
      </w:pPr>
      <w:r>
        <w:rPr>
          <w:rFonts w:ascii="Calibri" w:hAnsi="Calibri"/>
        </w:rPr>
        <w:t>Standalone siempre; inject() en vez de inyección por constructor.</w:t>
      </w:r>
    </w:p>
    <w:p>
      <w:pPr>
        <w:pStyle w:val="ListBullet"/>
      </w:pPr>
      <w:r>
        <w:rPr>
          <w:rFonts w:ascii="Calibri" w:hAnsi="Calibri"/>
        </w:rPr>
        <w:t>Estado local con signal(), estado derivado con computed().</w:t>
      </w:r>
    </w:p>
    <w:p>
      <w:pPr>
        <w:pStyle w:val="ListBullet"/>
      </w:pPr>
      <w:r>
        <w:rPr>
          <w:rFonts w:ascii="Calibri" w:hAnsi="Calibri"/>
        </w:rPr>
        <w:t>Control de flujo en templates: @if / @for / @else — nunca *ngIf / *ngFor.</w:t>
      </w:r>
    </w:p>
    <w:p>
      <w:pPr>
        <w:pStyle w:val="ListBullet"/>
      </w:pPr>
      <w:r>
        <w:rPr>
          <w:rFonts w:ascii="Calibri" w:hAnsi="Calibri"/>
        </w:rPr>
        <w:t>Formularios reactivos con FormBuilder.nonNullable — nunca ngModel para formularios con validación.</w:t>
      </w:r>
    </w:p>
    <w:p>
      <w:pPr>
        <w:pStyle w:val="ListBullet"/>
      </w:pPr>
      <w:r>
        <w:rPr>
          <w:rFonts w:ascii="Calibri" w:hAnsi="Calibri"/>
        </w:rPr>
        <w:t>Archivos y clases sin sufijo de tipo (login.ts → export class Login), siguiendo el 2025 style guide de Angular CLI.</w:t>
      </w:r>
    </w:p>
    <w:p>
      <w:pPr>
        <w:pStyle w:val="ListBullet"/>
      </w:pPr>
      <w:r>
        <w:rPr>
          <w:rFonts w:ascii="Calibri" w:hAnsi="Calibri"/>
        </w:rPr>
        <w:t>Un provider de terceros con alcance a un solo feature (p. ej. provideNativeDateAdapter() para un Datepicker, un MatPaginatorIntl en español) se declara en el providers: [] del propio componente, nunca en app.config.ts — evita inflar el bundle inicial eager con código que solo usan páginas lazy (ver 11. Gotchas Conocidos).</w:t>
      </w:r>
    </w:p>
    <w:p>
      <w:pPr>
        <w:pStyle w:val="Heading2"/>
      </w:pPr>
      <w:r>
        <w:t>9.2 Servicios</w:t>
      </w:r>
    </w:p>
    <w:p>
      <w:pPr>
        <w:pStyle w:val="ListBullet"/>
      </w:pPr>
      <w:r>
        <w:rPr>
          <w:rFonts w:ascii="Calibri" w:hAnsi="Calibri"/>
        </w:rPr>
        <w:t>Un servicio por feature en su carpeta services/ — único punto de acceso HTTP del módulo.</w:t>
      </w:r>
    </w:p>
    <w:p>
      <w:pPr>
        <w:pStyle w:val="ListBullet"/>
      </w:pPr>
      <w:r>
        <w:rPr>
          <w:rFonts w:ascii="Calibri" w:hAnsi="Calibri"/>
        </w:rPr>
        <w:t>Métodos nombrados en español (listar, obtener, crear, actualizar, eliminar).</w:t>
      </w:r>
    </w:p>
    <w:p>
      <w:pPr>
        <w:pStyle w:val="ListBullet"/>
      </w:pPr>
      <w:r>
        <w:rPr>
          <w:rFonts w:ascii="Calibri" w:hAnsi="Calibri"/>
        </w:rPr>
        <w:t>URL base siempre desde environment.apiUrl — nunca hardcodeada.</w:t>
      </w:r>
    </w:p>
    <w:p>
      <w:pPr>
        <w:pStyle w:val="Heading2"/>
      </w:pPr>
      <w:r>
        <w:t>9.3 Testing</w:t>
      </w:r>
    </w:p>
    <w:p>
      <w:r>
        <w:rPr>
          <w:rFonts w:ascii="Calibri" w:hAnsi="Calibri"/>
          <w:b w:val="0"/>
          <w:i w:val="0"/>
        </w:rPr>
        <w:t>Vitest. Cada pieza generada con ng generate trae su .spec.ts — completarlo, no borrarlo. Una fixture compartida entre varios spec va en su propio archivo (models/&lt;entidad&gt;.fixture.ts), nunca exportada desde un .spec.ts — ver §11.</w:t>
      </w:r>
    </w:p>
    <w:tbl>
      <w:tblPr>
        <w:tblStyle w:val="TableGrid"/>
        <w:tblW w:type="auto" w:w="0"/>
        <w:tblLook w:firstColumn="1" w:firstRow="1" w:lastColumn="0" w:lastRow="0" w:noHBand="0" w:noVBand="1" w:val="04A0"/>
      </w:tblPr>
      <w:tblGrid>
        <w:gridCol w:w="4323"/>
        <w:gridCol w:w="4323"/>
      </w:tblGrid>
      <w:tr>
        <w:tc>
          <w:tcPr>
            <w:tcW w:type="dxa" w:w="5102"/>
            <w:shd w:val="clear" w:fill="1F3A5F"/>
          </w:tcPr>
          <w:p>
            <w:r/>
            <w:r>
              <w:rPr>
                <w:rFonts w:ascii="Calibri" w:hAnsi="Calibri"/>
                <w:b/>
                <w:color w:val="FFFFFF"/>
                <w:sz w:val="19"/>
              </w:rPr>
              <w:t>La pieza inyecta...</w:t>
            </w:r>
          </w:p>
        </w:tc>
        <w:tc>
          <w:tcPr>
            <w:tcW w:type="dxa" w:w="5102"/>
            <w:shd w:val="clear" w:fill="1F3A5F"/>
          </w:tcPr>
          <w:p>
            <w:r/>
            <w:r>
              <w:rPr>
                <w:rFonts w:ascii="Calibri" w:hAnsi="Calibri"/>
                <w:b/>
                <w:color w:val="FFFFFF"/>
                <w:sz w:val="19"/>
              </w:rPr>
              <w:t>Providers necesarios en el test</w:t>
            </w:r>
          </w:p>
        </w:tc>
      </w:tr>
      <w:tr>
        <w:tc>
          <w:tcPr>
            <w:tcW w:type="dxa" w:w="5102"/>
          </w:tcPr>
          <w:p>
            <w:r/>
            <w:r>
              <w:rPr>
                <w:rFonts w:ascii="Calibri" w:hAnsi="Calibri"/>
                <w:sz w:val="19"/>
              </w:rPr>
              <w:t>Router / RouterLink / RouterOutlet / ActivatedRoute</w:t>
            </w:r>
          </w:p>
        </w:tc>
        <w:tc>
          <w:tcPr>
            <w:tcW w:type="dxa" w:w="5102"/>
          </w:tcPr>
          <w:p>
            <w:r/>
            <w:r>
              <w:rPr>
                <w:rFonts w:ascii="Calibri" w:hAnsi="Calibri"/>
                <w:sz w:val="19"/>
              </w:rPr>
              <w:t>provideRouter([])</w:t>
            </w:r>
          </w:p>
        </w:tc>
      </w:tr>
      <w:tr>
        <w:tc>
          <w:tcPr>
            <w:tcW w:type="dxa" w:w="5102"/>
          </w:tcPr>
          <w:p>
            <w:r/>
            <w:r>
              <w:rPr>
                <w:rFonts w:ascii="Calibri" w:hAnsi="Calibri"/>
                <w:sz w:val="19"/>
              </w:rPr>
              <w:t>HttpClient (directo o vía servicio)</w:t>
            </w:r>
          </w:p>
        </w:tc>
        <w:tc>
          <w:tcPr>
            <w:tcW w:type="dxa" w:w="5102"/>
          </w:tcPr>
          <w:p>
            <w:r/>
            <w:r>
              <w:rPr>
                <w:rFonts w:ascii="Calibri" w:hAnsi="Calibri"/>
                <w:sz w:val="19"/>
              </w:rPr>
              <w:t>provideHttpClient() (+ provideHttpClientTesting() si no debe golpear red real)</w:t>
            </w:r>
          </w:p>
        </w:tc>
      </w:tr>
    </w:tbl>
    <w:p/>
    <w:p>
      <w:pPr>
        <w:pStyle w:val="Heading1"/>
      </w:pPr>
      <w:r>
        <w:t>10. Comandos de Build / Test / Run</w:t>
      </w:r>
    </w:p>
    <w:p>
      <w:pPr>
        <w:ind w:left="283"/>
        <w:shd w:val="clear" w:fill="F2F2F2"/>
      </w:pPr>
      <w:r>
        <w:rPr>
          <w:rFonts w:ascii="Consolas" w:hAnsi="Consolas"/>
          <w:sz w:val="19"/>
        </w:rPr>
        <w:t>cd src/frontend</w:t>
        <w:br/>
        <w:t>npm install</w:t>
        <w:br/>
        <w:br/>
        <w:t>npm start             # ng serve — http://localhost:4200</w:t>
        <w:br/>
        <w:t>npm run build          # build de producción → dist/opt-frontend</w:t>
        <w:br/>
        <w:t>npm test               # unit tests (Vitest)</w:t>
        <w:br/>
        <w:t>npm run lint            # ESLint (angular-eslint)</w:t>
        <w:br/>
        <w:t>npm run format           # Prettier — aplica formato</w:t>
        <w:br/>
        <w:t>npm run format:check      # Prettier — solo verifica</w:t>
      </w:r>
    </w:p>
    <w:p>
      <w:r>
        <w:rPr>
          <w:rFonts w:ascii="Calibri" w:hAnsi="Calibri"/>
          <w:b w:val="0"/>
          <w:i w:val="0"/>
        </w:rPr>
        <w:t>Requiere OPT.API corriendo (dotnet run en src/backend/OPT.API). CORS para http://localhost:4200 ya está configurado en appsettings.Development.json.</w:t>
      </w:r>
    </w:p>
    <w:p>
      <w:pPr>
        <w:pStyle w:val="Heading1"/>
      </w:pPr>
      <w:r>
        <w:t>11. Gotchas Conocidos</w:t>
      </w:r>
    </w:p>
    <w:tbl>
      <w:tblPr>
        <w:tblStyle w:val="TableGrid"/>
        <w:tblW w:type="auto" w:w="0"/>
        <w:tblLook w:firstColumn="1" w:firstRow="1" w:lastColumn="0" w:lastRow="0" w:noHBand="0" w:noVBand="1" w:val="04A0"/>
      </w:tblPr>
      <w:tblGrid>
        <w:gridCol w:w="2882"/>
        <w:gridCol w:w="2882"/>
        <w:gridCol w:w="2882"/>
      </w:tblGrid>
      <w:tr>
        <w:tc>
          <w:tcPr>
            <w:tcW w:type="dxa" w:w="3969"/>
            <w:shd w:val="clear" w:fill="1F3A5F"/>
          </w:tcPr>
          <w:p>
            <w:r/>
            <w:r>
              <w:rPr>
                <w:rFonts w:ascii="Calibri" w:hAnsi="Calibri"/>
                <w:b/>
                <w:color w:val="FFFFFF"/>
                <w:sz w:val="19"/>
              </w:rPr>
              <w:t>Síntoma</w:t>
            </w:r>
          </w:p>
        </w:tc>
        <w:tc>
          <w:tcPr>
            <w:tcW w:type="dxa" w:w="3402"/>
            <w:shd w:val="clear" w:fill="1F3A5F"/>
          </w:tcPr>
          <w:p>
            <w:r/>
            <w:r>
              <w:rPr>
                <w:rFonts w:ascii="Calibri" w:hAnsi="Calibri"/>
                <w:b/>
                <w:color w:val="FFFFFF"/>
                <w:sz w:val="19"/>
              </w:rPr>
              <w:t>Causa</w:t>
            </w:r>
          </w:p>
        </w:tc>
        <w:tc>
          <w:tcPr>
            <w:tcW w:type="dxa" w:w="2835"/>
            <w:shd w:val="clear" w:fill="1F3A5F"/>
          </w:tcPr>
          <w:p>
            <w:r/>
            <w:r>
              <w:rPr>
                <w:rFonts w:ascii="Calibri" w:hAnsi="Calibri"/>
                <w:b/>
                <w:color w:val="FFFFFF"/>
                <w:sz w:val="19"/>
              </w:rPr>
              <w:t>Solución</w:t>
            </w:r>
          </w:p>
        </w:tc>
      </w:tr>
      <w:tr>
        <w:tc>
          <w:tcPr>
            <w:tcW w:type="dxa" w:w="3969"/>
          </w:tcPr>
          <w:p>
            <w:r/>
            <w:r>
              <w:rPr>
                <w:rFonts w:ascii="Calibri" w:hAnsi="Calibri"/>
                <w:sz w:val="19"/>
              </w:rPr>
              <w:t>No provider found for ActivatedRoute (en tests)</w:t>
            </w:r>
          </w:p>
        </w:tc>
        <w:tc>
          <w:tcPr>
            <w:tcW w:type="dxa" w:w="3402"/>
          </w:tcPr>
          <w:p>
            <w:r/>
            <w:r>
              <w:rPr>
                <w:rFonts w:ascii="Calibri" w:hAnsi="Calibri"/>
                <w:sz w:val="19"/>
              </w:rPr>
              <w:t>El componente usa RouterLink/RouterOutlet o inyecta Router/ActivatedRoute, y el test no configuró el router.</w:t>
            </w:r>
          </w:p>
        </w:tc>
        <w:tc>
          <w:tcPr>
            <w:tcW w:type="dxa" w:w="2835"/>
          </w:tcPr>
          <w:p>
            <w:r/>
            <w:r>
              <w:rPr>
                <w:rFonts w:ascii="Calibri" w:hAnsi="Calibri"/>
                <w:sz w:val="19"/>
              </w:rPr>
              <w:t>Agregar provideRouter([]) a los providers del TestBed.</w:t>
            </w:r>
          </w:p>
        </w:tc>
      </w:tr>
      <w:tr>
        <w:tc>
          <w:tcPr>
            <w:tcW w:type="dxa" w:w="3969"/>
          </w:tcPr>
          <w:p>
            <w:r/>
            <w:r>
              <w:rPr>
                <w:rFonts w:ascii="Calibri" w:hAnsi="Calibri"/>
                <w:sz w:val="19"/>
              </w:rPr>
              <w:t>Could not resolve @angular/animations/browser al buildear</w:t>
            </w:r>
          </w:p>
        </w:tc>
        <w:tc>
          <w:tcPr>
            <w:tcW w:type="dxa" w:w="3402"/>
          </w:tcPr>
          <w:p>
            <w:r/>
            <w:r>
              <w:rPr>
                <w:rFonts w:ascii="Calibri" w:hAnsi="Calibri"/>
                <w:sz w:val="19"/>
              </w:rPr>
              <w:t>provideAnimationsAsync() (requerido por Angular Material) sin el paquete @angular/animations instalado.</w:t>
            </w:r>
          </w:p>
        </w:tc>
        <w:tc>
          <w:tcPr>
            <w:tcW w:type="dxa" w:w="2835"/>
          </w:tcPr>
          <w:p>
            <w:r/>
            <w:r>
              <w:rPr>
                <w:rFonts w:ascii="Calibri" w:hAnsi="Calibri"/>
                <w:sz w:val="19"/>
              </w:rPr>
              <w:t>npm install @angular/animations</w:t>
            </w:r>
          </w:p>
        </w:tc>
      </w:tr>
      <w:tr>
        <w:tc>
          <w:tcPr>
            <w:tcW w:type="dxa" w:w="3969"/>
          </w:tcPr>
          <w:p>
            <w:r/>
            <w:r>
              <w:rPr>
                <w:rFonts w:ascii="Calibri" w:hAnsi="Calibri"/>
                <w:sz w:val="19"/>
              </w:rPr>
              <w:t>ng no reconoce el flag --zoneless / build falla con NG0908 al bootstrapear</w:t>
            </w:r>
          </w:p>
        </w:tc>
        <w:tc>
          <w:tcPr>
            <w:tcW w:type="dxa" w:w="3402"/>
          </w:tcPr>
          <w:p>
            <w:r/>
            <w:r>
              <w:rPr>
                <w:rFonts w:ascii="Calibri" w:hAnsi="Calibri"/>
                <w:sz w:val="19"/>
              </w:rPr>
              <w:t>Node local no soporta la versión exacta de Angular CLI (ver package.json de la CLI usada); o falta provideZonelessChangeDetection() en app.config.ts.</w:t>
            </w:r>
          </w:p>
        </w:tc>
        <w:tc>
          <w:tcPr>
            <w:tcW w:type="dxa" w:w="2835"/>
          </w:tcPr>
          <w:p>
            <w:r/>
            <w:r>
              <w:rPr>
                <w:rFonts w:ascii="Calibri" w:hAnsi="Calibri"/>
                <w:sz w:val="19"/>
              </w:rPr>
              <w:t>Usar la major de @angular/cli compatible con el Node instalado; verificar app.config.ts.</w:t>
            </w:r>
          </w:p>
        </w:tc>
      </w:tr>
      <w:tr>
        <w:tc>
          <w:tcPr>
            <w:tcW w:type="dxa" w:w="3969"/>
          </w:tcPr>
          <w:p>
            <w:r/>
            <w:r>
              <w:rPr>
                <w:rFonts w:ascii="Calibri" w:hAnsi="Calibri"/>
                <w:sz w:val="19"/>
              </w:rPr>
              <w:t>Un servicio nuevo colisiona con un tipo global (Notification, Location, etc.)</w:t>
            </w:r>
          </w:p>
        </w:tc>
        <w:tc>
          <w:tcPr>
            <w:tcW w:type="dxa" w:w="3402"/>
          </w:tcPr>
          <w:p>
            <w:r/>
            <w:r>
              <w:rPr>
                <w:rFonts w:ascii="Calibri" w:hAnsi="Calibri"/>
                <w:sz w:val="19"/>
              </w:rPr>
              <w:t>TypeScript no avisa si el nombre de la clase sombrea un identificador global del DOM.</w:t>
            </w:r>
          </w:p>
        </w:tc>
        <w:tc>
          <w:tcPr>
            <w:tcW w:type="dxa" w:w="2835"/>
          </w:tcPr>
          <w:p>
            <w:r/>
            <w:r>
              <w:rPr>
                <w:rFonts w:ascii="Calibri" w:hAnsi="Calibri"/>
                <w:sz w:val="19"/>
              </w:rPr>
              <w:t>Elegir un nombre de dominio (p. ej. Toast en vez de Notification) — ver CLAUDE.md, sección de nombres.</w:t>
            </w:r>
          </w:p>
        </w:tc>
      </w:tr>
      <w:tr>
        <w:tc>
          <w:tcPr>
            <w:tcW w:type="dxa" w:w="3969"/>
          </w:tcPr>
          <w:p>
            <w:r/>
            <w:r>
              <w:rPr>
                <w:rFonts w:ascii="Calibri" w:hAnsi="Calibri"/>
                <w:sz w:val="19"/>
              </w:rPr>
              <w:t>npm run build reporta “bundle initial exceeded maximum budget” tras agregar Datepicker/Paginator a un feature</w:t>
            </w:r>
          </w:p>
        </w:tc>
        <w:tc>
          <w:tcPr>
            <w:tcW w:type="dxa" w:w="3402"/>
          </w:tcPr>
          <w:p>
            <w:r/>
            <w:r>
              <w:rPr>
                <w:rFonts w:ascii="Calibri" w:hAnsi="Calibri"/>
                <w:sz w:val="19"/>
              </w:rPr>
              <w:t>Un provider de configuración (provideNativeDateAdapter(), MatPaginatorIntl) se agregó en app.config.ts (eager, siempre en el bundle inicial) en vez de en el providers: [] del componente lazy que realmente lo usa.</w:t>
            </w:r>
          </w:p>
        </w:tc>
        <w:tc>
          <w:tcPr>
            <w:tcW w:type="dxa" w:w="2835"/>
          </w:tcPr>
          <w:p>
            <w:r/>
            <w:r>
              <w:rPr>
                <w:rFonts w:ascii="Calibri" w:hAnsi="Calibri"/>
                <w:sz w:val="19"/>
              </w:rPr>
              <w:t>Mover el provider al providers: [] del propio componente (ver ClienteForm para el date adapter y ClientesList para MatPaginatorIntl, sesión 2026-08-26) — bajó el bundle inicial de ~657kB a ~479kB en ese caso.</w:t>
            </w:r>
          </w:p>
        </w:tc>
      </w:tr>
      <w:tr>
        <w:tc>
          <w:tcPr>
            <w:tcW w:type="dxa" w:w="3969"/>
          </w:tcPr>
          <w:p>
            <w:r/>
            <w:r>
              <w:rPr>
                <w:rFonts w:ascii="Calibri" w:hAnsi="Calibri"/>
                <w:sz w:val="19"/>
              </w:rPr>
              <w:t>Colisión de nombre entre la clase de servicio y el modelo del mismo feature (Anamnesis, RecetaCristales)</w:t>
            </w:r>
          </w:p>
        </w:tc>
        <w:tc>
          <w:tcPr>
            <w:tcW w:type="dxa" w:w="3402"/>
          </w:tcPr>
          <w:p>
            <w:r/>
            <w:r>
              <w:rPr>
                <w:rFonts w:ascii="Calibri" w:hAnsi="Calibri"/>
                <w:sz w:val="19"/>
              </w:rPr>
              <w:t>ng generate service nombra la clase igual que el feature (sin sufijo, 2025 style guide), y coincide con el nombre singular de la entidad de dominio usado en models/*.model.ts.</w:t>
            </w:r>
          </w:p>
        </w:tc>
        <w:tc>
          <w:tcPr>
            <w:tcW w:type="dxa" w:w="2835"/>
          </w:tcPr>
          <w:p>
            <w:r/>
            <w:r>
              <w:rPr>
                <w:rFonts w:ascii="Calibri" w:hAnsi="Calibri"/>
                <w:sz w:val="19"/>
              </w:rPr>
              <w:t>Alias de tipo al importar el modelo en cualquier archivo que necesite ambos símbolos: import { Anamnesis as AnamnesisModel } from '...model' — mismo patrón que OPT.Application.Features.Anamnesis ya usa en el backend (ver CLAUDE.md raíz).</w:t>
            </w:r>
          </w:p>
        </w:tc>
      </w:tr>
      <w:tr>
        <w:tc>
          <w:tcPr>
            <w:tcW w:type="dxa" w:w="3969"/>
          </w:tcPr>
          <w:p>
            <w:r>
              <w:t>Editar una OT desde el formulario le borra la receta vinculada</w:t>
            </w:r>
          </w:p>
        </w:tc>
        <w:tc>
          <w:tcPr>
            <w:tcW w:type="dxa" w:w="3402"/>
          </w:tcPr>
          <w:p>
            <w:r>
              <w:t>El backend trata recetaPublicId como estado final, igual que empresaPublicId: si no viene, la orden queda sin receta.</w:t>
            </w:r>
          </w:p>
        </w:tc>
        <w:tc>
          <w:tcPr>
            <w:tcW w:type="dxa" w:w="2835"/>
          </w:tcPr>
          <w:p>
            <w:r>
              <w:t>Reenviar siempre la receta actual al editar. OrdenDeTrabajoForm la preselecciona desde orden.recetas[0] al cargar la orden.</w:t>
            </w:r>
          </w:p>
        </w:tc>
      </w:tr>
      <w:tr>
        <w:tc>
          <w:tcPr>
            <w:tcW w:type="dxa" w:w="3969"/>
          </w:tcPr>
          <w:p>
            <w:r>
              <w:t>El listado de OT aparece vacío al entrar y parece roto</w:t>
            </w:r>
          </w:p>
        </w:tc>
        <w:tc>
          <w:tcPr>
            <w:tcW w:type="dxa" w:w="3402"/>
          </w:tcPr>
          <w:p>
            <w:r>
              <w:t>Es deliberado (ADR 0008): con más de 12.000 órdenes no se consulta hasta que hay un criterio, como en el legacy.</w:t>
            </w:r>
          </w:p>
        </w:tc>
        <w:tc>
          <w:tcPr>
            <w:tcW w:type="dxa" w:w="2835"/>
          </w:tcPr>
          <w:p>
            <w:r>
              <w:t>Buscar o aplicar un filtro. La signal consultado distingue "todavía no consultaste" de "consultaste y no hubo resultados", y cada caso tiene su propio app-empty-state.</w:t>
            </w:r>
          </w:p>
        </w:tc>
      </w:tr>
      <w:tr>
        <w:tc>
          <w:tcPr>
            <w:tcW w:type="dxa" w:w="3969"/>
          </w:tcPr>
          <w:p>
            <w:r>
              <w:t>Al crear una OT desde el asistente queda un cliente o una receta creados, pero la orden no</w:t>
            </w:r>
          </w:p>
        </w:tc>
        <w:tc>
          <w:tcPr>
            <w:tcW w:type="dxa" w:w="3402"/>
          </w:tcPr>
          <w:p>
            <w:r>
              <w:t>El alta no es atómica por decisión (ADR 0009): cliente y receta se persisten con sus propias APIs antes del POST de la orden, igual que hacía el legacy.</w:t>
            </w:r>
          </w:p>
        </w:tc>
        <w:tc>
          <w:tcPr>
            <w:tcW w:type="dxa" w:w="2835"/>
          </w:tcPr>
          <w:p>
            <w:r>
              <w:t>No es un bug: son datos válidos por sí mismos. Reintentar el alta buscando al cliente, que ya existe, y eligiendo la receta recién tomada del historial.</w:t>
            </w:r>
          </w:p>
        </w:tc>
      </w:tr>
      <w:tr>
        <w:tc>
          <w:tcPr>
            <w:tcW w:type="dxa" w:w="3969"/>
          </w:tcPr>
          <w:p>
            <w:r>
              <w:t>La página impresa sale recortada en la primera hoja, o se imprime toda la aplicación en vez del ticket</w:t>
            </w:r>
          </w:p>
        </w:tc>
        <w:tc>
          <w:tcPr>
            <w:tcW w:type="dxa" w:w="3402"/>
          </w:tcPr>
          <w:p>
            <w:r>
              <w:t>Falta el contrato de impresión: la clase opt-imprimiendo en el &lt;body&gt;, o se escribió el @media print dentro del SCSS encapsulado de un componente, que no puede ocultar el resto de la app ni sacar al overlay de Material de su position: fixed.</w:t>
            </w:r>
          </w:p>
        </w:tc>
        <w:tc>
          <w:tcPr>
            <w:tcW w:type="dxa" w:w="2835"/>
          </w:tcPr>
          <w:p>
            <w:r>
              <w:t>Usar el bloque @media print de src/styles.scss: agregar opt-imprimiendo al &lt;body&gt; mientras dura window.print() y marcar con .opt-no-imprimir lo que no va en papel.</w:t>
            </w:r>
          </w:p>
        </w:tc>
      </w:tr>
      <w:tr>
        <w:tc>
          <w:tcPr>
            <w:tcW w:type="dxa" w:w="3969"/>
          </w:tcPr>
          <w:p>
            <w:r>
              <w:t>Vitest reporta "No test suite found in file" en un .spec.ts que sí tiene describe</w:t>
            </w:r>
          </w:p>
        </w:tc>
        <w:tc>
          <w:tcPr>
            <w:tcW w:type="dxa" w:w="3402"/>
          </w:tcPr>
          <w:p>
            <w:r>
              <w:t>El archivo exporta además una constante que otro spec importa; al consumirse como módulo, Vitest deja de verlo como suite.</w:t>
            </w:r>
          </w:p>
        </w:tc>
        <w:tc>
          <w:tcPr>
            <w:tcW w:type="dxa" w:w="2835"/>
          </w:tcPr>
          <w:p>
            <w:r>
              <w:t>Mover la fixture a un archivo propio fuera de los .spec.ts (ver models/orden-de-trabajo.fixture.ts).</w:t>
            </w:r>
          </w:p>
        </w:tc>
      </w:tr>
    </w:tbl>
    <w:p/>
    <w:p>
      <w:pPr>
        <w:pStyle w:val="Heading1"/>
      </w:pPr>
      <w:r>
        <w:t>12. Registro de Decisiones de Arquitectura relacionadas</w:t>
      </w:r>
    </w:p>
    <w:tbl>
      <w:tblPr>
        <w:tblStyle w:val="TableGrid"/>
        <w:tblW w:type="auto" w:w="0"/>
        <w:tblLook w:firstColumn="1" w:firstRow="1" w:lastColumn="0" w:lastRow="0" w:noHBand="0" w:noVBand="1" w:val="04A0"/>
      </w:tblPr>
      <w:tblGrid>
        <w:gridCol w:w="2161"/>
        <w:gridCol w:w="2161"/>
        <w:gridCol w:w="2161"/>
        <w:gridCol w:w="2161"/>
      </w:tblGrid>
      <w:tr>
        <w:tc>
          <w:tcPr>
            <w:tcW w:type="dxa" w:w="1701"/>
            <w:shd w:val="clear" w:fill="1F3A5F"/>
          </w:tcPr>
          <w:p>
            <w:r/>
            <w:r>
              <w:rPr>
                <w:rFonts w:ascii="Calibri" w:hAnsi="Calibri"/>
                <w:b/>
                <w:color w:val="FFFFFF"/>
                <w:sz w:val="19"/>
              </w:rPr>
              <w:t>ADR</w:t>
            </w:r>
          </w:p>
        </w:tc>
        <w:tc>
          <w:tcPr>
            <w:tcW w:type="dxa" w:w="3969"/>
            <w:shd w:val="clear" w:fill="1F3A5F"/>
          </w:tcPr>
          <w:p>
            <w:r/>
            <w:r>
              <w:rPr>
                <w:rFonts w:ascii="Calibri" w:hAnsi="Calibri"/>
                <w:b/>
                <w:color w:val="FFFFFF"/>
                <w:sz w:val="19"/>
              </w:rPr>
              <w:t>Título</w:t>
            </w:r>
          </w:p>
        </w:tc>
        <w:tc>
          <w:tcPr>
            <w:tcW w:type="dxa" w:w="2268"/>
            <w:shd w:val="clear" w:fill="1F3A5F"/>
          </w:tcPr>
          <w:p>
            <w:r/>
            <w:r>
              <w:rPr>
                <w:rFonts w:ascii="Calibri" w:hAnsi="Calibri"/>
                <w:b/>
                <w:color w:val="FFFFFF"/>
                <w:sz w:val="19"/>
              </w:rPr>
              <w:t>Estado</w:t>
            </w:r>
          </w:p>
        </w:tc>
        <w:tc>
          <w:tcPr>
            <w:tcW w:type="dxa" w:w="2268"/>
            <w:shd w:val="clear" w:fill="1F3A5F"/>
          </w:tcPr>
          <w:p>
            <w:r/>
            <w:r>
              <w:rPr>
                <w:rFonts w:ascii="Calibri" w:hAnsi="Calibri"/>
                <w:b/>
                <w:color w:val="FFFFFF"/>
                <w:sz w:val="19"/>
              </w:rPr>
              <w:t>Relevancia para el frontend</w:t>
            </w:r>
          </w:p>
        </w:tc>
      </w:tr>
      <w:tr>
        <w:tc>
          <w:tcPr>
            <w:tcW w:type="dxa" w:w="1701"/>
          </w:tcPr>
          <w:p>
            <w:r/>
            <w:r>
              <w:rPr>
                <w:rFonts w:ascii="Calibri" w:hAnsi="Calibri"/>
                <w:sz w:val="19"/>
              </w:rPr>
              <w:t>0002</w:t>
            </w:r>
          </w:p>
        </w:tc>
        <w:tc>
          <w:tcPr>
            <w:tcW w:type="dxa" w:w="3969"/>
          </w:tcPr>
          <w:p>
            <w:r/>
            <w:r>
              <w:rPr>
                <w:rFonts w:ascii="Calibri" w:hAnsi="Calibri"/>
                <w:sz w:val="19"/>
              </w:rPr>
              <w:t>Frontend: Angular sobre Blazor</w:t>
            </w:r>
          </w:p>
        </w:tc>
        <w:tc>
          <w:tcPr>
            <w:tcW w:type="dxa" w:w="2268"/>
          </w:tcPr>
          <w:p>
            <w:r/>
            <w:r>
              <w:rPr>
                <w:rFonts w:ascii="Calibri" w:hAnsi="Calibri"/>
                <w:sz w:val="19"/>
              </w:rPr>
              <w:t>Aceptada</w:t>
            </w:r>
          </w:p>
        </w:tc>
        <w:tc>
          <w:tcPr>
            <w:tcW w:type="dxa" w:w="2268"/>
          </w:tcPr>
          <w:p>
            <w:r/>
            <w:r>
              <w:rPr>
                <w:rFonts w:ascii="Calibri" w:hAnsi="Calibri"/>
                <w:sz w:val="19"/>
              </w:rPr>
              <w:t>Define el framework y el stack completo de src/frontend/.</w:t>
            </w:r>
          </w:p>
        </w:tc>
      </w:tr>
      <w:tr>
        <w:tc>
          <w:tcPr>
            <w:tcW w:type="dxa" w:w="1701"/>
          </w:tcPr>
          <w:p>
            <w:r/>
            <w:r>
              <w:rPr>
                <w:rFonts w:ascii="Calibri" w:hAnsi="Calibri"/>
                <w:sz w:val="19"/>
              </w:rPr>
              <w:t>0004</w:t>
            </w:r>
          </w:p>
        </w:tc>
        <w:tc>
          <w:tcPr>
            <w:tcW w:type="dxa" w:w="3969"/>
          </w:tcPr>
          <w:p>
            <w:r/>
            <w:r>
              <w:rPr>
                <w:rFonts w:ascii="Calibri" w:hAnsi="Calibri"/>
                <w:sz w:val="19"/>
              </w:rPr>
              <w:t>Cumplimiento Ley 21.719</w:t>
            </w:r>
          </w:p>
        </w:tc>
        <w:tc>
          <w:tcPr>
            <w:tcW w:type="dxa" w:w="2268"/>
          </w:tcPr>
          <w:p>
            <w:r/>
            <w:r>
              <w:rPr>
                <w:rFonts w:ascii="Calibri" w:hAnsi="Calibri"/>
                <w:sz w:val="19"/>
              </w:rPr>
              <w:t>Aceptada</w:t>
            </w:r>
          </w:p>
        </w:tc>
        <w:tc>
          <w:tcPr>
            <w:tcW w:type="dxa" w:w="2268"/>
          </w:tcPr>
          <w:p>
            <w:r/>
            <w:r>
              <w:rPr>
                <w:rFonts w:ascii="Calibri" w:hAnsi="Calibri"/>
                <w:sz w:val="19"/>
              </w:rPr>
              <w:t>PublicId no enumerable — aplica a rutas y modelos del frontend, no solo al backend.</w:t>
            </w:r>
          </w:p>
        </w:tc>
      </w:tr>
      <w:tr>
        <w:tc>
          <w:tcPr>
            <w:tcW w:type="dxa" w:w="1701"/>
          </w:tcPr>
          <w:p>
            <w:r>
              <w:t>0008</w:t>
            </w:r>
          </w:p>
        </w:tc>
        <w:tc>
          <w:tcPr>
            <w:tcW w:type="dxa" w:w="3969"/>
          </w:tcPr>
          <w:p>
            <w:r>
              <w:t>Receta vinculada a la OT y vista "Ver Orden"</w:t>
            </w:r>
          </w:p>
        </w:tc>
        <w:tc>
          <w:tcPr>
            <w:tcW w:type="dxa" w:w="2268"/>
          </w:tcPr>
          <w:p>
            <w:r>
              <w:t>Aceptada</w:t>
            </w:r>
          </w:p>
        </w:tc>
        <w:tc>
          <w:tcPr>
            <w:tcW w:type="dxa" w:w="2268"/>
          </w:tcPr>
          <w:p>
            <w:r>
              <w:t>Define el layout de la ficha de la OT (pestañas del legacy), el selector de receta del formulario y la carga diferida del listado.</w:t>
            </w:r>
          </w:p>
        </w:tc>
      </w:tr>
      <w:tr>
        <w:tc>
          <w:tcPr>
            <w:tcW w:type="dxa" w:w="1701"/>
          </w:tcPr>
          <w:p>
            <w:r>
              <w:t>0009</w:t>
            </w:r>
          </w:p>
        </w:tc>
        <w:tc>
          <w:tcPr>
            <w:tcW w:type="dxa" w:w="3969"/>
          </w:tcPr>
          <w:p>
            <w:r>
              <w:t>Alta de OT como asistente por pasos</w:t>
            </w:r>
          </w:p>
        </w:tc>
        <w:tc>
          <w:tcPr>
            <w:tcW w:type="dxa" w:w="2268"/>
          </w:tcPr>
          <w:p>
            <w:r>
              <w:t>Aceptada</w:t>
            </w:r>
          </w:p>
        </w:tc>
        <w:tc>
          <w:tcPr>
            <w:tcW w:type="dxa" w:w="2268"/>
          </w:tcPr>
          <w:p>
            <w:r>
              <w:t>Define el stepper de alta, el reuso de diálogos para crear cliente/receta en línea, la regla de cuotas con salida explícita y el contrato de impresión del ticket.</w:t>
            </w:r>
          </w:p>
        </w:tc>
      </w:tr>
      <w:tr>
        <w:tc>
          <w:tcPr>
            <w:tcW w:type="dxa" w:w="1701"/>
          </w:tcPr>
          <w:p>
            <w:r>
              <w:t>0010</w:t>
            </w:r>
          </w:p>
        </w:tc>
        <w:tc>
          <w:tcPr>
            <w:tcW w:type="dxa" w:w="3969"/>
          </w:tcPr>
          <w:p>
            <w:r>
              <w:t>Mejoras a la ficha/alta de Orden de Trabajo</w:t>
            </w:r>
          </w:p>
        </w:tc>
        <w:tc>
          <w:tcPr>
            <w:tcW w:type="dxa" w:w="2268"/>
          </w:tcPr>
          <w:p>
            <w:r>
              <w:t>Aceptada</w:t>
            </w:r>
          </w:p>
        </w:tc>
        <w:tc>
          <w:tcPr>
            <w:tcW w:type="dxa" w:w="2268"/>
          </w:tcPr>
          <w:p>
            <w:r>
              <w:t>Define el aviso de bloqueo de edición en la ficha, la cabecera completa en el paso Cliente, el combo de receta reciente con historial opcional, y el rediseño del paso Pago con tres modalidades excluyentes y previsualización de cuotas.</w:t>
            </w:r>
          </w:p>
        </w:tc>
      </w:tr>
    </w:tbl>
    <w:p/>
    <w:p>
      <w:pPr>
        <w:pStyle w:val="Heading1"/>
      </w:pPr>
      <w:r>
        <w:t>13. Próximos Pasos</w:t>
      </w:r>
    </w:p>
    <w:p>
      <w:pPr>
        <w:pStyle w:val="ListBullet"/>
      </w:pPr>
      <w:r>
        <w:rPr>
          <w:rFonts w:ascii="Calibri" w:hAnsi="Calibri"/>
        </w:rPr>
        <w:t>Verificar el frontend end-to-end contra dbOPT_NET con sesión autenticada. Hoy está bloqueado: los usuarios migrados conservan la clave de 4 caracteres del legacy y LoginCommandValidator exige 6, así que no hay credenciales usables. Crear un usuario de desarrollo con clave válida es el primer paso.</w:t>
      </w:r>
    </w:p>
    <w:p>
      <w:pPr>
        <w:pStyle w:val="ListBullet"/>
      </w:pPr>
      <w:r>
        <w:rPr>
          <w:rFonts w:ascii="Calibri" w:hAnsi="Calibri"/>
        </w:rPr>
        <w:t>Verificar a mano la impresión del ticket en un navegador real: el @media print y el window.print() son la única parte del módulo Comercial que los tests no pueden cubrir.</w:t>
      </w:r>
    </w:p>
    <w:p>
      <w:pPr>
        <w:pStyle w:val="ListBullet"/>
      </w:pPr>
      <w:r>
        <w:rPr>
          <w:rFonts w:ascii="Calibri" w:hAnsi="Calibri"/>
        </w:rPr>
        <w:t>Evaluar reutilizar app-ticket-ot desde la ficha de la OT, para poder reimprimir el comprobante de una orden ya creada — hoy solo se ofrece al terminar el alta.</w:t>
      </w:r>
    </w:p>
    <w:p>
      <w:pPr>
        <w:pStyle w:val="ListBullet"/>
      </w:pPr>
      <w:r>
        <w:rPr>
          <w:rFonts w:ascii="Calibri" w:hAnsi="Calibri"/>
        </w:rPr>
        <w:t>Completar el patrón de features/clientes/ para Inventario cuando InventarioController deje de ser un stub (hoy solo existe GET /api/productos). Órdenes de Trabajo ya está completo — ver §6.</w:t>
      </w:r>
    </w:p>
    <w:p>
      <w:pPr>
        <w:pStyle w:val="ListBullet"/>
      </w:pPr>
      <w:r>
        <w:rPr>
          <w:rFonts w:ascii="Calibri" w:hAnsi="Calibri"/>
        </w:rPr>
        <w:t>Evaluar la necesidad de un endpoint /me cuando el número de datos derivados del JWT crezca más allá de lo razonable para viajar en claims.</w:t>
      </w:r>
    </w:p>
    <w:p>
      <w:pPr>
        <w:pStyle w:val="ListBullet"/>
      </w:pPr>
      <w:r>
        <w:t>Gestión de EmpresaSucursal (asignar/quitar sucursales a una Empresa) no está expuesta por el backend todavía — si se agrega, seguir el mismo patrón de diálogo ya usado para las sucursales de Usuario.</w:t>
      </w:r>
    </w:p>
    <w:p>
      <w:pPr>
        <w:pStyle w:val="ListBullet"/>
      </w:pPr>
      <w:r>
        <w:t>Agregar búsqueda/filtro client-side a la lista de Empresas (491 filas sin paginar en el backend) — mejora de bajo costo con MatTableDataSource, no incluida en la primera versión del listado.</w:t>
      </w:r>
    </w:p>
    <w:p>
      <w:pPr>
        <w:pStyle w:val="ListBullet"/>
      </w:pPr>
      <w:r>
        <w:t>Verificar el módulo Operativo completo (features/operativos/, §6.9/§6.9.1) end-to-end con una sesión autenticada real — hoy solo está verificado con lint/build/test, sin sesión autenticada real contra dbOPT_NET.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