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88"/>
        </w:rPr>
        <w:t>OPT</w:t>
      </w:r>
    </w:p>
    <w:p>
      <w:r>
        <w:rPr>
          <w:sz w:val="44"/>
        </w:rPr>
        <w:t>Manual Técnico — Seguridad de APIs</w:t>
      </w:r>
    </w:p>
    <w:p>
      <w:r>
        <w:rPr>
          <w:sz w:val="26"/>
        </w:rPr>
        <w:t>Sistema de gestión de ópticas — Backend .NET 8 (Clean Architecture)</w:t>
      </w:r>
    </w:p>
    <w:p/>
    <w:p/>
    <w:tbl>
      <w:tblPr>
        <w:tblStyle w:val="TableGrid"/>
        <w:tblW w:type="auto" w:w="0"/>
        <w:tblLook w:firstColumn="1" w:firstRow="1" w:lastColumn="0" w:lastRow="0" w:noHBand="0" w:noVBand="1" w:val="04A0"/>
      </w:tblPr>
      <w:tblGrid>
        <w:gridCol w:w="4320"/>
        <w:gridCol w:w="4320"/>
      </w:tblGrid>
      <w:tr>
        <w:tc>
          <w:tcPr>
            <w:tcW w:type="dxa" w:w="4320"/>
          </w:tcPr>
          <w:p>
            <w:r>
              <w:rPr>
                <w:b/>
              </w:rPr>
              <w:t>Versión del documento</w:t>
            </w:r>
          </w:p>
        </w:tc>
        <w:tc>
          <w:tcPr>
            <w:tcW w:type="dxa" w:w="4320"/>
          </w:tcPr>
          <w:p>
            <w:r>
              <w:t>1.1</w:t>
            </w:r>
          </w:p>
        </w:tc>
      </w:tr>
      <w:tr>
        <w:tc>
          <w:tcPr>
            <w:tcW w:type="dxa" w:w="4320"/>
          </w:tcPr>
          <w:p>
            <w:r>
              <w:rPr>
                <w:b/>
              </w:rPr>
              <w:t>Fecha</w:t>
            </w:r>
          </w:p>
        </w:tc>
        <w:tc>
          <w:tcPr>
            <w:tcW w:type="dxa" w:w="4320"/>
          </w:tcPr>
          <w:p>
            <w:r>
              <w:t>2026-09-15 (actualizado: autorización por rol y por sucursal)</w:t>
            </w:r>
          </w:p>
        </w:tc>
      </w:tr>
      <w:tr>
        <w:tc>
          <w:tcPr>
            <w:tcW w:type="dxa" w:w="4320"/>
          </w:tcPr>
          <w:p>
            <w:r>
              <w:rPr>
                <w:b/>
              </w:rPr>
              <w:t>Alcance</w:t>
            </w:r>
          </w:p>
        </w:tc>
        <w:tc>
          <w:tcPr>
            <w:tcW w:type="dxa" w:w="4320"/>
          </w:tcPr>
          <w:p>
            <w:r>
              <w:t>src/backend/ (OPT.API, OPT.Application, OPT.Infrastructure, OPT.Domain, OPT.Migracion)</w:t>
            </w:r>
          </w:p>
        </w:tc>
      </w:tr>
      <w:tr>
        <w:tc>
          <w:tcPr>
            <w:tcW w:type="dxa" w:w="4320"/>
          </w:tcPr>
          <w:p>
            <w:r>
              <w:rPr>
                <w:b/>
              </w:rPr>
              <w:t>Estado</w:t>
            </w:r>
          </w:p>
        </w:tc>
        <w:tc>
          <w:tcPr>
            <w:tcW w:type="dxa" w:w="4320"/>
          </w:tcPr>
          <w:p>
            <w:r>
              <w:t>Análisis de código real — no sustituye una auditoría de seguridad formal ni un pentest</w:t>
            </w:r>
          </w:p>
        </w:tc>
      </w:tr>
      <w:tr>
        <w:tc>
          <w:tcPr>
            <w:tcW w:type="dxa" w:w="4320"/>
          </w:tcPr>
          <w:p>
            <w:r>
              <w:rPr>
                <w:b/>
              </w:rPr>
              <w:t>Documentos relacionados</w:t>
            </w:r>
          </w:p>
        </w:tc>
        <w:tc>
          <w:tcPr>
            <w:tcW w:type="dxa" w:w="4320"/>
          </w:tcPr>
          <w:p>
            <w:r>
              <w:t>CLAUDE.md, .agents/decisions/0004-*.md (Ley 21.719 y PublicId), .agents/context/seguridad-apis.md, Manual_Tecnico_Backend_OPT.docx</w:t>
            </w:r>
          </w:p>
        </w:tc>
      </w:tr>
    </w:tbl>
    <w:p/>
    <w:p>
      <w:pPr>
        <w:pStyle w:val="Heading1"/>
      </w:pPr>
      <w:r>
        <w:t>Índice</w:t>
      </w:r>
    </w:p>
    <w:p>
      <w:r>
        <w:t>Haga clic derecho aquí y seleccione “Actualizar campo” para generar el índice.</w:t>
      </w:r>
    </w:p>
    <w:p>
      <w:r>
        <w:br w:type="page"/>
      </w:r>
    </w:p>
    <w:p>
      <w:pPr>
        <w:pStyle w:val="Heading1"/>
      </w:pPr>
      <w:r>
        <w:t>1. Introducción</w:t>
      </w:r>
    </w:p>
    <w:p>
      <w:pPr>
        <w:pStyle w:val="Heading2"/>
      </w:pPr>
      <w:r>
        <w:t>1.1 Propósito</w:t>
      </w:r>
    </w:p>
    <w:p>
      <w:r>
        <w:t>Este manual documenta el estado real de los controles de seguridad implementados en el backend de OPT (src/backend/), a partir de una revisión de código — no de intención de diseño. Sirve como línea base para decidir qué se refuerza antes de seguir agregando módulos y qué se deja para una pasada final previa a producción.</w:t>
      </w:r>
    </w:p>
    <w:p>
      <w:pPr>
        <w:pStyle w:val="Heading2"/>
      </w:pPr>
      <w:r>
        <w:t>1.2 Alcance</w:t>
      </w:r>
    </w:p>
    <w:p>
      <w:r>
        <w:t>Cubre OPT.API (controllers, middleware, configuración de Program.cs), OPT.Application (validación, pipeline de MediatR), OPT.Infrastructure (autenticación JWT, hashing de contraseñas, EF Core) y, donde aplica, OPT.Migracion (acceso a datos vía Dapper). No cubre el frontend Angular (ver Manual_Tecnico_Frontend_OPT.docx) ni infraestructura de despliegue (servidor, red, WAF), que están fuera del código de este repositorio.</w:t>
      </w:r>
    </w:p>
    <w:p>
      <w:pPr>
        <w:pStyle w:val="Heading2"/>
      </w:pPr>
      <w:r>
        <w:t>1.3 Metodología</w:t>
      </w:r>
    </w:p>
    <w:p>
      <w:r>
        <w:t>Revisión manual de código fuente en src/backend, contrastada contra una checklist estándar de seguridad de APIs REST (autenticación, autorización, validación de entrada, gestión de secretos, protección de datos en tránsito, manejo de errores, límites de abuso). Cada hallazgo cita archivo y, cuando aplica, línea. No incluye pruebas dinámicas (pentest) ni análisis de dependencias (SCA).</w:t>
      </w:r>
    </w:p>
    <w:p>
      <w:pPr>
        <w:pStyle w:val="Heading2"/>
      </w:pPr>
      <w:r>
        <w:t>1.4 Documentos relacionados</w:t>
      </w:r>
    </w:p>
    <w:tbl>
      <w:tblPr>
        <w:tblStyle w:val="TableGrid"/>
        <w:tblW w:type="auto" w:w="0"/>
        <w:tblLook w:firstColumn="1" w:firstRow="1" w:lastColumn="0" w:lastRow="0" w:noHBand="0" w:noVBand="1" w:val="04A0"/>
      </w:tblPr>
      <w:tblGrid>
        <w:gridCol w:w="4320"/>
        <w:gridCol w:w="4320"/>
      </w:tblGrid>
      <w:tr>
        <w:tc>
          <w:tcPr>
            <w:tcW w:type="dxa" w:w="4320"/>
          </w:tcPr>
          <w:p>
            <w:r>
              <w:rPr>
                <w:b/>
              </w:rPr>
              <w:t>Documento</w:t>
            </w:r>
          </w:p>
        </w:tc>
        <w:tc>
          <w:tcPr>
            <w:tcW w:type="dxa" w:w="4320"/>
          </w:tcPr>
          <w:p>
            <w:r>
              <w:rPr>
                <w:b/>
              </w:rPr>
              <w:t>Relación</w:t>
            </w:r>
          </w:p>
        </w:tc>
      </w:tr>
      <w:tr>
        <w:tc>
          <w:tcPr>
            <w:tcW w:type="dxa" w:w="4320"/>
          </w:tcPr>
          <w:p>
            <w:r>
              <w:t>CLAUDE.md (raíz del repo)</w:t>
            </w:r>
          </w:p>
        </w:tc>
        <w:tc>
          <w:tcPr>
            <w:tcW w:type="dxa" w:w="4320"/>
          </w:tcPr>
          <w:p>
            <w:r>
              <w:t>Sección de pendientes y gotchas — algunos puntos de este manual ya estaban anotados ahí.</w:t>
            </w:r>
          </w:p>
        </w:tc>
      </w:tr>
      <w:tr>
        <w:tc>
          <w:tcPr>
            <w:tcW w:type="dxa" w:w="4320"/>
          </w:tcPr>
          <w:p>
            <w:r>
              <w:t>.agents/decisions/0004-*.md</w:t>
            </w:r>
          </w:p>
        </w:tc>
        <w:tc>
          <w:tcPr>
            <w:tcW w:type="dxa" w:w="4320"/>
          </w:tcPr>
          <w:p>
            <w:r>
              <w:t>ADR de cumplimiento Ley 21.719 y del patrón PublicId (mitigación de BOLA/IDOR por enumeración).</w:t>
            </w:r>
          </w:p>
        </w:tc>
      </w:tr>
      <w:tr>
        <w:tc>
          <w:tcPr>
            <w:tcW w:type="dxa" w:w="4320"/>
          </w:tcPr>
          <w:p>
            <w:r>
              <w:t>.agents/context/seguridad-apis.md</w:t>
            </w:r>
          </w:p>
        </w:tc>
        <w:tc>
          <w:tcPr>
            <w:tcW w:type="dxa" w:w="4320"/>
          </w:tcPr>
          <w:p>
            <w:r>
              <w:t>Contexto operativo para agentes IA: snapshot de estado y decisión de secuencia ahora/al final.</w:t>
            </w:r>
          </w:p>
        </w:tc>
      </w:tr>
      <w:tr>
        <w:tc>
          <w:tcPr>
            <w:tcW w:type="dxa" w:w="4320"/>
          </w:tcPr>
          <w:p>
            <w:r>
              <w:t>Manual_Tecnico_Backend_OPT.docx</w:t>
            </w:r>
          </w:p>
        </w:tc>
        <w:tc>
          <w:tcPr>
            <w:tcW w:type="dxa" w:w="4320"/>
          </w:tcPr>
          <w:p>
            <w:r>
              <w:t>Arquitectura de capas, patrones de código y manejo de errores del backend en general.</w:t>
            </w:r>
          </w:p>
        </w:tc>
      </w:tr>
    </w:tbl>
    <w:p/>
    <w:p>
      <w:pPr>
        <w:pStyle w:val="Heading1"/>
      </w:pPr>
      <w:r>
        <w:t>2. Estado actual — resumen ejecutivo</w:t>
      </w:r>
    </w:p>
    <w:p>
      <w:r>
        <w:t>Checklist de 18 controles de seguridad de API, con criticidad y estado. Base 2026-09-15; actualizado el mismo día tras implementar autorización por rol y por sucursal (controles 3 y 4 — ver secciones 3.12/3.13).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Control</w:t>
            </w:r>
          </w:p>
        </w:tc>
        <w:tc>
          <w:tcPr>
            <w:tcW w:type="dxa" w:w="2160"/>
          </w:tcPr>
          <w:p>
            <w:r>
              <w:rPr>
                <w:b/>
              </w:rPr>
              <w:t>Criticidad</w:t>
            </w:r>
          </w:p>
        </w:tc>
        <w:tc>
          <w:tcPr>
            <w:tcW w:type="dxa" w:w="2160"/>
          </w:tcPr>
          <w:p>
            <w:r>
              <w:rPr>
                <w:b/>
              </w:rPr>
              <w:t>Estado</w:t>
            </w:r>
          </w:p>
        </w:tc>
      </w:tr>
      <w:tr>
        <w:tc>
          <w:tcPr>
            <w:tcW w:type="dxa" w:w="2160"/>
          </w:tcPr>
          <w:p>
            <w:r>
              <w:t>1</w:t>
            </w:r>
          </w:p>
        </w:tc>
        <w:tc>
          <w:tcPr>
            <w:tcW w:type="dxa" w:w="2160"/>
          </w:tcPr>
          <w:p>
            <w:r>
              <w:t>HTTPS / TLS</w:t>
            </w:r>
          </w:p>
        </w:tc>
        <w:tc>
          <w:tcPr>
            <w:tcW w:type="dxa" w:w="2160"/>
          </w:tcPr>
          <w:p>
            <w:r>
              <w:t>Crítica</w:t>
            </w:r>
          </w:p>
        </w:tc>
        <w:tc>
          <w:tcPr>
            <w:tcW w:type="dxa" w:w="2160"/>
          </w:tcPr>
          <w:p>
            <w:r>
              <w:t>Implementado</w:t>
            </w:r>
          </w:p>
        </w:tc>
      </w:tr>
      <w:tr>
        <w:tc>
          <w:tcPr>
            <w:tcW w:type="dxa" w:w="2160"/>
          </w:tcPr>
          <w:p>
            <w:r>
              <w:t>2</w:t>
            </w:r>
          </w:p>
        </w:tc>
        <w:tc>
          <w:tcPr>
            <w:tcW w:type="dxa" w:w="2160"/>
          </w:tcPr>
          <w:p>
            <w:r>
              <w:t>Autenticación</w:t>
            </w:r>
          </w:p>
        </w:tc>
        <w:tc>
          <w:tcPr>
            <w:tcW w:type="dxa" w:w="2160"/>
          </w:tcPr>
          <w:p>
            <w:r>
              <w:t>Crítica</w:t>
            </w:r>
          </w:p>
        </w:tc>
        <w:tc>
          <w:tcPr>
            <w:tcW w:type="dxa" w:w="2160"/>
          </w:tcPr>
          <w:p>
            <w:r>
              <w:t>Implementado</w:t>
            </w:r>
          </w:p>
        </w:tc>
      </w:tr>
      <w:tr>
        <w:tc>
          <w:tcPr>
            <w:tcW w:type="dxa" w:w="2160"/>
          </w:tcPr>
          <w:p>
            <w:r>
              <w:t>3</w:t>
            </w:r>
          </w:p>
        </w:tc>
        <w:tc>
          <w:tcPr>
            <w:tcW w:type="dxa" w:w="2160"/>
          </w:tcPr>
          <w:p>
            <w:r>
              <w:t>Autorización (roles/policies)</w:t>
            </w:r>
          </w:p>
        </w:tc>
        <w:tc>
          <w:tcPr>
            <w:tcW w:type="dxa" w:w="2160"/>
          </w:tcPr>
          <w:p>
            <w:r>
              <w:t>Crítica</w:t>
            </w:r>
          </w:p>
        </w:tc>
        <w:tc>
          <w:tcPr>
            <w:tcW w:type="dxa" w:w="2160"/>
          </w:tcPr>
          <w:p>
            <w:r>
              <w:t>Implementado (2026-09-15)</w:t>
            </w:r>
          </w:p>
        </w:tc>
      </w:tr>
      <w:tr>
        <w:tc>
          <w:tcPr>
            <w:tcW w:type="dxa" w:w="2160"/>
          </w:tcPr>
          <w:p>
            <w:r>
              <w:t>4</w:t>
            </w:r>
          </w:p>
        </w:tc>
        <w:tc>
          <w:tcPr>
            <w:tcW w:type="dxa" w:w="2160"/>
          </w:tcPr>
          <w:p>
            <w:r>
              <w:t>Control de acceso a recursos (BOLA/IDOR)</w:t>
            </w:r>
          </w:p>
        </w:tc>
        <w:tc>
          <w:tcPr>
            <w:tcW w:type="dxa" w:w="2160"/>
          </w:tcPr>
          <w:p>
            <w:r>
              <w:t>Crítica</w:t>
            </w:r>
          </w:p>
        </w:tc>
        <w:tc>
          <w:tcPr>
            <w:tcW w:type="dxa" w:w="2160"/>
          </w:tcPr>
          <w:p>
            <w:r>
              <w:t>Implementado (2026-09-15)</w:t>
            </w:r>
          </w:p>
        </w:tc>
      </w:tr>
      <w:tr>
        <w:tc>
          <w:tcPr>
            <w:tcW w:type="dxa" w:w="2160"/>
          </w:tcPr>
          <w:p>
            <w:r>
              <w:t>5</w:t>
            </w:r>
          </w:p>
        </w:tc>
        <w:tc>
          <w:tcPr>
            <w:tcW w:type="dxa" w:w="2160"/>
          </w:tcPr>
          <w:p>
            <w:r>
              <w:t>SQL Injection</w:t>
            </w:r>
          </w:p>
        </w:tc>
        <w:tc>
          <w:tcPr>
            <w:tcW w:type="dxa" w:w="2160"/>
          </w:tcPr>
          <w:p>
            <w:r>
              <w:t>Crítica</w:t>
            </w:r>
          </w:p>
        </w:tc>
        <w:tc>
          <w:tcPr>
            <w:tcW w:type="dxa" w:w="2160"/>
          </w:tcPr>
          <w:p>
            <w:r>
              <w:t>Implementado</w:t>
            </w:r>
          </w:p>
        </w:tc>
      </w:tr>
      <w:tr>
        <w:tc>
          <w:tcPr>
            <w:tcW w:type="dxa" w:w="2160"/>
          </w:tcPr>
          <w:p>
            <w:r>
              <w:t>6</w:t>
            </w:r>
          </w:p>
        </w:tc>
        <w:tc>
          <w:tcPr>
            <w:tcW w:type="dxa" w:w="2160"/>
          </w:tcPr>
          <w:p>
            <w:r>
              <w:t>Validación de entrada</w:t>
            </w:r>
          </w:p>
        </w:tc>
        <w:tc>
          <w:tcPr>
            <w:tcW w:type="dxa" w:w="2160"/>
          </w:tcPr>
          <w:p>
            <w:r>
              <w:t>Crítica</w:t>
            </w:r>
          </w:p>
        </w:tc>
        <w:tc>
          <w:tcPr>
            <w:tcW w:type="dxa" w:w="2160"/>
          </w:tcPr>
          <w:p>
            <w:r>
              <w:t>Implementado</w:t>
            </w:r>
          </w:p>
        </w:tc>
      </w:tr>
      <w:tr>
        <w:tc>
          <w:tcPr>
            <w:tcW w:type="dxa" w:w="2160"/>
          </w:tcPr>
          <w:p>
            <w:r>
              <w:t>7</w:t>
            </w:r>
          </w:p>
        </w:tc>
        <w:tc>
          <w:tcPr>
            <w:tcW w:type="dxa" w:w="2160"/>
          </w:tcPr>
          <w:p>
            <w:r>
              <w:t>Protección de contraseñas</w:t>
            </w:r>
          </w:p>
        </w:tc>
        <w:tc>
          <w:tcPr>
            <w:tcW w:type="dxa" w:w="2160"/>
          </w:tcPr>
          <w:p>
            <w:r>
              <w:t>Crítica</w:t>
            </w:r>
          </w:p>
        </w:tc>
        <w:tc>
          <w:tcPr>
            <w:tcW w:type="dxa" w:w="2160"/>
          </w:tcPr>
          <w:p>
            <w:r>
              <w:t>Implementado</w:t>
            </w:r>
          </w:p>
        </w:tc>
      </w:tr>
      <w:tr>
        <w:tc>
          <w:tcPr>
            <w:tcW w:type="dxa" w:w="2160"/>
          </w:tcPr>
          <w:p>
            <w:r>
              <w:t>8</w:t>
            </w:r>
          </w:p>
        </w:tc>
        <w:tc>
          <w:tcPr>
            <w:tcW w:type="dxa" w:w="2160"/>
          </w:tcPr>
          <w:p>
            <w:r>
              <w:t>Gestión de secretos</w:t>
            </w:r>
          </w:p>
        </w:tc>
        <w:tc>
          <w:tcPr>
            <w:tcW w:type="dxa" w:w="2160"/>
          </w:tcPr>
          <w:p>
            <w:r>
              <w:t>Crítica</w:t>
            </w:r>
          </w:p>
        </w:tc>
        <w:tc>
          <w:tcPr>
            <w:tcW w:type="dxa" w:w="2160"/>
          </w:tcPr>
          <w:p>
            <w:r>
              <w:t>Implementado</w:t>
            </w:r>
          </w:p>
        </w:tc>
      </w:tr>
      <w:tr>
        <w:tc>
          <w:tcPr>
            <w:tcW w:type="dxa" w:w="2160"/>
          </w:tcPr>
          <w:p>
            <w:r>
              <w:t>9</w:t>
            </w:r>
          </w:p>
        </w:tc>
        <w:tc>
          <w:tcPr>
            <w:tcW w:type="dxa" w:w="2160"/>
          </w:tcPr>
          <w:p>
            <w:r>
              <w:t>Manejo global de excepciones</w:t>
            </w:r>
          </w:p>
        </w:tc>
        <w:tc>
          <w:tcPr>
            <w:tcW w:type="dxa" w:w="2160"/>
          </w:tcPr>
          <w:p>
            <w:r>
              <w:t>Alta</w:t>
            </w:r>
          </w:p>
        </w:tc>
        <w:tc>
          <w:tcPr>
            <w:tcW w:type="dxa" w:w="2160"/>
          </w:tcPr>
          <w:p>
            <w:r>
              <w:t>Implementado</w:t>
            </w:r>
          </w:p>
        </w:tc>
      </w:tr>
      <w:tr>
        <w:tc>
          <w:tcPr>
            <w:tcW w:type="dxa" w:w="2160"/>
          </w:tcPr>
          <w:p>
            <w:r>
              <w:t>10</w:t>
            </w:r>
          </w:p>
        </w:tc>
        <w:tc>
          <w:tcPr>
            <w:tcW w:type="dxa" w:w="2160"/>
          </w:tcPr>
          <w:p>
            <w:r>
              <w:t>CORS</w:t>
            </w:r>
          </w:p>
        </w:tc>
        <w:tc>
          <w:tcPr>
            <w:tcW w:type="dxa" w:w="2160"/>
          </w:tcPr>
          <w:p>
            <w:r>
              <w:t>Alta</w:t>
            </w:r>
          </w:p>
        </w:tc>
        <w:tc>
          <w:tcPr>
            <w:tcW w:type="dxa" w:w="2160"/>
          </w:tcPr>
          <w:p>
            <w:r>
              <w:t>Implementado</w:t>
            </w:r>
          </w:p>
        </w:tc>
      </w:tr>
      <w:tr>
        <w:tc>
          <w:tcPr>
            <w:tcW w:type="dxa" w:w="2160"/>
          </w:tcPr>
          <w:p>
            <w:r>
              <w:t>11</w:t>
            </w:r>
          </w:p>
        </w:tc>
        <w:tc>
          <w:tcPr>
            <w:tcW w:type="dxa" w:w="2160"/>
          </w:tcPr>
          <w:p>
            <w:r>
              <w:t>Rate Limiting</w:t>
            </w:r>
          </w:p>
        </w:tc>
        <w:tc>
          <w:tcPr>
            <w:tcW w:type="dxa" w:w="2160"/>
          </w:tcPr>
          <w:p>
            <w:r>
              <w:t>Alta</w:t>
            </w:r>
          </w:p>
        </w:tc>
        <w:tc>
          <w:tcPr>
            <w:tcW w:type="dxa" w:w="2160"/>
          </w:tcPr>
          <w:p>
            <w:r>
              <w:t>No existe</w:t>
            </w:r>
          </w:p>
        </w:tc>
      </w:tr>
      <w:tr>
        <w:tc>
          <w:tcPr>
            <w:tcW w:type="dxa" w:w="2160"/>
          </w:tcPr>
          <w:p>
            <w:r>
              <w:t>12</w:t>
            </w:r>
          </w:p>
        </w:tc>
        <w:tc>
          <w:tcPr>
            <w:tcW w:type="dxa" w:w="2160"/>
          </w:tcPr>
          <w:p>
            <w:r>
              <w:t>Protección de JWT / Refresh Tokens</w:t>
            </w:r>
          </w:p>
        </w:tc>
        <w:tc>
          <w:tcPr>
            <w:tcW w:type="dxa" w:w="2160"/>
          </w:tcPr>
          <w:p>
            <w:r>
              <w:t>Alta</w:t>
            </w:r>
          </w:p>
        </w:tc>
        <w:tc>
          <w:tcPr>
            <w:tcW w:type="dxa" w:w="2160"/>
          </w:tcPr>
          <w:p>
            <w:r>
              <w:t>No existe</w:t>
            </w:r>
          </w:p>
        </w:tc>
      </w:tr>
      <w:tr>
        <w:tc>
          <w:tcPr>
            <w:tcW w:type="dxa" w:w="2160"/>
          </w:tcPr>
          <w:p>
            <w:r>
              <w:t>13</w:t>
            </w:r>
          </w:p>
        </w:tc>
        <w:tc>
          <w:tcPr>
            <w:tcW w:type="dxa" w:w="2160"/>
          </w:tcPr>
          <w:p>
            <w:r>
              <w:t>Security Headers</w:t>
            </w:r>
          </w:p>
        </w:tc>
        <w:tc>
          <w:tcPr>
            <w:tcW w:type="dxa" w:w="2160"/>
          </w:tcPr>
          <w:p>
            <w:r>
              <w:t>Alta</w:t>
            </w:r>
          </w:p>
        </w:tc>
        <w:tc>
          <w:tcPr>
            <w:tcW w:type="dxa" w:w="2160"/>
          </w:tcPr>
          <w:p>
            <w:r>
              <w:t>No existe</w:t>
            </w:r>
          </w:p>
        </w:tc>
      </w:tr>
      <w:tr>
        <w:tc>
          <w:tcPr>
            <w:tcW w:type="dxa" w:w="2160"/>
          </w:tcPr>
          <w:p>
            <w:r>
              <w:t>14</w:t>
            </w:r>
          </w:p>
        </w:tc>
        <w:tc>
          <w:tcPr>
            <w:tcW w:type="dxa" w:w="2160"/>
          </w:tcPr>
          <w:p>
            <w:r>
              <w:t>Logging y auditoría</w:t>
            </w:r>
          </w:p>
        </w:tc>
        <w:tc>
          <w:tcPr>
            <w:tcW w:type="dxa" w:w="2160"/>
          </w:tcPr>
          <w:p>
            <w:r>
              <w:t>Alta</w:t>
            </w:r>
          </w:p>
        </w:tc>
        <w:tc>
          <w:tcPr>
            <w:tcW w:type="dxa" w:w="2160"/>
          </w:tcPr>
          <w:p>
            <w:r>
              <w:t>Parcial — auditoría de datos sí, eventos de seguridad no</w:t>
            </w:r>
          </w:p>
        </w:tc>
      </w:tr>
      <w:tr>
        <w:tc>
          <w:tcPr>
            <w:tcW w:type="dxa" w:w="2160"/>
          </w:tcPr>
          <w:p>
            <w:r>
              <w:t>15</w:t>
            </w:r>
          </w:p>
        </w:tc>
        <w:tc>
          <w:tcPr>
            <w:tcW w:type="dxa" w:w="2160"/>
          </w:tcPr>
          <w:p>
            <w:r>
              <w:t>DTOs / evitar Mass Assignment</w:t>
            </w:r>
          </w:p>
        </w:tc>
        <w:tc>
          <w:tcPr>
            <w:tcW w:type="dxa" w:w="2160"/>
          </w:tcPr>
          <w:p>
            <w:r>
              <w:t>Media</w:t>
            </w:r>
          </w:p>
        </w:tc>
        <w:tc>
          <w:tcPr>
            <w:tcW w:type="dxa" w:w="2160"/>
          </w:tcPr>
          <w:p>
            <w:r>
              <w:t>Implementado</w:t>
            </w:r>
          </w:p>
        </w:tc>
      </w:tr>
      <w:tr>
        <w:tc>
          <w:tcPr>
            <w:tcW w:type="dxa" w:w="2160"/>
          </w:tcPr>
          <w:p>
            <w:r>
              <w:t>16</w:t>
            </w:r>
          </w:p>
        </w:tc>
        <w:tc>
          <w:tcPr>
            <w:tcW w:type="dxa" w:w="2160"/>
          </w:tcPr>
          <w:p>
            <w:r>
              <w:t>Control de tamaño de requests</w:t>
            </w:r>
          </w:p>
        </w:tc>
        <w:tc>
          <w:tcPr>
            <w:tcW w:type="dxa" w:w="2160"/>
          </w:tcPr>
          <w:p>
            <w:r>
              <w:t>Media</w:t>
            </w:r>
          </w:p>
        </w:tc>
        <w:tc>
          <w:tcPr>
            <w:tcW w:type="dxa" w:w="2160"/>
          </w:tcPr>
          <w:p>
            <w:r>
              <w:t>No existe</w:t>
            </w:r>
          </w:p>
        </w:tc>
      </w:tr>
      <w:tr>
        <w:tc>
          <w:tcPr>
            <w:tcW w:type="dxa" w:w="2160"/>
          </w:tcPr>
          <w:p>
            <w:r>
              <w:t>17</w:t>
            </w:r>
          </w:p>
        </w:tc>
        <w:tc>
          <w:tcPr>
            <w:tcW w:type="dxa" w:w="2160"/>
          </w:tcPr>
          <w:p>
            <w:r>
              <w:t>Versionamiento de API</w:t>
            </w:r>
          </w:p>
        </w:tc>
        <w:tc>
          <w:tcPr>
            <w:tcW w:type="dxa" w:w="2160"/>
          </w:tcPr>
          <w:p>
            <w:r>
              <w:t>Media</w:t>
            </w:r>
          </w:p>
        </w:tc>
        <w:tc>
          <w:tcPr>
            <w:tcW w:type="dxa" w:w="2160"/>
          </w:tcPr>
          <w:p>
            <w:r>
              <w:t>No existe</w:t>
            </w:r>
          </w:p>
        </w:tc>
      </w:tr>
      <w:tr>
        <w:tc>
          <w:tcPr>
            <w:tcW w:type="dxa" w:w="2160"/>
          </w:tcPr>
          <w:p>
            <w:r>
              <w:t>18</w:t>
            </w:r>
          </w:p>
        </w:tc>
        <w:tc>
          <w:tcPr>
            <w:tcW w:type="dxa" w:w="2160"/>
          </w:tcPr>
          <w:p>
            <w:r>
              <w:t>Health Checks</w:t>
            </w:r>
          </w:p>
        </w:tc>
        <w:tc>
          <w:tcPr>
            <w:tcW w:type="dxa" w:w="2160"/>
          </w:tcPr>
          <w:p>
            <w:r>
              <w:t>Complementaria</w:t>
            </w:r>
          </w:p>
        </w:tc>
        <w:tc>
          <w:tcPr>
            <w:tcW w:type="dxa" w:w="2160"/>
          </w:tcPr>
          <w:p>
            <w:r>
              <w:t>No existe</w:t>
            </w:r>
          </w:p>
        </w:tc>
      </w:tr>
    </w:tbl>
    <w:p/>
    <w:p>
      <w:pPr>
        <w:pStyle w:val="Heading1"/>
      </w:pPr>
      <w:r>
        <w:t>3. Controles implementados</w:t>
      </w:r>
    </w:p>
    <w:p>
      <w:pPr>
        <w:pStyle w:val="Heading2"/>
      </w:pPr>
      <w:r>
        <w:t>3.1 HTTPS / TLS</w:t>
      </w:r>
    </w:p>
    <w:p>
      <w:r>
        <w:t>OPT.API/Program.cs invoca app.UseHttpsRedirection(), forzando la redirección de HTTP a HTTPS en toda la API.</w:t>
      </w:r>
    </w:p>
    <w:p>
      <w:pPr>
        <w:pStyle w:val="Heading2"/>
      </w:pPr>
      <w:r>
        <w:t>3.2 Autenticación (JWT)</w:t>
      </w:r>
    </w:p>
    <w:p>
      <w:r>
        <w:t>OPT.Infrastructure/Identity/TokenService.cs genera el token con algoritmo HMAC-SHA256 (SecurityAlgorithms.HmacSha256), expiración configurable vía Jwt:ExpiresMinutes (480 minutos por defecto) y claims sub, rut, nombre, rolId, sucursalId, jti. La clave de firma se lee desde IConfiguration["Jwt:Key"], nunca hardcodeada en el código. La validación del token (issuer, audience, lifetime, signing key) está registrada en OPT.Infrastructure/DependencyInjection.cs. El login (OPT.Application/Features/Auth/Commands/Login) delega en AuthController.cs sin try/catch propio — las excepciones las traduce el middleware central.</w:t>
      </w:r>
    </w:p>
    <w:p>
      <w:pPr>
        <w:pStyle w:val="Heading2"/>
      </w:pPr>
      <w:r>
        <w:t>3.3 Protección de contraseñas</w:t>
      </w:r>
    </w:p>
    <w:p>
      <w:r>
        <w:t>OPT.Infrastructure/Identity/PasswordService.cs usa BCrypt con work factor 12 para hashear y verificar contraseñas. Nunca se compara ni se almacena texto plano, y el sistema nunca reenvía la contraseña original por correo — corrige un comportamiento del legacy que sí lo hacía.</w:t>
      </w:r>
    </w:p>
    <w:p>
      <w:pPr>
        <w:pStyle w:val="Heading2"/>
      </w:pPr>
      <w:r>
        <w:t>3.4 Validación de entrada</w:t>
      </w:r>
    </w:p>
    <w:p>
      <w:r>
        <w:t>OPT.Application/DependencyInjection.cs registra FluentValidation vía AddValidatorsFromAssembly y ValidationBehaviour&lt;TRequest, TResponse&gt; como IPipelineBehavior del pipeline de MediatR: todo Command o Query se valida antes de llegar a su handler, sin que el controller o el handler tengan que invocarlo explícitamente.</w:t>
      </w:r>
    </w:p>
    <w:p>
      <w:pPr>
        <w:pStyle w:val="Heading2"/>
      </w:pPr>
      <w:r>
        <w:t>3.5 Gestión de secretos</w:t>
      </w:r>
    </w:p>
    <w:p>
      <w:r>
        <w:t>appsettings.json y appsettings.Development.json no contienen credenciales reales: Jwt:Key vacío en ambos, y la cadena de conexión usa Trusted_Connection contra localhost en desarrollo (sin usuario/clave) o queda vacía. Los valores reales se configuran vía dotnet user-secrets en desarrollo y deben configurarse vía variables de entorno o un gestor de secretos (Key Vault u equivalente) en producción — este último punto no está verificado en este repositorio porque depende del entorno de despliegue.</w:t>
      </w:r>
    </w:p>
    <w:p>
      <w:pPr>
        <w:pStyle w:val="Heading2"/>
      </w:pPr>
      <w:r>
        <w:t>3.6 Manejo global de excepciones</w:t>
      </w:r>
    </w:p>
    <w:p>
      <w:r>
        <w:t>OPT.API/Middleware/ExceptionHandlingMiddleware.cs es el único punto de manejo de excepciones del backend — ningún controller usa try/catch. Los errores no controlados (500) devuelven un ProblemDetails genérico ("Error interno del servidor") sin exponer stack trace ni el mensaje interno de la excepción; el detalle completo se registra solo en el logger del servidor. DomainException, NotFoundException y ValidationException se traducen a 422/404/400 respectivamente, con mensajes pensados para el usuario final.</w:t>
      </w:r>
    </w:p>
    <w:p>
      <w:pPr>
        <w:pStyle w:val="Heading2"/>
      </w:pPr>
      <w:r>
        <w:t>3.7 CORS</w:t>
      </w:r>
    </w:p>
    <w:p>
      <w:r>
        <w:t>Configurado en OPT.API/Program.cs con orígenes leídos desde configuración (Cors:Origins) — vacío en producción por defecto, http://localhost:4200 en desarrollo. Permite cualquier header y método (AllowAnyHeader/AllowAnyMethod) pero no habilita AllowCredentials, lo que limita el uso de cookies de sesión cross-origin.</w:t>
      </w:r>
    </w:p>
    <w:p>
      <w:pPr>
        <w:pStyle w:val="Heading2"/>
      </w:pPr>
      <w:r>
        <w:t>3.8 SQL Injection</w:t>
      </w:r>
    </w:p>
    <w:p>
      <w:r>
        <w:t>Todo el acceso a datos vía Entity Framework Core (OPT.Infrastructure/Persistence/Repositories) usa LINQ — no se encontró ningún uso de FromSqlRaw ni ExecuteSqlRaw con concatenación de strings en el backend. OPT.Migracion (herramienta de consola standalone, fuera de la arquitectura en capas — ADR 0005) usa Dapper con SQL directo, y todas sus consultas en LegacyRepositorio.cs / DestinoRepositorio.cs parametrizan correctamente con @param. La única excepción es DestinoRepositorio.cs (método ContarFilasAsync), que interpola el nombre de tabla en el SQL porque un identificador de tabla no se puede parametrizar vía Dapper; el valor viene de un arreglo hardcodeado en OPT.Migracion/Program.cs, no de input de usuario, y la herramienta no se expone vía API — riesgo real bajo, pero es un patrón frágil si se reutiliza ese método en otro contexto.</w:t>
      </w:r>
    </w:p>
    <w:p>
      <w:pPr>
        <w:pStyle w:val="Heading2"/>
      </w:pPr>
      <w:r>
        <w:t>3.9 DTOs / prevención de Mass Assignment</w:t>
      </w:r>
    </w:p>
    <w:p>
      <w:r>
        <w:t>Los Commands y Queries de MediatR (p. ej. CrearOrdenDeTrabajoCommand, LoginCommand) son records independientes de las entidades de dominio, con propiedades explícitas — nunca se bindea una request HTTP directo a una entidad de OPT.Domain. El mapeo de Command a entidad lo hace el handler de forma explícita, así que un campo adicional en el JSON de la request no puede sobrescribir un atributo no expuesto de la entidad.</w:t>
      </w:r>
    </w:p>
    <w:p>
      <w:pPr>
        <w:pStyle w:val="Heading2"/>
      </w:pPr>
      <w:r>
        <w:t>3.10 Auditoría de datos</w:t>
      </w:r>
    </w:p>
    <w:p>
      <w:r>
        <w:t>OPT.Infrastructure/Persistence/Interceptors/AuditInterceptor.cs rellena automáticamente CreadoEn/CreadoPor en el alta y ModificadoEn/ModificadoPor en cada modificación, usando el UsuarioId resuelto por ICurrentUserService desde el JWT — no se puede falsificar el autor de un cambio enviándolo en el body de la request.</w:t>
      </w:r>
    </w:p>
    <w:p>
      <w:pPr>
        <w:pStyle w:val="Heading2"/>
      </w:pPr>
      <w:r>
        <w:t>3.11 Identificador público no enumerable (mitigación de BOLA/IDOR)</w:t>
      </w:r>
    </w:p>
    <w:p>
      <w:r>
        <w:t>Cliente, Empresa, Usuario, Anamnesis, RecetaCristales y OrdenDeTrabajo exponen un PublicId (Guid) en toda ruta de API y DTO, en vez del Id interno secuencial (int IDENTITY) que sigue siendo la clave primaria y foránea internamente. Esto evita que un atacante pueda enumerar clientes o recetas probando ids consecutivos — pero no reemplaza un control de autorización: un PublicId válido de otra sucursal u otra empresa igual es aceptado hoy por los endpoints (ver sección 4.2).</w:t>
      </w:r>
    </w:p>
    <w:p>
      <w:pPr>
        <w:pStyle w:val="Heading2"/>
      </w:pPr>
      <w:r>
        <w:t>3.12 Autorización granular por rol (resuelto 2026-09-15)</w:t>
      </w:r>
    </w:p>
    <w:p>
      <w:pPr/>
      <w:r>
        <w:t>Atributo propio AutorizarRolesAttribute (OPT.API/Authorization/) lee el claim numérico rolId del JWT y restringe la acción o el controller a una lista de roles permitidos — se eligió sobre [Authorize(Roles=...)] porque ese mecanismo compara contra ClaimTypes.Role, que este JWT no emite. Los 8 roles reales de OPT_Rol y los grupos de acceso por módulo viven en OPT.Domain/Common/RolesOPT.cs (Administrador=1, Supervisor=2, Operador=3, Jefe Sucursal=4, Vendedor=5, Técnico Médico=6, Control Calidad=7, Externo=8). El legacy no tenía ningún control de rol a nivel de servidor (solo ocultaba ítems de menú en _ParcialMenu.cshtml) — el mapeo rol→acción es diseño nuevo de esta sesión: UsuariosController queda exclusivo de Administrador; SucursalesController/EmpresasController acotan sus escrituras a Administrador/Supervisor; Clientes/Anamnesis/RecetaCristalesController (datos clínicos, ADR 0004) se abren al personal que atiende o vende, sin Control Calidad ni Externo; OrdenesDeTrabajoController aplica el atributo por acción (Anular y AnularCuota, de mayor impacto financiero, quedan reservados a Administrador/Supervisor/Jefe Sucursal; CambiarEstado suma Control Calidad para la etapa CALIDAD del flujo); CobranzaController queda reservado a supervisión. Los catálogos de solo lectura (Roles, Regiones, Comunas, EstadosOT, FormasPago, EstadosCuota, Productos) no llevan restricción de rol.</w:t>
      </w:r>
      <w:r>
        <w:t xml:space="preserve"> ACTUALIZACIÓN (2026-09-22): OperacionComercialConCalidad (usado por OrdenesDeTrabajoController.ObtenerTodos/ObtenerPorId/CambiarEstado y OperativosController.ObtenerTodos/ObtenerPorId) sumó Técnico Médico — antes solo Administrador/Supervisor/Jefe Sucursal/Vendedor/Operador/Control Calidad — porque el submenú Recepción del módulo Operativo (HU-OP-08) le exige poder avanzar el estado de una OT en terreno. Mismo grupo existente, sin crear uno nuevo. Ver .agents/context/seguridad-apis.md.</w:t>
      </w:r>
    </w:p>
    <w:p>
      <w:pPr>
        <w:pStyle w:val="Heading2"/>
      </w:pPr>
      <w:r>
        <w:t>3.13 Control de acceso a recursos por sucursal — BOLA (resuelto 2026-09-15)</w:t>
      </w:r>
    </w:p>
    <w:p>
      <w:pPr/>
      <w:r>
        <w:t>El helper AutorizacionSucursal.ValidarAcceso(currentUser, sucursalId) (OPT.Application/Common/Security/) se invoca desde todos los handlers de OrdenesDeTrabajo que cargan o crean una OT (Crear, Actualizar, CambiarEstado, Anular, RegistrarAbono, RegistrarPago, GenerarPlanCuotas, PagarCuota, AnularCuota, ObtenerPorId): lanza la excepción nueva ForbiddenAccessException (mapeada a HTTP 403 en ExceptionHandlingMiddleware) si la OT no pertenece a la sucursal activa del usuario (claim sucursalId) ni a ninguna de sus sucursales asignadas vía UsuarioSucursal (claim nuevo sucursales, agregado en TokenService como lista separada por comas). Administrador tiene alcance nacional (RolesOPT.AccesoTotalSucursales) y no pasa por esta validación. El listado paginado (ObtenerOrdenesDeTrabajoQuery) aplica la misma regla: si el usuario no tiene alcance nacional y no filtra por sucursal, la consulta se acota de oficio a su sucursal activa en vez de devolver órdenes de todas las sucursales. Las demás tablas con SucursalId propio (UsuarioSucursal, EmpresaSucursal, ProductoSucursal) no requirieron este control: son relaciones sin listado propio, ya cubiertas por la restricción de rol de su controller padre.</w:t>
      </w:r>
    </w:p>
    <w:p>
      <w:pPr>
        <w:pStyle w:val="Heading1"/>
      </w:pPr>
      <w:r>
        <w:t>4. Brechas identificadas</w:t>
      </w:r>
    </w:p>
    <w:p>
      <w:pPr>
        <w:pStyle w:val="Heading2"/>
      </w:pPr>
      <w:r>
        <w:t>4.1 Autorización granular por rol (RESUELTO — ver sección 3.12)</w:t>
      </w:r>
    </w:p>
    <w:p>
      <w:r>
        <w:t>RESUELTO en la sesión 2026-09-15 — ver sección 3.12 para el mecanismo implementado (AutorizarRolesAttribute sobre el claim rolId).</w:t>
      </w:r>
    </w:p>
    <w:p>
      <w:pPr>
        <w:pStyle w:val="Heading2"/>
      </w:pPr>
      <w:r>
        <w:t>4.2 Control de acceso a recursos por sucursal (BOLA) (RESUELTO — ver sección 3.13)</w:t>
      </w:r>
    </w:p>
    <w:p>
      <w:r>
        <w:t>RESUELTO en la sesión 2026-09-15 — ver sección 3.13 para el mecanismo implementado (AutorizacionSucursal.ValidarAcceso).</w:t>
      </w:r>
    </w:p>
    <w:p>
      <w:pPr>
        <w:pStyle w:val="Heading2"/>
      </w:pPr>
      <w:r>
        <w:t>4.3 Rate limiting</w:t>
      </w:r>
    </w:p>
    <w:p>
      <w:r>
        <w:t>No se encontró AddRateLimiter ni ningún middleware de throttling en el backend. El endpoint de login no tiene ninguna protección contra ataques de fuerza bruta o credential stuffing — se pueden intentar contraseñas sin límite de intentos ni de frecuencia.</w:t>
      </w:r>
    </w:p>
    <w:p>
      <w:pPr>
        <w:pStyle w:val="Heading2"/>
      </w:pPr>
      <w:r>
        <w:t>4.4 Protección avanzada de JWT</w:t>
      </w:r>
    </w:p>
    <w:p>
      <w:r>
        <w:t>TokenService.cs solo implementa GenerarToken. No existe refresh token, mecanismo de revocación ni blacklist de tokens: un JWT emitido es válido durante toda su ventana de 480 minutos sin forma de invalidarlo antes (por ejemplo, ante un cambio de contraseña, desactivación de usuario o sospecha de robo del token).</w:t>
      </w:r>
    </w:p>
    <w:p>
      <w:pPr>
        <w:pStyle w:val="Heading2"/>
      </w:pPr>
      <w:r>
        <w:t>4.5 Security headers HTTP</w:t>
      </w:r>
    </w:p>
    <w:p>
      <w:r>
        <w:t>Program.cs no configura UseHsts() ni ningún middleware de headers de seguridad — faltan Strict-Transport-Security (más allá de la redirección HTTPS), X-Content-Type-Options, X-Frame-Options y una política CSP, aunque su impacto es menor al tratarse de una API JSON consumida por un frontend propio, no de páginas HTML servidas directamente.</w:t>
      </w:r>
    </w:p>
    <w:p>
      <w:pPr>
        <w:pStyle w:val="Heading2"/>
      </w:pPr>
      <w:r>
        <w:t>4.6 Logging de eventos de seguridad</w:t>
      </w:r>
    </w:p>
    <w:p>
      <w:r>
        <w:t>El backend no usa Serilog ni ningún logger estructurado adicional — se apoya en el ILogger por defecto de ASP.NET Core. LoginCommandHandler no registra intentos de login fallidos, y no se encontró logging de cambios de rol o permisos. Esto limita la capacidad de detectar o investigar un ataque después del hecho.</w:t>
      </w:r>
    </w:p>
    <w:p>
      <w:pPr>
        <w:pStyle w:val="Heading2"/>
      </w:pPr>
      <w:r>
        <w:t>4.7 Puntos de robustez operacional (menor urgencia de seguridad)</w:t>
      </w:r>
    </w:p>
    <w:p>
      <w:pPr>
        <w:pStyle w:val="ListBullet"/>
      </w:pPr>
      <w:r>
        <w:t>Control de tamaño de requests: sin MaxRequestBodySize ni configuración de Kestrel/FormOptions en Program.cs.</w:t>
      </w:r>
    </w:p>
    <w:p>
      <w:pPr>
        <w:pStyle w:val="ListBullet"/>
      </w:pPr>
      <w:r>
        <w:t>Versionamiento de API: sin Microsoft.AspNetCore.Mvc.Versioning ni rutas /v1/ en ningún controller.</w:t>
      </w:r>
    </w:p>
    <w:p>
      <w:pPr>
        <w:pStyle w:val="ListBullet"/>
      </w:pPr>
      <w:r>
        <w:t>Health Checks: sin AddHealthChecks() ni MapHealthChecks() en Program.cs.</w:t>
      </w:r>
    </w:p>
    <w:p>
      <w:pPr>
        <w:pStyle w:val="Heading1"/>
      </w:pPr>
      <w:r>
        <w:t>5. Plan de implementación</w:t>
      </w:r>
    </w:p>
    <w:p>
      <w:r>
        <w:t>Secuencia decidida con el equipo el 2026-09-15, priorizando primero lo que afecta el diseño de endpoints (porque cada módulo nuevo construido sin esos controles aumenta el costo de corregirlo después) y dejando para el final el middleware transversal puro, que se agrega una sola vez sin tocar lógica de negocio.</w:t>
      </w:r>
    </w:p>
    <w:p>
      <w:pPr>
        <w:pStyle w:val="Heading2"/>
      </w:pPr>
      <w:r>
        <w:t>5.1 Ahora (RESUELTO 2026-09-15)</w:t>
      </w:r>
    </w:p>
    <w:tbl>
      <w:tblPr>
        <w:tblStyle w:val="TableGrid"/>
        <w:tblW w:type="auto" w:w="0"/>
        <w:tblLook w:firstColumn="1" w:firstRow="1" w:lastColumn="0" w:lastRow="0" w:noHBand="0" w:noVBand="1" w:val="04A0"/>
      </w:tblPr>
      <w:tblGrid>
        <w:gridCol w:w="4320"/>
        <w:gridCol w:w="4320"/>
      </w:tblGrid>
      <w:tr>
        <w:tc>
          <w:tcPr>
            <w:tcW w:type="dxa" w:w="4320"/>
          </w:tcPr>
          <w:p>
            <w:r>
              <w:rPr>
                <w:b/>
              </w:rPr>
              <w:t>Control</w:t>
            </w:r>
          </w:p>
        </w:tc>
        <w:tc>
          <w:tcPr>
            <w:tcW w:type="dxa" w:w="4320"/>
          </w:tcPr>
          <w:p>
            <w:r>
              <w:rPr>
                <w:b/>
              </w:rPr>
              <w:t>Motivo</w:t>
            </w:r>
          </w:p>
        </w:tc>
      </w:tr>
      <w:tr>
        <w:tc>
          <w:tcPr>
            <w:tcW w:type="dxa" w:w="4320"/>
          </w:tcPr>
          <w:p>
            <w:r>
              <w:t>Autorización por rol ([Authorize(Roles=...)] o policies)</w:t>
            </w:r>
          </w:p>
        </w:tc>
        <w:tc>
          <w:tcPr>
            <w:tcW w:type="dxa" w:w="4320"/>
          </w:tcPr>
          <w:p>
            <w:r>
              <w:t>El claim rolId ya está en el JWT; agregarlo después de tener más endpoints implica revisar todos, no solo los nuevos.</w:t>
            </w:r>
          </w:p>
        </w:tc>
      </w:tr>
      <w:tr>
        <w:tc>
          <w:tcPr>
            <w:tcW w:type="dxa" w:w="4320"/>
          </w:tcPr>
          <w:p>
            <w:r>
              <w:t>Autorización por sucursal en OrdenesDeTrabajoController y afines</w:t>
            </w:r>
          </w:p>
        </w:tc>
        <w:tc>
          <w:tcPr>
            <w:tcW w:type="dxa" w:w="4320"/>
          </w:tcPr>
          <w:p>
            <w:r>
              <w:t>Es la brecha de control de acceso más concreta hoy — un usuario puede operar recursos de otra sucursal. Ya señalada en el ADR 0004.</w:t>
            </w:r>
          </w:p>
        </w:tc>
      </w:tr>
    </w:tbl>
    <w:p>
      <w:r>
        <w:t>Ambos puntos —autorización por rol y control de acceso por sucursal (BOLA)— se implementaron en la sesión 2026-09-15 (ver secciones 3.12 y 3.13). La tabla siguiente documenta la decisión original de priorizarlos ahora, no un pendiente vigente.</w:t>
      </w:r>
    </w:p>
    <w:p>
      <w:pPr>
        <w:pStyle w:val="Heading2"/>
      </w:pPr>
      <w:r>
        <w:t>5.2 Antes de producción — pasada final</w:t>
      </w:r>
    </w:p>
    <w:tbl>
      <w:tblPr>
        <w:tblStyle w:val="TableGrid"/>
        <w:tblW w:type="auto" w:w="0"/>
        <w:tblLook w:firstColumn="1" w:firstRow="1" w:lastColumn="0" w:lastRow="0" w:noHBand="0" w:noVBand="1" w:val="04A0"/>
      </w:tblPr>
      <w:tblGrid>
        <w:gridCol w:w="4320"/>
        <w:gridCol w:w="4320"/>
      </w:tblGrid>
      <w:tr>
        <w:tc>
          <w:tcPr>
            <w:tcW w:type="dxa" w:w="4320"/>
          </w:tcPr>
          <w:p>
            <w:r>
              <w:rPr>
                <w:b/>
              </w:rPr>
              <w:t>Control</w:t>
            </w:r>
          </w:p>
        </w:tc>
        <w:tc>
          <w:tcPr>
            <w:tcW w:type="dxa" w:w="4320"/>
          </w:tcPr>
          <w:p>
            <w:r>
              <w:rPr>
                <w:b/>
              </w:rPr>
              <w:t>Motivo</w:t>
            </w:r>
          </w:p>
        </w:tc>
      </w:tr>
      <w:tr>
        <w:tc>
          <w:tcPr>
            <w:tcW w:type="dxa" w:w="4320"/>
          </w:tcPr>
          <w:p>
            <w:r>
              <w:t>Rate limiting en /api/auth/login</w:t>
            </w:r>
          </w:p>
        </w:tc>
        <w:tc>
          <w:tcPr>
            <w:tcW w:type="dxa" w:w="4320"/>
          </w:tcPr>
          <w:p>
            <w:r>
              <w:t>AddRateLimiter es nativo de .NET 8; mitiga fuerza bruta sin cambios de diseño.</w:t>
            </w:r>
          </w:p>
        </w:tc>
      </w:tr>
      <w:tr>
        <w:tc>
          <w:tcPr>
            <w:tcW w:type="dxa" w:w="4320"/>
          </w:tcPr>
          <w:p>
            <w:r>
              <w:t>Security headers (UseHsts, X-Content-Type-Options, CSP básica)</w:t>
            </w:r>
          </w:p>
        </w:tc>
        <w:tc>
          <w:tcPr>
            <w:tcW w:type="dxa" w:w="4320"/>
          </w:tcPr>
          <w:p>
            <w:r>
              <w:t>Configuración de middleware, no requiere cambios en endpoints existentes.</w:t>
            </w:r>
          </w:p>
        </w:tc>
      </w:tr>
      <w:tr>
        <w:tc>
          <w:tcPr>
            <w:tcW w:type="dxa" w:w="4320"/>
          </w:tcPr>
          <w:p>
            <w:r>
              <w:t>Logging de eventos de seguridad (login fallido, cambio de rol)</w:t>
            </w:r>
          </w:p>
        </w:tc>
        <w:tc>
          <w:tcPr>
            <w:tcW w:type="dxa" w:w="4320"/>
          </w:tcPr>
          <w:p>
            <w:r>
              <w:t>Necesario para auditoría/detección antes de operar con datos reales de producción.</w:t>
            </w:r>
          </w:p>
        </w:tc>
      </w:tr>
      <w:tr>
        <w:tc>
          <w:tcPr>
            <w:tcW w:type="dxa" w:w="4320"/>
          </w:tcPr>
          <w:p>
            <w:r>
              <w:t>Refresh tokens o revisión de la ventana de expiración del JWT</w:t>
            </w:r>
          </w:p>
        </w:tc>
        <w:tc>
          <w:tcPr>
            <w:tcW w:type="dxa" w:w="4320"/>
          </w:tcPr>
          <w:p>
            <w:r>
              <w:t>Mitigable mientras tanto acortando Jwt:ExpiresMinutes si preocupa la ventana actual de 480 min.</w:t>
            </w:r>
          </w:p>
        </w:tc>
      </w:tr>
      <w:tr>
        <w:tc>
          <w:tcPr>
            <w:tcW w:type="dxa" w:w="4320"/>
          </w:tcPr>
          <w:p>
            <w:r>
              <w:t>Cumplimiento Ley 21.719 (ver sección 6)</w:t>
            </w:r>
          </w:p>
        </w:tc>
        <w:tc>
          <w:tcPr>
            <w:tcW w:type="dxa" w:w="4320"/>
          </w:tcPr>
          <w:p>
            <w:r>
              <w:t>Plazo regulatorio: 01-12-2026.</w:t>
            </w:r>
          </w:p>
        </w:tc>
      </w:tr>
    </w:tbl>
    <w:p/>
    <w:p>
      <w:pPr>
        <w:pStyle w:val="Heading2"/>
      </w:pPr>
      <w:r>
        <w:t>5.3 Backlog — sin urgencia de seguridad real</w:t>
      </w:r>
    </w:p>
    <w:p>
      <w:pPr>
        <w:pStyle w:val="ListBullet"/>
      </w:pPr>
      <w:r>
        <w:t>Health checks (AddHealthChecks / MapHealthChecks).</w:t>
      </w:r>
    </w:p>
    <w:p>
      <w:pPr>
        <w:pStyle w:val="ListBullet"/>
      </w:pPr>
      <w:r>
        <w:t>Versionamiento de API (rutas /v1/ o Microsoft.AspNetCore.Mvc.Versioning).</w:t>
      </w:r>
    </w:p>
    <w:p>
      <w:pPr>
        <w:pStyle w:val="ListBullet"/>
      </w:pPr>
      <w:r>
        <w:t>Control de tamaño de requests (MaxRequestBodySize / FormOptions).</w:t>
      </w:r>
    </w:p>
    <w:p>
      <w:r>
        <w:t>Estos tres son robustez operacional, no controles de seguridad crítica para el dominio de OPT — se implementan solo si el equipo lo pide explícitamente, para no incurrir en trabajo no solicitado.</w:t>
      </w:r>
    </w:p>
    <w:p>
      <w:pPr>
        <w:pStyle w:val="Heading1"/>
      </w:pPr>
      <w:r>
        <w:t>6. Cumplimiento Ley 21.719 (Protección de Datos Personales)</w:t>
      </w:r>
    </w:p>
    <w:p>
      <w:r>
        <w:t>El sistema maneja datos de salud (RecetaCristales, Anamnesis) y datos personales de clientes, sujetos a la Ley 21.719, vigente desde el 01-12-2026. El ADR 0004 (.agents/decisions/) documenta la decisión de usar PublicId como identificador no enumerable para los recursos con datos personales/sensibles (ver sección 3.11), y deja registrados como pendientes explícitos antes de producción:</w:t>
      </w:r>
    </w:p>
    <w:p>
      <w:pPr>
        <w:pStyle w:val="ListBullet"/>
      </w:pPr>
      <w:r>
        <w:t>Retención y purga real de datos (hoy solo hay borrado lógico vía AuditableEntity).</w:t>
      </w:r>
    </w:p>
    <w:p>
      <w:pPr>
        <w:pStyle w:val="ListBullet"/>
      </w:pPr>
      <w:r>
        <w:t>Consentimiento explícito para el tratamiento de datos de salud.</w:t>
      </w:r>
    </w:p>
    <w:p>
      <w:pPr>
        <w:pStyle w:val="ListBullet"/>
      </w:pPr>
      <w:r>
        <w:t>Designación de Delegado de Protección de Datos (DPO).</w:t>
      </w:r>
    </w:p>
    <w:p>
      <w:pPr>
        <w:pStyle w:val="ListBullet"/>
      </w:pPr>
      <w:r>
        <w:t>Procedimiento de notificación de brechas de seguridad.</w:t>
      </w:r>
    </w:p>
    <w:p>
      <w:pPr>
        <w:pStyle w:val="ListBullet"/>
      </w:pPr>
      <w:r>
        <w:t>Mecanismo de portabilidad de datos a solicitud del titular.</w:t>
      </w:r>
    </w:p>
    <w:p>
      <w:r>
        <w:t>Estos puntos son de alcance legal/organizacional además de técnico — no se resuelven solo con cambios de código, requieren una decisión del equipo/negocio sobre el procedimiento.</w:t>
      </w:r>
    </w:p>
    <w:p>
      <w:pPr>
        <w:pStyle w:val="Heading1"/>
      </w:pPr>
      <w:r>
        <w:t>7. Notas operativas</w:t>
      </w:r>
    </w:p>
    <w:p>
      <w:r>
        <w:t>Ver CLAUDE.md (raíz del repo), tabla de "Gotchas conocidos", para el caso puntual de Jwt:Key vacío en producción (arranca sin error pero todo request devuelve 500 con IDX10703 — key length is zero) si no se exporta ASPNETCORE_ENVIRONMENT=Development en desarrollo local, ya que en Production no se cargan los user-secrets.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