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"/>
      </w:pPr>
    </w:p>
    <w:p>
      <w:pPr>
        <w:spacing w:after="80" w:before="80"/>
      </w:pPr>
    </w:p>
    <w:p>
      <w:pPr>
        <w:spacing w:after="80" w:before="80"/>
      </w:pPr>
    </w:p>
    <w:p>
      <w:pPr>
        <w:spacing w:after="80" w:before="80"/>
      </w:pP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065F46"/>
          <w:sz w:val="56"/>
          <w:szCs w:val="56"/>
        </w:rPr>
        <w:t xml:space="preserve">GymGo SaaS</w:t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047857"/>
          <w:sz w:val="36"/>
          <w:szCs w:val="36"/>
        </w:rPr>
        <w:t xml:space="preserve">Documentación Técnica — Base de Datos</w:t>
      </w:r>
    </w:p>
    <w:p>
      <w:pPr>
        <w:pBdr>
          <w:bottom w:val="single" w:color="065F46" w:sz="8"/>
        </w:pBdr>
        <w:spacing w:after="480" w:before="0"/>
        <w:jc w:val="center"/>
      </w:pPr>
    </w:p>
    <w:p>
      <w:pPr>
        <w:spacing w:after="60" w:before="80"/>
        <w:jc w:val="center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SQL Server  ·  Entity Framework Core 8  ·  Scripts T-SQL</w:t>
      </w:r>
    </w:p>
    <w:p>
      <w:pPr>
        <w:spacing w:after="60" w:before="6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Versión 1.0  ·  Abril 2026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65F46"/>
          <w:sz w:val="36"/>
          <w:szCs w:val="36"/>
        </w:rPr>
        <w:t xml:space="preserve">1. Visión General</w:t>
      </w:r>
    </w:p>
    <w:p>
      <w:pPr>
        <w:spacing w:after="100" w:before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GymGo utiliza SQL Server como motor de base de datos relacional. El esquema es multi-tenant: cada registro de las tablas operacionales contiene un TenantId que lo asocia a un gimnasio específico, garantizando el aislamiento de datos entre clientes.</w:t>
      </w:r>
    </w:p>
    <w:p>
      <w:pPr>
        <w:spacing w:after="100" w:before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El esquema se versiona como scripts T-SQL en el directorio database/sql/ del repositorio. No se utiliza el sistema de migraciones de EF Core — los scripts se aplican manualmente en orden sobre la instancia de SQL Server.</w:t>
      </w:r>
    </w:p>
    <w:p>
      <w:pPr>
        <w:spacing w:after="80" w:before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65F46"/>
          <w:sz w:val="36"/>
          <w:szCs w:val="36"/>
        </w:rPr>
        <w:t xml:space="preserve">2. Convenciones de Diseño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Claves primarias: UNIQUEIDENTIFIER (GUID) con DEFAULT NEWID().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Timestamps de auditoría: CreatedAtUtc y UpdatedAtUtc (DATETIME2, UTC).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Soft delete: IsDeleted BIT NOT NULL DEFAULT 0 + DeletedAtUtc DATETIME2 NULL.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Nombres de tabla: plural en PascalCase (Members, MembershipPlans).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Nombres de columna: PascalCase.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Claves foráneas: {TablaReferenciada}Id.</w:t>
      </w:r>
    </w:p>
    <w:p>
      <w:pPr>
        <w:spacing w:after="80" w:before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65F46"/>
          <w:sz w:val="36"/>
          <w:szCs w:val="36"/>
        </w:rPr>
        <w:t xml:space="preserve">3. Diagrama Lógico de Tablas</w:t>
      </w:r>
    </w:p>
    <w:p>
      <w:pPr>
        <w:spacing w:after="100" w:before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Relaciones entre las 5 tablas principales:</w:t>
      </w:r>
    </w:p>
    <w:p>
      <w:pPr>
        <w:spacing w:after="80" w:before="80"/>
      </w:pPr>
    </w:p>
    <w:p>
      <w:pPr>
        <w:shd w:fill="ECFD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64E3B"/>
          <w:sz w:val="18"/>
          <w:szCs w:val="18"/>
        </w:rPr>
        <w:t xml:space="preserve">Tenants (1) ────&lt; Users (N)</w:t>
      </w:r>
    </w:p>
    <w:p>
      <w:pPr>
        <w:shd w:fill="ECFD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64E3B"/>
          <w:sz w:val="18"/>
          <w:szCs w:val="18"/>
        </w:rPr>
        <w:t xml:space="preserve">Tenants (1) ────&lt; Members (N)</w:t>
      </w:r>
    </w:p>
    <w:p>
      <w:pPr>
        <w:shd w:fill="ECFD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64E3B"/>
          <w:sz w:val="18"/>
          <w:szCs w:val="18"/>
        </w:rPr>
        <w:t xml:space="preserve">Tenants (1) ────&lt; MembershipPlans (N)</w:t>
      </w:r>
    </w:p>
    <w:p>
      <w:pPr>
        <w:shd w:fill="ECFD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64E3B"/>
          <w:sz w:val="18"/>
          <w:szCs w:val="18"/>
        </w:rPr>
        <w:t xml:space="preserve">Members (1) ────&lt; MembershipAssignments (N)</w:t>
      </w:r>
    </w:p>
    <w:p>
      <w:pPr>
        <w:shd w:fill="ECFD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64E3B"/>
          <w:sz w:val="18"/>
          <w:szCs w:val="18"/>
        </w:rPr>
        <w:t xml:space="preserve">MembershipPlans (1) ──&lt; MembershipAssignments (N)</w:t>
      </w:r>
    </w:p>
    <w:p>
      <w:pPr>
        <w:spacing w:after="80" w:before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65F46"/>
          <w:sz w:val="36"/>
          <w:szCs w:val="36"/>
        </w:rPr>
        <w:t xml:space="preserve">4. Esquema de Tablas</w:t>
      </w:r>
    </w:p>
    <w:p>
      <w:pPr>
        <w:pStyle w:val="Heading2"/>
        <w:pBdr>
          <w:bottom w:val="single" w:color="065F46" w:sz="4"/>
        </w:pBdr>
        <w:spacing w:after="100" w:before="280"/>
      </w:pPr>
      <w:r>
        <w:rPr>
          <w:rFonts w:ascii="Arial" w:cs="Arial" w:eastAsia="Arial" w:hAnsi="Arial"/>
          <w:b/>
          <w:bCs/>
          <w:color w:val="065F46"/>
          <w:sz w:val="28"/>
          <w:szCs w:val="28"/>
        </w:rPr>
        <w:t xml:space="preserve">4.1 Tenants</w:t>
      </w:r>
    </w:p>
    <w:p>
      <w:pPr>
        <w:spacing w:after="100" w:before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Registra cada gimnasio (tenant) en la plataforma. Es la tabla raíz de la jerarquía multi-tenant.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900"/>
        <w:gridCol w:w="4660"/>
      </w:tblGrid>
      <w:tr>
        <w:tc>
          <w:tcPr>
            <w:tcW w:type="dxa" w:w="2200"/>
            <w:tcBorders>
              <w:top w:val="single" w:color="065F46" w:sz="1"/>
              <w:left w:val="single" w:color="065F46" w:sz="1"/>
              <w:bottom w:val="single" w:color="065F46" w:sz="1"/>
              <w:right w:val="single" w:color="065F46" w:sz="1"/>
            </w:tcBorders>
            <w:shd w:fill="064E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600"/>
            <w:tcBorders>
              <w:top w:val="single" w:color="065F46" w:sz="1"/>
              <w:left w:val="single" w:color="065F46" w:sz="1"/>
              <w:bottom w:val="single" w:color="065F46" w:sz="1"/>
              <w:right w:val="single" w:color="065F46" w:sz="1"/>
            </w:tcBorders>
            <w:shd w:fill="064E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900"/>
            <w:tcBorders>
              <w:top w:val="single" w:color="065F46" w:sz="1"/>
              <w:left w:val="single" w:color="065F46" w:sz="1"/>
              <w:bottom w:val="single" w:color="065F46" w:sz="1"/>
              <w:right w:val="single" w:color="065F46" w:sz="1"/>
            </w:tcBorders>
            <w:shd w:fill="064E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Nulable</w:t>
            </w:r>
          </w:p>
        </w:tc>
        <w:tc>
          <w:tcPr>
            <w:tcW w:type="dxa" w:w="4660"/>
            <w:tcBorders>
              <w:top w:val="single" w:color="065F46" w:sz="1"/>
              <w:left w:val="single" w:color="065F46" w:sz="1"/>
              <w:bottom w:val="single" w:color="065F46" w:sz="1"/>
              <w:right w:val="single" w:color="065F46" w:sz="1"/>
            </w:tcBorders>
            <w:shd w:fill="064E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UNIQUEIDENTIFIER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Clave primaria. DEFAULT NEWID().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Name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NVARCHAR(200)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Nombre del gimnasio.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Slug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NVARCHAR(100)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Identificador URL-friendly. UNIQUE.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IsActive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BIT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Indica si el tenant está habilitado. DEFAULT 1.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CreatedAtUtc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DATETIME2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Fecha/hora de creación (UTC).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UpdatedAtUtc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DATETIME2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Última modificación (UTC).</w:t>
            </w:r>
          </w:p>
        </w:tc>
      </w:tr>
    </w:tbl>
    <w:p>
      <w:pPr>
        <w:spacing w:after="80" w:before="80"/>
      </w:pPr>
    </w:p>
    <w:p>
      <w:pPr>
        <w:pStyle w:val="Heading2"/>
        <w:pBdr>
          <w:bottom w:val="single" w:color="065F46" w:sz="4"/>
        </w:pBdr>
        <w:spacing w:after="100" w:before="280"/>
      </w:pPr>
      <w:r>
        <w:rPr>
          <w:rFonts w:ascii="Arial" w:cs="Arial" w:eastAsia="Arial" w:hAnsi="Arial"/>
          <w:b/>
          <w:bCs/>
          <w:color w:val="065F46"/>
          <w:sz w:val="28"/>
          <w:szCs w:val="28"/>
        </w:rPr>
        <w:t xml:space="preserve">4.2 Users</w:t>
      </w:r>
    </w:p>
    <w:p>
      <w:pPr>
        <w:spacing w:after="100" w:before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Usuarios de staff/administración por tenant. Almacena credenciales hasheadas con BCrypt.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900"/>
        <w:gridCol w:w="4660"/>
      </w:tblGrid>
      <w:tr>
        <w:tc>
          <w:tcPr>
            <w:tcW w:type="dxa" w:w="2200"/>
            <w:tcBorders>
              <w:top w:val="single" w:color="065F46" w:sz="1"/>
              <w:left w:val="single" w:color="065F46" w:sz="1"/>
              <w:bottom w:val="single" w:color="065F46" w:sz="1"/>
              <w:right w:val="single" w:color="065F46" w:sz="1"/>
            </w:tcBorders>
            <w:shd w:fill="064E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600"/>
            <w:tcBorders>
              <w:top w:val="single" w:color="065F46" w:sz="1"/>
              <w:left w:val="single" w:color="065F46" w:sz="1"/>
              <w:bottom w:val="single" w:color="065F46" w:sz="1"/>
              <w:right w:val="single" w:color="065F46" w:sz="1"/>
            </w:tcBorders>
            <w:shd w:fill="064E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900"/>
            <w:tcBorders>
              <w:top w:val="single" w:color="065F46" w:sz="1"/>
              <w:left w:val="single" w:color="065F46" w:sz="1"/>
              <w:bottom w:val="single" w:color="065F46" w:sz="1"/>
              <w:right w:val="single" w:color="065F46" w:sz="1"/>
            </w:tcBorders>
            <w:shd w:fill="064E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Nulable</w:t>
            </w:r>
          </w:p>
        </w:tc>
        <w:tc>
          <w:tcPr>
            <w:tcW w:type="dxa" w:w="4660"/>
            <w:tcBorders>
              <w:top w:val="single" w:color="065F46" w:sz="1"/>
              <w:left w:val="single" w:color="065F46" w:sz="1"/>
              <w:bottom w:val="single" w:color="065F46" w:sz="1"/>
              <w:right w:val="single" w:color="065F46" w:sz="1"/>
            </w:tcBorders>
            <w:shd w:fill="064E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UNIQUEIDENTIFIER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Clave primaria.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TenantId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UNIQUEIDENTIFIER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FK → Tenants.Id. Índice no clúster.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Email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NVARCHAR(200)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Email de acceso. UNIQUE por tenant.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PasswordHash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NVARCHAR(500)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Hash BCrypt de la contraseña.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FullName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NVARCHAR(200)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Nombre completo del usuario.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Role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NVARCHAR(50)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Rol: Admin | Staff.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IsActive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BIT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DEFAULT 1. 0 = deshabilitado.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LastLoginUtc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DATETIME2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SÍ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Último inicio de sesión.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CreatedAtUtc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DATETIME2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Creación (UTC).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UpdatedAtUtc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DATETIME2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Última modificación (UTC).</w:t>
            </w:r>
          </w:p>
        </w:tc>
      </w:tr>
    </w:tbl>
    <w:p>
      <w:pPr>
        <w:spacing w:after="80" w:before="80"/>
      </w:pPr>
    </w:p>
    <w:p>
      <w:pPr>
        <w:pStyle w:val="Heading2"/>
        <w:pBdr>
          <w:bottom w:val="single" w:color="065F46" w:sz="4"/>
        </w:pBdr>
        <w:spacing w:after="100" w:before="280"/>
      </w:pPr>
      <w:r>
        <w:rPr>
          <w:rFonts w:ascii="Arial" w:cs="Arial" w:eastAsia="Arial" w:hAnsi="Arial"/>
          <w:b/>
          <w:bCs/>
          <w:color w:val="065F46"/>
          <w:sz w:val="28"/>
          <w:szCs w:val="28"/>
        </w:rPr>
        <w:t xml:space="preserve">4.3 Members</w:t>
      </w:r>
    </w:p>
    <w:p>
      <w:pPr>
        <w:spacing w:after="100" w:before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Socios del gimnasio. Es la tabla operacional principal del módulo de socios.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900"/>
        <w:gridCol w:w="4660"/>
      </w:tblGrid>
      <w:tr>
        <w:tc>
          <w:tcPr>
            <w:tcW w:type="dxa" w:w="2200"/>
            <w:tcBorders>
              <w:top w:val="single" w:color="065F46" w:sz="1"/>
              <w:left w:val="single" w:color="065F46" w:sz="1"/>
              <w:bottom w:val="single" w:color="065F46" w:sz="1"/>
              <w:right w:val="single" w:color="065F46" w:sz="1"/>
            </w:tcBorders>
            <w:shd w:fill="064E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600"/>
            <w:tcBorders>
              <w:top w:val="single" w:color="065F46" w:sz="1"/>
              <w:left w:val="single" w:color="065F46" w:sz="1"/>
              <w:bottom w:val="single" w:color="065F46" w:sz="1"/>
              <w:right w:val="single" w:color="065F46" w:sz="1"/>
            </w:tcBorders>
            <w:shd w:fill="064E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900"/>
            <w:tcBorders>
              <w:top w:val="single" w:color="065F46" w:sz="1"/>
              <w:left w:val="single" w:color="065F46" w:sz="1"/>
              <w:bottom w:val="single" w:color="065F46" w:sz="1"/>
              <w:right w:val="single" w:color="065F46" w:sz="1"/>
            </w:tcBorders>
            <w:shd w:fill="064E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Nulable</w:t>
            </w:r>
          </w:p>
        </w:tc>
        <w:tc>
          <w:tcPr>
            <w:tcW w:type="dxa" w:w="4660"/>
            <w:tcBorders>
              <w:top w:val="single" w:color="065F46" w:sz="1"/>
              <w:left w:val="single" w:color="065F46" w:sz="1"/>
              <w:bottom w:val="single" w:color="065F46" w:sz="1"/>
              <w:right w:val="single" w:color="065F46" w:sz="1"/>
            </w:tcBorders>
            <w:shd w:fill="064E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UNIQUEIDENTIFIER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Clave primaria.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TenantId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UNIQUEIDENTIFIER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FK → Tenants.Id. Índice no clúster.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Rut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NVARCHAR(15)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RUT chileno (sin puntos, con guión). UNIQUE por tenant.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FirstName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NVARCHAR(100)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Nombre del socio.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LastName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NVARCHAR(100)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Apellido del socio.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FullName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NVARCHAR(201)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Columna computada: FirstName + LastName.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BirthDate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DATE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Fecha de nacimiento.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Gender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TINYINT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0=No especificado, 1=Masculino, 2=Femenino, 3=Otro.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Email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NVARCHAR(200)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SÍ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Correo electrónico de contacto.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Phone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NVARCHAR(40)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SÍ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Teléfono o celular.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Address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NVARCHAR(300)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SÍ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Dirección física.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EmergencyContactName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NVARCHAR(200)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SÍ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Nombre del contacto de emergencia.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EmergencyContactPhone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NVARCHAR(40)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SÍ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Teléfono del contacto de emergencia.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Notes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NVARCHAR(1000)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SÍ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Notas internas del staff.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TINYINT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0=Activo, 1=Suspendido, 2=Moroso.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RegistrationDate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DATE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Fecha de ingreso al gimnasio. DEFAULT GETUTCDATE().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IsDeleted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BIT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Soft delete flag. DEFAULT 0.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DeletedAtUtc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DATETIME2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SÍ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Fecha de baja lógica.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CreatedAtUtc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DATETIME2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Creación (UTC).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UpdatedAtUtc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DATETIME2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Última modificación (UTC).</w:t>
            </w:r>
          </w:p>
        </w:tc>
      </w:tr>
    </w:tbl>
    <w:p>
      <w:pPr>
        <w:spacing w:after="80" w:before="80"/>
      </w:pPr>
    </w:p>
    <w:p>
      <w:pPr>
        <w:pStyle w:val="Heading2"/>
        <w:pBdr>
          <w:bottom w:val="single" w:color="065F46" w:sz="4"/>
        </w:pBdr>
        <w:spacing w:after="100" w:before="280"/>
      </w:pPr>
      <w:r>
        <w:rPr>
          <w:rFonts w:ascii="Arial" w:cs="Arial" w:eastAsia="Arial" w:hAnsi="Arial"/>
          <w:b/>
          <w:bCs/>
          <w:color w:val="065F46"/>
          <w:sz w:val="28"/>
          <w:szCs w:val="28"/>
        </w:rPr>
        <w:t xml:space="preserve">4.4 MembershipPlans</w:t>
      </w:r>
    </w:p>
    <w:p>
      <w:pPr>
        <w:spacing w:after="100" w:before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Planes de membresía disponibles por tenant (mensual, trimestral, anual, etc.).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900"/>
        <w:gridCol w:w="4660"/>
      </w:tblGrid>
      <w:tr>
        <w:tc>
          <w:tcPr>
            <w:tcW w:type="dxa" w:w="2200"/>
            <w:tcBorders>
              <w:top w:val="single" w:color="065F46" w:sz="1"/>
              <w:left w:val="single" w:color="065F46" w:sz="1"/>
              <w:bottom w:val="single" w:color="065F46" w:sz="1"/>
              <w:right w:val="single" w:color="065F46" w:sz="1"/>
            </w:tcBorders>
            <w:shd w:fill="064E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600"/>
            <w:tcBorders>
              <w:top w:val="single" w:color="065F46" w:sz="1"/>
              <w:left w:val="single" w:color="065F46" w:sz="1"/>
              <w:bottom w:val="single" w:color="065F46" w:sz="1"/>
              <w:right w:val="single" w:color="065F46" w:sz="1"/>
            </w:tcBorders>
            <w:shd w:fill="064E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900"/>
            <w:tcBorders>
              <w:top w:val="single" w:color="065F46" w:sz="1"/>
              <w:left w:val="single" w:color="065F46" w:sz="1"/>
              <w:bottom w:val="single" w:color="065F46" w:sz="1"/>
              <w:right w:val="single" w:color="065F46" w:sz="1"/>
            </w:tcBorders>
            <w:shd w:fill="064E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Nulable</w:t>
            </w:r>
          </w:p>
        </w:tc>
        <w:tc>
          <w:tcPr>
            <w:tcW w:type="dxa" w:w="4660"/>
            <w:tcBorders>
              <w:top w:val="single" w:color="065F46" w:sz="1"/>
              <w:left w:val="single" w:color="065F46" w:sz="1"/>
              <w:bottom w:val="single" w:color="065F46" w:sz="1"/>
              <w:right w:val="single" w:color="065F46" w:sz="1"/>
            </w:tcBorders>
            <w:shd w:fill="064E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UNIQUEIDENTIFIER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Clave primaria.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TenantId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UNIQUEIDENTIFIER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FK → Tenants.Id.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Name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NVARCHAR(200)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Nombre del plan (ej. "Plan Mensual").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NVARCHAR(500)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SÍ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Descripción del plan.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Price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DECIMAL(10,2)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Precio del plan.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DurationDays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INT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Duración en días (ej. 30, 90, 365).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IsActive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BIT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DEFAULT 1.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CreatedAtUtc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DATETIME2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Creación (UTC).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UpdatedAtUtc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DATETIME2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Última modificación (UTC).</w:t>
            </w:r>
          </w:p>
        </w:tc>
      </w:tr>
    </w:tbl>
    <w:p>
      <w:pPr>
        <w:spacing w:after="80" w:before="80"/>
      </w:pPr>
    </w:p>
    <w:p>
      <w:pPr>
        <w:pStyle w:val="Heading2"/>
        <w:pBdr>
          <w:bottom w:val="single" w:color="065F46" w:sz="4"/>
        </w:pBdr>
        <w:spacing w:after="100" w:before="280"/>
      </w:pPr>
      <w:r>
        <w:rPr>
          <w:rFonts w:ascii="Arial" w:cs="Arial" w:eastAsia="Arial" w:hAnsi="Arial"/>
          <w:b/>
          <w:bCs/>
          <w:color w:val="065F46"/>
          <w:sz w:val="28"/>
          <w:szCs w:val="28"/>
        </w:rPr>
        <w:t xml:space="preserve">4.5 MembershipAssignments</w:t>
      </w:r>
    </w:p>
    <w:p>
      <w:pPr>
        <w:spacing w:after="100" w:before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Asignaciones de plan a socio. Mantiene el historial completo: cada renovación genera un nuevo registro.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900"/>
        <w:gridCol w:w="4660"/>
      </w:tblGrid>
      <w:tr>
        <w:tc>
          <w:tcPr>
            <w:tcW w:type="dxa" w:w="2200"/>
            <w:tcBorders>
              <w:top w:val="single" w:color="065F46" w:sz="1"/>
              <w:left w:val="single" w:color="065F46" w:sz="1"/>
              <w:bottom w:val="single" w:color="065F46" w:sz="1"/>
              <w:right w:val="single" w:color="065F46" w:sz="1"/>
            </w:tcBorders>
            <w:shd w:fill="064E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600"/>
            <w:tcBorders>
              <w:top w:val="single" w:color="065F46" w:sz="1"/>
              <w:left w:val="single" w:color="065F46" w:sz="1"/>
              <w:bottom w:val="single" w:color="065F46" w:sz="1"/>
              <w:right w:val="single" w:color="065F46" w:sz="1"/>
            </w:tcBorders>
            <w:shd w:fill="064E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900"/>
            <w:tcBorders>
              <w:top w:val="single" w:color="065F46" w:sz="1"/>
              <w:left w:val="single" w:color="065F46" w:sz="1"/>
              <w:bottom w:val="single" w:color="065F46" w:sz="1"/>
              <w:right w:val="single" w:color="065F46" w:sz="1"/>
            </w:tcBorders>
            <w:shd w:fill="064E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Nulable</w:t>
            </w:r>
          </w:p>
        </w:tc>
        <w:tc>
          <w:tcPr>
            <w:tcW w:type="dxa" w:w="4660"/>
            <w:tcBorders>
              <w:top w:val="single" w:color="065F46" w:sz="1"/>
              <w:left w:val="single" w:color="065F46" w:sz="1"/>
              <w:bottom w:val="single" w:color="065F46" w:sz="1"/>
              <w:right w:val="single" w:color="065F46" w:sz="1"/>
            </w:tcBorders>
            <w:shd w:fill="064E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UNIQUEIDENTIFIER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Clave primaria.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TenantId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UNIQUEIDENTIFIER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FK → Tenants.Id.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MemberId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UNIQUEIDENTIFIER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FK → Members.Id.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PlanId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UNIQUEIDENTIFIER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FK → MembershipPlans.Id.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StartDate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DATE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Fecha de inicio de la asignación.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EndDate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DATE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Fecha de vencimiento.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AmountPaid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DECIMAL(10,2)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Monto cobrado en la asignación.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Notes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NVARCHAR(500)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SÍ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Observaciones del pago.</w:t>
            </w:r>
          </w:p>
        </w:tc>
      </w:tr>
      <w:tr>
        <w:tc>
          <w:tcPr>
            <w:tcW w:type="dxa" w:w="22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CreatedAtUtc</w:t>
            </w:r>
          </w:p>
        </w:tc>
        <w:tc>
          <w:tcPr>
            <w:tcW w:type="dxa" w:w="1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DATETIME2</w:t>
            </w:r>
          </w:p>
        </w:tc>
        <w:tc>
          <w:tcPr>
            <w:tcW w:type="dxa" w:w="9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46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Creación (UTC).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65F46"/>
          <w:sz w:val="36"/>
          <w:szCs w:val="36"/>
        </w:rPr>
        <w:t xml:space="preserve">5. Índices</w:t>
      </w:r>
    </w:p>
    <w:p>
      <w:pPr>
        <w:spacing w:after="100" w:before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Los índices no clúster clave para el rendimiento de las consultas más frecuentes: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800"/>
        <w:gridCol w:w="3960"/>
      </w:tblGrid>
      <w:tr>
        <w:tc>
          <w:tcPr>
            <w:tcW w:type="dxa" w:w="2600"/>
            <w:tcBorders>
              <w:top w:val="single" w:color="065F46" w:sz="1"/>
              <w:left w:val="single" w:color="065F46" w:sz="1"/>
              <w:bottom w:val="single" w:color="065F46" w:sz="1"/>
              <w:right w:val="single" w:color="065F46" w:sz="1"/>
            </w:tcBorders>
            <w:shd w:fill="064E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Tabla</w:t>
            </w:r>
          </w:p>
        </w:tc>
        <w:tc>
          <w:tcPr>
            <w:tcW w:type="dxa" w:w="2800"/>
            <w:tcBorders>
              <w:top w:val="single" w:color="065F46" w:sz="1"/>
              <w:left w:val="single" w:color="065F46" w:sz="1"/>
              <w:bottom w:val="single" w:color="065F46" w:sz="1"/>
              <w:right w:val="single" w:color="065F46" w:sz="1"/>
            </w:tcBorders>
            <w:shd w:fill="064E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Columnas indexadas</w:t>
            </w:r>
          </w:p>
        </w:tc>
        <w:tc>
          <w:tcPr>
            <w:tcW w:type="dxa" w:w="3960"/>
            <w:tcBorders>
              <w:top w:val="single" w:color="065F46" w:sz="1"/>
              <w:left w:val="single" w:color="065F46" w:sz="1"/>
              <w:bottom w:val="single" w:color="065F46" w:sz="1"/>
              <w:right w:val="single" w:color="065F46" w:sz="1"/>
            </w:tcBorders>
            <w:shd w:fill="064E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Propósito</w:t>
            </w:r>
          </w:p>
        </w:tc>
      </w:tr>
      <w:tr>
        <w:tc>
          <w:tcPr>
            <w:tcW w:type="dxa" w:w="2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Members</w:t>
            </w:r>
          </w:p>
        </w:tc>
        <w:tc>
          <w:tcPr>
            <w:tcW w:type="dxa" w:w="28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TenantId, IsDeleted</w:t>
            </w:r>
          </w:p>
        </w:tc>
        <w:tc>
          <w:tcPr>
            <w:tcW w:type="dxa" w:w="39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Filtro base de todas las consultas de socios.</w:t>
            </w:r>
          </w:p>
        </w:tc>
      </w:tr>
      <w:tr>
        <w:tc>
          <w:tcPr>
            <w:tcW w:type="dxa" w:w="2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Members</w:t>
            </w:r>
          </w:p>
        </w:tc>
        <w:tc>
          <w:tcPr>
            <w:tcW w:type="dxa" w:w="28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TenantId, Rut</w:t>
            </w:r>
          </w:p>
        </w:tc>
        <w:tc>
          <w:tcPr>
            <w:tcW w:type="dxa" w:w="39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Validación de RUT único por tenant.</w:t>
            </w:r>
          </w:p>
        </w:tc>
      </w:tr>
      <w:tr>
        <w:tc>
          <w:tcPr>
            <w:tcW w:type="dxa" w:w="2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Members</w:t>
            </w:r>
          </w:p>
        </w:tc>
        <w:tc>
          <w:tcPr>
            <w:tcW w:type="dxa" w:w="28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TenantId, Status</w:t>
            </w:r>
          </w:p>
        </w:tc>
        <w:tc>
          <w:tcPr>
            <w:tcW w:type="dxa" w:w="39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Filtro por estado (activo/suspendido/moroso).</w:t>
            </w:r>
          </w:p>
        </w:tc>
      </w:tr>
      <w:tr>
        <w:tc>
          <w:tcPr>
            <w:tcW w:type="dxa" w:w="2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Members</w:t>
            </w:r>
          </w:p>
        </w:tc>
        <w:tc>
          <w:tcPr>
            <w:tcW w:type="dxa" w:w="28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TenantId, FullName</w:t>
            </w:r>
          </w:p>
        </w:tc>
        <w:tc>
          <w:tcPr>
            <w:tcW w:type="dxa" w:w="39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Búsqueda por nombre.</w:t>
            </w:r>
          </w:p>
        </w:tc>
      </w:tr>
      <w:tr>
        <w:tc>
          <w:tcPr>
            <w:tcW w:type="dxa" w:w="2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Users</w:t>
            </w:r>
          </w:p>
        </w:tc>
        <w:tc>
          <w:tcPr>
            <w:tcW w:type="dxa" w:w="28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TenantId, Email</w:t>
            </w:r>
          </w:p>
        </w:tc>
        <w:tc>
          <w:tcPr>
            <w:tcW w:type="dxa" w:w="39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Login y validación de email único.</w:t>
            </w:r>
          </w:p>
        </w:tc>
      </w:tr>
      <w:tr>
        <w:tc>
          <w:tcPr>
            <w:tcW w:type="dxa" w:w="2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MembershipAssignments</w:t>
            </w:r>
          </w:p>
        </w:tc>
        <w:tc>
          <w:tcPr>
            <w:tcW w:type="dxa" w:w="28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MemberId, StartDate DESC</w:t>
            </w:r>
          </w:p>
        </w:tc>
        <w:tc>
          <w:tcPr>
            <w:tcW w:type="dxa" w:w="39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Historial de planes de un socio.</w:t>
            </w:r>
          </w:p>
        </w:tc>
      </w:tr>
      <w:tr>
        <w:tc>
          <w:tcPr>
            <w:tcW w:type="dxa" w:w="26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MembershipAssignments</w:t>
            </w:r>
          </w:p>
        </w:tc>
        <w:tc>
          <w:tcPr>
            <w:tcW w:type="dxa" w:w="28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TenantId, EndDate</w:t>
            </w:r>
          </w:p>
        </w:tc>
        <w:tc>
          <w:tcPr>
            <w:tcW w:type="dxa" w:w="39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Detección de membresías próximas a vencer.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65F46"/>
          <w:sz w:val="36"/>
          <w:szCs w:val="36"/>
        </w:rPr>
        <w:t xml:space="preserve">6. Estrategia de Soft Delete</w:t>
      </w:r>
    </w:p>
    <w:p>
      <w:pPr>
        <w:spacing w:after="100" w:before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Ningún registro se elimina físicamente. Cuando un socio es "dado de baja", se actualiza:</w:t>
      </w:r>
    </w:p>
    <w:p>
      <w:pPr>
        <w:shd w:fill="ECFD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64E3B"/>
          <w:sz w:val="18"/>
          <w:szCs w:val="18"/>
        </w:rPr>
        <w:t xml:space="preserve">UPDATE Members SET IsDeleted = 1, DeletedAtUtc = GETUTCDATE() WHERE Id = @Id</w:t>
      </w:r>
    </w:p>
    <w:p>
      <w:pPr>
        <w:spacing w:after="80" w:before="80"/>
      </w:pPr>
    </w:p>
    <w:p>
      <w:pPr>
        <w:spacing w:after="100" w:before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Entity Framework Core aplica un HasQueryFilter en el DbContext que excluye automáticamente los registros con IsDeleted = 1 de todas las consultas LINQ, sin necesidad de especificarlo en cada consulta.</w:t>
      </w:r>
    </w:p>
    <w:p>
      <w:pPr>
        <w:spacing w:after="100" w:before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Para consultar registros eliminados explícitamente (ej. auditoría), se usa .IgnoreQueryFilters() en la consulta EF Core correspondiente.</w:t>
      </w:r>
    </w:p>
    <w:p>
      <w:pPr>
        <w:spacing w:after="80" w:before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65F46"/>
          <w:sz w:val="36"/>
          <w:szCs w:val="36"/>
        </w:rPr>
        <w:t xml:space="preserve">7. Gestión del Esquema (Scripts T-SQL)</w:t>
      </w:r>
    </w:p>
    <w:p>
      <w:pPr>
        <w:spacing w:after="100" w:before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El esquema se versiona con scripts T-SQL numerados en database/sql/. No se usan migraciones de EF Core.</w:t>
      </w:r>
    </w:p>
    <w:p>
      <w:pPr>
        <w:spacing w:after="80" w:before="80"/>
      </w:pPr>
    </w:p>
    <w:p>
      <w:pPr>
        <w:shd w:fill="ECFD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64E3B"/>
          <w:sz w:val="18"/>
          <w:szCs w:val="18"/>
        </w:rPr>
        <w:t xml:space="preserve">database/sql/</w:t>
      </w:r>
    </w:p>
    <w:p>
      <w:pPr>
        <w:shd w:fill="ECFD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64E3B"/>
          <w:sz w:val="18"/>
          <w:szCs w:val="18"/>
        </w:rPr>
        <w:t xml:space="preserve">├── 001_create_tenants.sql</w:t>
      </w:r>
    </w:p>
    <w:p>
      <w:pPr>
        <w:shd w:fill="ECFD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64E3B"/>
          <w:sz w:val="18"/>
          <w:szCs w:val="18"/>
        </w:rPr>
        <w:t xml:space="preserve">├── 002_create_users.sql</w:t>
      </w:r>
    </w:p>
    <w:p>
      <w:pPr>
        <w:shd w:fill="ECFD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64E3B"/>
          <w:sz w:val="18"/>
          <w:szCs w:val="18"/>
        </w:rPr>
        <w:t xml:space="preserve">├── 003_create_members.sql</w:t>
      </w:r>
    </w:p>
    <w:p>
      <w:pPr>
        <w:shd w:fill="ECFD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64E3B"/>
          <w:sz w:val="18"/>
          <w:szCs w:val="18"/>
        </w:rPr>
        <w:t xml:space="preserve">├── 004_create_membership_plans.sql</w:t>
      </w:r>
    </w:p>
    <w:p>
      <w:pPr>
        <w:shd w:fill="ECFD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64E3B"/>
          <w:sz w:val="18"/>
          <w:szCs w:val="18"/>
        </w:rPr>
        <w:t xml:space="preserve">├── 005_create_membership_assignments.sql</w:t>
      </w:r>
    </w:p>
    <w:p>
      <w:pPr>
        <w:shd w:fill="ECFD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64E3B"/>
          <w:sz w:val="18"/>
          <w:szCs w:val="18"/>
        </w:rPr>
        <w:t xml:space="preserve">└── 006_seed_data.sql          # Datos iniciales / tenant demo</w:t>
      </w:r>
    </w:p>
    <w:p>
      <w:pPr>
        <w:spacing w:after="80" w:before="80"/>
      </w:pPr>
    </w:p>
    <w:p>
      <w:pPr>
        <w:spacing w:after="100" w:before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Para aplicar el esquema en un entorno nuevo, ejecutar los scripts en orden numérico contra la base de datos de destino usando SQL Server Management Studio (SSMS) o sqlcmd.</w:t>
      </w:r>
    </w:p>
    <w:p>
      <w:pPr>
        <w:spacing w:after="8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47857"/>
          <w:sz w:val="24"/>
          <w:szCs w:val="24"/>
        </w:rPr>
        <w:t xml:space="preserve">Ejemplo: aplicar con sqlcmd</w:t>
      </w:r>
    </w:p>
    <w:p>
      <w:pPr>
        <w:shd w:fill="ECFD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64E3B"/>
          <w:sz w:val="18"/>
          <w:szCs w:val="18"/>
        </w:rPr>
        <w:t xml:space="preserve">sqlcmd -S localhost -d GymGo -i database/sql/001_create_tenants.sql</w:t>
      </w:r>
    </w:p>
    <w:p>
      <w:pPr>
        <w:shd w:fill="ECFD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64E3B"/>
          <w:sz w:val="18"/>
          <w:szCs w:val="18"/>
        </w:rPr>
        <w:t xml:space="preserve">sqlcmd -S localhost -d GymGo -i database/sql/002_create_users.sql</w:t>
      </w:r>
    </w:p>
    <w:p>
      <w:pPr>
        <w:shd w:fill="ECFD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64E3B"/>
          <w:sz w:val="18"/>
          <w:szCs w:val="18"/>
        </w:rPr>
        <w:t xml:space="preserve"># ... repetir para cada script en orden</w:t>
      </w:r>
    </w:p>
    <w:p>
      <w:pPr>
        <w:spacing w:after="80" w:before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65F46"/>
          <w:sz w:val="36"/>
          <w:szCs w:val="36"/>
        </w:rPr>
        <w:t xml:space="preserve">8. Enumeraciones almacenadas como TINYINT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5960"/>
      </w:tblGrid>
      <w:tr>
        <w:tc>
          <w:tcPr>
            <w:tcW w:type="dxa" w:w="2000"/>
            <w:tcBorders>
              <w:top w:val="single" w:color="065F46" w:sz="1"/>
              <w:left w:val="single" w:color="065F46" w:sz="1"/>
              <w:bottom w:val="single" w:color="065F46" w:sz="1"/>
              <w:right w:val="single" w:color="065F46" w:sz="1"/>
            </w:tcBorders>
            <w:shd w:fill="064E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400"/>
            <w:tcBorders>
              <w:top w:val="single" w:color="065F46" w:sz="1"/>
              <w:left w:val="single" w:color="065F46" w:sz="1"/>
              <w:bottom w:val="single" w:color="065F46" w:sz="1"/>
              <w:right w:val="single" w:color="065F46" w:sz="1"/>
            </w:tcBorders>
            <w:shd w:fill="064E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dxa" w:w="5960"/>
            <w:tcBorders>
              <w:top w:val="single" w:color="065F46" w:sz="1"/>
              <w:left w:val="single" w:color="065F46" w:sz="1"/>
              <w:bottom w:val="single" w:color="065F46" w:sz="1"/>
              <w:right w:val="single" w:color="065F46" w:sz="1"/>
            </w:tcBorders>
            <w:shd w:fill="064E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0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Gender</w:t>
            </w:r>
          </w:p>
        </w:tc>
        <w:tc>
          <w:tcPr>
            <w:tcW w:type="dxa" w:w="14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0</w:t>
            </w:r>
          </w:p>
        </w:tc>
        <w:tc>
          <w:tcPr>
            <w:tcW w:type="dxa" w:w="59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NotSpecified — No especificado</w:t>
            </w:r>
          </w:p>
        </w:tc>
      </w:tr>
      <w:tr>
        <w:tc>
          <w:tcPr>
            <w:tcW w:type="dxa" w:w="20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Gender</w:t>
            </w:r>
          </w:p>
        </w:tc>
        <w:tc>
          <w:tcPr>
            <w:tcW w:type="dxa" w:w="14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1</w:t>
            </w:r>
          </w:p>
        </w:tc>
        <w:tc>
          <w:tcPr>
            <w:tcW w:type="dxa" w:w="59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Male — Masculino</w:t>
            </w:r>
          </w:p>
        </w:tc>
      </w:tr>
      <w:tr>
        <w:tc>
          <w:tcPr>
            <w:tcW w:type="dxa" w:w="20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Gender</w:t>
            </w:r>
          </w:p>
        </w:tc>
        <w:tc>
          <w:tcPr>
            <w:tcW w:type="dxa" w:w="14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2</w:t>
            </w:r>
          </w:p>
        </w:tc>
        <w:tc>
          <w:tcPr>
            <w:tcW w:type="dxa" w:w="59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Female — Femenino</w:t>
            </w:r>
          </w:p>
        </w:tc>
      </w:tr>
      <w:tr>
        <w:tc>
          <w:tcPr>
            <w:tcW w:type="dxa" w:w="20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Gender</w:t>
            </w:r>
          </w:p>
        </w:tc>
        <w:tc>
          <w:tcPr>
            <w:tcW w:type="dxa" w:w="14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3</w:t>
            </w:r>
          </w:p>
        </w:tc>
        <w:tc>
          <w:tcPr>
            <w:tcW w:type="dxa" w:w="59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Other — Otro</w:t>
            </w:r>
          </w:p>
        </w:tc>
      </w:tr>
      <w:tr>
        <w:tc>
          <w:tcPr>
            <w:tcW w:type="dxa" w:w="20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Members.Status</w:t>
            </w:r>
          </w:p>
        </w:tc>
        <w:tc>
          <w:tcPr>
            <w:tcW w:type="dxa" w:w="14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0</w:t>
            </w:r>
          </w:p>
        </w:tc>
        <w:tc>
          <w:tcPr>
            <w:tcW w:type="dxa" w:w="59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Active — Socio activo</w:t>
            </w:r>
          </w:p>
        </w:tc>
      </w:tr>
      <w:tr>
        <w:tc>
          <w:tcPr>
            <w:tcW w:type="dxa" w:w="20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Members.Status</w:t>
            </w:r>
          </w:p>
        </w:tc>
        <w:tc>
          <w:tcPr>
            <w:tcW w:type="dxa" w:w="14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1</w:t>
            </w:r>
          </w:p>
        </w:tc>
        <w:tc>
          <w:tcPr>
            <w:tcW w:type="dxa" w:w="59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Suspended — Suspendido temporalmente</w:t>
            </w:r>
          </w:p>
        </w:tc>
      </w:tr>
      <w:tr>
        <w:tc>
          <w:tcPr>
            <w:tcW w:type="dxa" w:w="20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47857"/>
                <w:sz w:val="20"/>
                <w:szCs w:val="20"/>
              </w:rPr>
              <w:t xml:space="preserve">Members.Status</w:t>
            </w:r>
          </w:p>
        </w:tc>
        <w:tc>
          <w:tcPr>
            <w:tcW w:type="dxa" w:w="140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47857"/>
                <w:sz w:val="20"/>
                <w:szCs w:val="20"/>
              </w:rPr>
              <w:t xml:space="preserve">2</w:t>
            </w:r>
          </w:p>
        </w:tc>
        <w:tc>
          <w:tcPr>
            <w:tcW w:type="dxa" w:w="59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F0FD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Delinquent — Moroso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65F46"/>
          <w:sz w:val="36"/>
          <w:szCs w:val="36"/>
        </w:rPr>
        <w:t xml:space="preserve">9. Cadena de Conexión</w:t>
      </w:r>
    </w:p>
    <w:p>
      <w:pPr>
        <w:spacing w:after="100" w:before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La cadena de conexión se configura en appsettings.json bajo la clave "DefaultConnection". En producción debe proveerse como variable de entorno o secreto de infraestructura (nunca hardcodeada).</w:t>
      </w:r>
    </w:p>
    <w:p>
      <w:pPr>
        <w:spacing w:after="80" w:before="80"/>
      </w:pPr>
    </w:p>
    <w:p>
      <w:pPr>
        <w:shd w:fill="ECFD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64E3B"/>
          <w:sz w:val="18"/>
          <w:szCs w:val="18"/>
        </w:rPr>
        <w:t xml:space="preserve">"ConnectionStrings": {</w:t>
      </w:r>
    </w:p>
    <w:p>
      <w:pPr>
        <w:shd w:fill="ECFD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64E3B"/>
          <w:sz w:val="18"/>
          <w:szCs w:val="18"/>
        </w:rPr>
        <w:t xml:space="preserve">  "DefaultConnection":</w:t>
      </w:r>
    </w:p>
    <w:p>
      <w:pPr>
        <w:shd w:fill="ECFD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64E3B"/>
          <w:sz w:val="18"/>
          <w:szCs w:val="18"/>
        </w:rPr>
        <w:t xml:space="preserve">    "Server=localhost,1433;Database=GymGo;</w:t>
      </w:r>
    </w:p>
    <w:p>
      <w:pPr>
        <w:shd w:fill="ECFD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64E3B"/>
          <w:sz w:val="18"/>
          <w:szCs w:val="18"/>
        </w:rPr>
        <w:t xml:space="preserve">     User Id=sa;Password=***;</w:t>
      </w:r>
    </w:p>
    <w:p>
      <w:pPr>
        <w:shd w:fill="ECFD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64E3B"/>
          <w:sz w:val="18"/>
          <w:szCs w:val="18"/>
        </w:rPr>
        <w:t xml:space="preserve">     TrustServerCertificate=True"</w:t>
      </w:r>
    </w:p>
    <w:p>
      <w:pPr>
        <w:shd w:fill="ECFD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64E3B"/>
          <w:sz w:val="18"/>
          <w:szCs w:val="18"/>
        </w:rPr>
        <w:t xml:space="preserve">}</w:t>
      </w:r>
    </w:p>
    <w:p>
      <w:pPr>
        <w:spacing w:after="80" w:before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65F46"/>
          <w:sz w:val="36"/>
          <w:szCs w:val="36"/>
        </w:rPr>
        <w:t xml:space="preserve">10. Respaldo y Recuperación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Realizar respaldos completos (FULL BACKUP) al menos una vez al día.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Mantener respaldos de log de transacciones cada hora para recuperación punto en el tiempo.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Verificar la integridad del respaldo con RESTORE VERIFYONLY antes de depender de él.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Almacenar respaldos en ubicación física o nube separada del servidor principal.</w:t>
      </w:r>
    </w:p>
    <w:p>
      <w:pPr>
        <w:spacing w:after="80" w:before="80"/>
      </w:pP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6EE7B7" w:sz="4"/>
      </w:pBdr>
      <w:spacing w:before="120"/>
      <w:jc w:val="center"/>
    </w:pPr>
    <w:r>
      <w:rPr>
        <w:rFonts w:ascii="Arial" w:cs="Arial" w:eastAsia="Arial" w:hAnsi="Arial"/>
        <w:color w:val="6B7280"/>
        <w:sz w:val="18"/>
        <w:szCs w:val="18"/>
      </w:rPr>
      <w:t xml:space="preserve">GymGo SaaS  ·  Confidencial  ·  Página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8"/>
        <w:szCs w:val="18"/>
      </w:rPr>
      <w:t xml:space="preserve"> de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65F46" w:sz="4"/>
      </w:pBdr>
      <w:spacing w:after="120" w:before="0"/>
      <w:jc w:val="right"/>
    </w:pPr>
    <w:r>
      <w:rPr>
        <w:rFonts w:ascii="Arial" w:cs="Arial" w:eastAsia="Arial" w:hAnsi="Arial"/>
        <w:color w:val="6B7280"/>
        <w:sz w:val="18"/>
        <w:szCs w:val="18"/>
      </w:rPr>
      <w:t xml:space="preserve">GymGo SaaS  |  Documentación Técnica Base de Datos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065F4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065F4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478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2026-04-27T12:46:35.262Z</dcterms:created>
  <dcterms:modified xsi:type="dcterms:W3CDTF">2026-04-27T12:46:35.262Z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