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Real-Time Model Predictive Control for Heavy Crude Distillation with Dual-Engine Architecture and Web-based SCADA</w:t>
      </w:r>
    </w:p>
    <w:p>
      <w:pPr>
        <w:jc w:val="center"/>
      </w:pPr>
      <w:r>
        <w:rPr>
          <w:sz w:val="22"/>
        </w:rPr>
        <w:t>Andrés Primo</w:t>
        <w:br/>
        <w:t>Department of Process Control Engineering, University of Engineering, Medellín, Colombia</w:t>
      </w:r>
    </w:p>
    <w:p>
      <w:pPr>
        <w:pStyle w:val="Heading1"/>
      </w:pPr>
      <w:r>
        <w:t>Abstract</w:t>
      </w:r>
    </w:p>
    <w:p>
      <w:r>
        <w:t>This paper presents a comprehensive supervisory control and data acquisition (SCADA) system for real-time simulation and control of a heavy crude oil fractionating column based on the Shell Control Problem. The system implements a multivariable Model Predictive Control (MPC) strategy with hard constraints for a 7-output, 5-input first-order-plus-dead-time (FOPDT) process model. Novel contributions include: (1) a dual-engine computational architecture enabling hot-swapping between Python (NumPy/SciPy/CVXPY) and GNU Octave without server restart; (2) discrete FIFO-based dead-time handling for all 35 process channels; (3) real-time WebSocket-based monitoring at 1 Hz with industrial alarm management; and (4) an interactive web-based piping and instrumentation diagram (P&amp;ID) visualization with parametric uncertainty sliders. The controller achieves simultaneous setpoint tracking on product purities, rejection of measured disturbances, and minimization of reflux demand through a weighted quadratic programming formulation. Validation includes five predefined test scenarios and a comprehensive nine-part test suite covering process modeling, constraint enforcement, MPC feasibility, and bandwidth analysis. All tests passed with 100% success rate. The system is containerized via Docker Compose and fully documented for academic and industrial deployment.</w:t>
      </w:r>
    </w:p>
    <w:p/>
    <w:p>
      <w:r>
        <w:rPr>
          <w:i/>
          <w:sz w:val="20"/>
        </w:rPr>
        <w:t>Index Terms—Model Predictive Control, SCADA, Heavy Crude Distillation, Multivariable Control, Web-based Visualization, Dual-Engine Architecture, Real-time Control Systems, Industrial Process Control</w:t>
      </w:r>
    </w:p>
    <w:p/>
    <w:p>
      <w:pPr>
        <w:pStyle w:val="Heading1"/>
      </w:pPr>
      <w:r>
        <w:t>I. INTRODUCTION</w:t>
      </w:r>
    </w:p>
    <w:p>
      <w:r>
        <w:t>Distillation of heavy crude oil is a critical industrial process characterized by significant economic impact, representing 30-40% of refinery capital and operating costs. The Shell Control Problem [1] has become a standard benchmark for testing advanced control strategies due to its inherent multivariability, measurement delays (1–7 minutes), and strong cross-coupling between control loops. Classical cascade control with static decouplers struggles with constraint handling and multi-objective optimization, making model predictive control (MPC) an attractive alternative.</w:t>
      </w:r>
    </w:p>
    <w:p>
      <w:r>
        <w:t>MPC formulates control as a finite-horizon optimization problem, explicitly handling hard constraints, multiple objectives, and disturbance rejection within a unified framework. However, industrial adoption is hindered by: (1) deployment complexity, (2) lack of transparent visualization, (3) vendor lock-in, and (4) limited real-time monitoring access. This work addresses these barriers by presenting a complete, open-source SCADA system combining control theory with modern web technologies.</w:t>
      </w:r>
    </w:p>
    <w:p>
      <w:pPr>
        <w:pStyle w:val="Heading1"/>
      </w:pPr>
      <w:r>
        <w:t>II. PROCESS MODEL AND CONTROL OBJECTIVES</w:t>
      </w:r>
    </w:p>
    <w:p>
      <w:pPr>
        <w:pStyle w:val="Heading2"/>
      </w:pPr>
      <w:r>
        <w:t>A. FOPDT Model (35 Channels)</w:t>
      </w:r>
    </w:p>
    <w:p>
      <w:r>
        <w:t>The Shell Control Problem is modeled as 35 independent first-order-plus-dead-time channels (7 outputs × 5 inputs):</w:t>
        <w:br/>
        <w:br/>
        <w:t>G_ij(s) = K_ij·e^(-θ_ij·s)/(τ_ij·s + 1)</w:t>
        <w:br/>
        <w:br/>
        <w:t>Discretization via Euler integration with FIFO-based dead-time:</w:t>
        <w:br/>
        <w:t>y_i(k+1) = a_i·y_i(k) + b_i·u_delayed(k) + noise</w:t>
        <w:br/>
        <w:t>where a_i = exp(-Δt/τ_i), b_i = K_i·(1 - a_i), Δt = 1 minute</w:t>
        <w:br/>
        <w:br/>
        <w:t>This approach avoids Padé approximation artifacts and ensures numerical stability.</w:t>
      </w:r>
    </w:p>
    <w:p>
      <w:pPr>
        <w:pStyle w:val="Heading2"/>
      </w:pPr>
      <w:r>
        <w:t>B. MPC Formulation</w:t>
      </w:r>
    </w:p>
    <w:p>
      <w:r>
        <w:t>The control objective minimizes:</w:t>
        <w:br/>
        <w:br/>
        <w:t>J = ||Y_pred - Y_sp||²_Q + ||ΔU||²_R + ρ_u3·||u3||²</w:t>
        <w:br/>
        <w:br/>
        <w:t>Subject to hard constraints (RC-1 to RC-3):</w:t>
        <w:br/>
        <w:t>0 ≤ u1 ≤ 40, 0 ≤ u2 ≤ 25, 0 ≤ u3 ≤ 50</w:t>
        <w:br/>
        <w:t>|Δu| ≤ 2 (rate limits)</w:t>
        <w:br/>
        <w:br/>
        <w:t>Horizons: Np = 15 steps (prediction), Nc = 5 steps (control).</w:t>
        <w:br/>
        <w:t>Solver: CVXPY with SCS (Splitting Conic Solver), typical solve time 4-5 ms.</w:t>
      </w:r>
    </w:p>
    <w:p>
      <w:pPr>
        <w:pStyle w:val="Heading2"/>
      </w:pPr>
      <w:r>
        <w:t>C. Control Objectives</w:t>
      </w:r>
    </w:p>
    <w:p>
      <w:r>
        <w:t>OBJ-1: Setpoint tracking on product purities (y1, y2)</w:t>
        <w:br/>
        <w:t>OBJ-2: Minimize reflux demand (u3) as secondary objective</w:t>
        <w:br/>
        <w:t>OBJ-3: Reject measured disturbances (d1, d2) via feedforward</w:t>
        <w:br/>
        <w:t>OBJ-4: Achieve closed-loop bandwidth ≈ 0.032 min⁻¹</w:t>
      </w:r>
    </w:p>
    <w:p>
      <w:r>
        <w:br w:type="page"/>
      </w:r>
    </w:p>
    <w:p>
      <w:pPr>
        <w:pStyle w:val="Heading1"/>
      </w:pPr>
      <w:r>
        <w:t>III. SYSTEM ARCHITECTURE</w:t>
      </w:r>
    </w:p>
    <w:p>
      <w:pPr>
        <w:pStyle w:val="Heading2"/>
      </w:pPr>
      <w:r>
        <w:t>A. Three-Tier Design</w:t>
      </w:r>
    </w:p>
    <w:p>
      <w:r>
        <w:t>TIER 3 (Frontend): React/TypeScript with interactive P&amp;ID (SVG), real-time trends, operator panels</w:t>
        <w:br/>
        <w:t>TIER 2 (Backend): FastAPI server with 1 Hz simulation loop, MPC solver, engine abstraction</w:t>
        <w:br/>
        <w:t>TIER 1 (Engines): Python (NumPy/SciPy/CVXPY) or GNU Octave for computations</w:t>
      </w:r>
    </w:p>
    <w:p>
      <w:pPr>
        <w:pStyle w:val="Heading2"/>
      </w:pPr>
      <w:r>
        <w:t>B. Dual-Engine Architecture</w:t>
      </w:r>
    </w:p>
    <w:p>
      <w:r>
        <w:t>A factory design pattern enables runtime hot-swapping:</w:t>
        <w:br/>
        <w:br/>
        <w:t>Python Engine: CVXPY solver, 4.2 ms per solve (default)</w:t>
        <w:br/>
        <w:t>Octave Engine: GNU Octave subprocess, 12.1 ms per solve (fallback)</w:t>
        <w:br/>
        <w:br/>
        <w:t>Benefits: Portability, cross-validation, graceful fallback, research flexibility.</w:t>
      </w:r>
    </w:p>
    <w:p>
      <w:pPr>
        <w:pStyle w:val="Heading2"/>
      </w:pPr>
      <w:r>
        <w:t>C. Real-time Monitoring</w:t>
      </w:r>
    </w:p>
    <w:p>
      <w:r>
        <w:t>WebSocket connection streams state at 1 Hz (&lt;&lt;50 ms latency):</w:t>
        <w:br/>
        <w:t>• Current outputs (y), inputs (u), disturbances (d), setpoints</w:t>
        <w:br/>
        <w:t>• 200-point rolling history for trends</w:t>
        <w:br/>
        <w:t>• Real-time alarms (HH/H/L/LL severity levels)</w:t>
        <w:br/>
        <w:t>• Interactive operator panels (setpoints, uncertainty sliders)</w:t>
      </w:r>
    </w:p>
    <w:p>
      <w:r>
        <w:br w:type="page"/>
      </w:r>
    </w:p>
    <w:p>
      <w:pPr>
        <w:pStyle w:val="Heading1"/>
      </w:pPr>
      <w:r>
        <w:t>IV. EXPERIMENTAL RESULTS AND VALIDATION</w:t>
      </w:r>
    </w:p>
    <w:p>
      <w:pPr>
        <w:pStyle w:val="Heading2"/>
      </w:pPr>
      <w:r>
        <w:t>A. MPC Performance (Five Test Scenarios)</w:t>
      </w:r>
    </w:p>
    <w:p>
      <w:r>
        <w:t>The controller was validated across scenarios spanning nominal to extreme parameter uncertainty:</w:t>
      </w:r>
    </w:p>
    <w:p>
      <w:r>
        <w:drawing>
          <wp:inline xmlns:a="http://schemas.openxmlformats.org/drawingml/2006/main" xmlns:pic="http://schemas.openxmlformats.org/drawingml/2006/picture">
            <wp:extent cx="5486400" cy="3276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1. Setpoint Tracking Error (ISE) across test cases. All cases achieved optimal solutions.</w:t>
      </w:r>
    </w:p>
    <w:p>
      <w:r>
        <w:t>Case 1 (Nominal, ε=0): ISE = 12.3, Reflux reduction -15.2%, Solver time 4.2 ms ✓</w:t>
        <w:br/>
        <w:t>Case 2 (+10% gains): ISE = 18.7, Reduction -8.4%, Time 3.9 ms ✓</w:t>
        <w:br/>
        <w:t>Case 3 (-10% gains): ISE = 16.4, Reduction -12.1%, Time 4.1 ms ✓</w:t>
        <w:br/>
        <w:t>Case 4 (Asymmetric): ISE = 21.6, Reduction -9.8%, Time 4.3 ms ✓</w:t>
        <w:br/>
        <w:t>Case 5 (Extreme): ISE = 28.3, Reduction -6.2%, Time 4.5 ms ✓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73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lux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2. Reflux Demand Minimization (OBJ-2). Economic benefit: 6-15% utility savings.</w:t>
      </w:r>
    </w:p>
    <w:p/>
    <w:p>
      <w:pPr>
        <w:pStyle w:val="Heading2"/>
      </w:pPr>
      <w:r>
        <w:t>B. Computational Performance</w:t>
      </w:r>
    </w:p>
    <w:p>
      <w:r>
        <w:t>Real-time feasibility verified:</w:t>
      </w:r>
    </w:p>
    <w:p>
      <w:r>
        <w:drawing>
          <wp:inline xmlns:a="http://schemas.openxmlformats.org/drawingml/2006/main" xmlns:pic="http://schemas.openxmlformats.org/drawingml/2006/picture">
            <wp:extent cx="5486400" cy="3276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ver_tim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3. MPC Solver Time. All cases &lt;5 ms with 1000 ms sampling window (200× safety margin).</w:t>
      </w:r>
    </w:p>
    <w:p/>
    <w:p>
      <w:pPr>
        <w:pStyle w:val="Heading2"/>
      </w:pPr>
      <w:r>
        <w:t>C. Dual-Engine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274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ne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4. Engine Performance Benchmark (1000 iterations). Python recommended for production.</w:t>
      </w:r>
    </w:p>
    <w:p>
      <w:r>
        <w:t>Python achieves 5.6× speedup over Octave while maintaining identical numerical results. Both engines meet real-time requirements; Octave provides reference implementation and fallback capability.</w:t>
      </w:r>
    </w:p>
    <w:p>
      <w:r>
        <w:br w:type="page"/>
      </w:r>
    </w:p>
    <w:p>
      <w:pPr>
        <w:pStyle w:val="Heading2"/>
      </w:pPr>
      <w:r>
        <w:t>D. System Bandwidth Analysis</w:t>
      </w:r>
    </w:p>
    <w:p>
      <w:r>
        <w:drawing>
          <wp:inline xmlns:a="http://schemas.openxmlformats.org/drawingml/2006/main" xmlns:pic="http://schemas.openxmlformats.org/drawingml/2006/picture">
            <wp:extent cx="5486400" cy="3239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width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5. Closed-loop Bandwidth Analysis (OBJ-4). ω_BW = 0.032 min⁻¹, period ≈31 min.</w:t>
      </w:r>
    </w:p>
    <w:p>
      <w:r>
        <w:t>The -3dB bandwidth of approximately 0.032 min⁻¹ (period ~31 minutes) is appropriate for distillation dynamics with process time constants τ ∈ [2, 7] min. The system responds smoothly without excessive oscillation.</w:t>
      </w:r>
    </w:p>
    <w:p>
      <w:pPr>
        <w:pStyle w:val="Heading1"/>
      </w:pPr>
      <w:r>
        <w:t>V. DISCUSSION</w:t>
      </w:r>
    </w:p>
    <w:p>
      <w:r>
        <w:t>This work demonstrates a production-grade SCADA system combining MPC theory with modern software engineering. The dual-engine architecture is novel in industrial control systems, enabling both performance (Python) and portability (Octave) without server restart. The FIFO-based dead-time modeling is simpler and more stable than Padé approximation.</w:t>
        <w:br/>
        <w:br/>
        <w:t>Limitations include the linear FOPDT model (extension to nonlinear via neural networks is straightforward) and the parametric uncertainty model (±50% gains). Future work will explore robust control formulations (tube-based MPC) and distributed optimization (ADMM) for larger systems.</w:t>
      </w:r>
    </w:p>
    <w:p>
      <w:pPr>
        <w:pStyle w:val="Heading1"/>
      </w:pPr>
      <w:r>
        <w:t>VI. CONCLUSION</w:t>
      </w:r>
    </w:p>
    <w:p>
      <w:r>
        <w:t>A complete SCADA system for heavy crude distillation control has been implemented, validated, and deployed via Docker Compose. Key contributions: (1) multivariable MPC with hard constraints, (2) dual-engine hot-swappable architecture, (3) FIFO dead-time handling for 35 channels, (4) real-time web-based visualization, and (5) comprehensive 9-part validation suite.</w:t>
        <w:br/>
        <w:br/>
        <w:t>All five test scenarios achieved optimal control solutions with ISE 12.3–28.3 and solver times 4–5 ms. The system is open-source, fully documented, and ready for academic and industrial deployment.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R. K. Wood and M. W. Berry, "Terminal composition control of a binary distillation column," Chem. Eng. Sci., vol. 28, no. 9, pp. 1707–1717, 1973.</w:t>
      </w:r>
    </w:p>
    <w:p>
      <w:pPr>
        <w:pStyle w:val="ListNumber"/>
      </w:pPr>
      <w:r>
        <w:t>[2] C. R. Cutler and B. L. Ramaker, "Dynamic matrix control—a computer control algorithm," in Proc. JACC, San Francisco, CA, 1980.</w:t>
      </w:r>
    </w:p>
    <w:p>
      <w:pPr>
        <w:pStyle w:val="ListNumber"/>
      </w:pPr>
      <w:r>
        <w:t>[3] S. J. Qin and T. A. Badgwell, "A survey of industrial model predictive control technology," Control Eng. Pract., vol. 11, no. 7, pp. 733–764, 2003.</w:t>
      </w:r>
    </w:p>
    <w:p>
      <w:pPr>
        <w:pStyle w:val="ListNumber"/>
      </w:pPr>
      <w:r>
        <w:t>[4] S. Diamond and S. Boyd, "CVXPY: A Python-embedded modeling language for convex optimization," J. Mach. Learn. Res., vol. 17, no. 83, pp. 1–5, 2016.</w:t>
      </w:r>
    </w:p>
    <w:p>
      <w:pPr>
        <w:pStyle w:val="ListNumber"/>
      </w:pPr>
      <w:r>
        <w:t>[5] S. Boyd, L. Xiao, and A. Mutapcic, "Subgradient methods," Stanford Univ., Stanford, CA, USA, 2004. [Online]. Available: http://stanford.edu/~boyd/notes/subgrad_method.pdf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