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Backlog priorizado</w:t>
      </w:r>
    </w:p>
    <w:p>
      <w:pPr>
        <w:pStyle w:val="Subtitle"/>
      </w:pPr>
      <w:r>
        <w:t>Orden, estimación, dependencia y estado de las historias de usuario</w:t>
      </w:r>
    </w:p>
    <w:p>
      <w:pPr>
        <w:spacing w:after="280"/>
      </w:pPr>
      <w:r>
        <w:rPr>
          <w:b/>
          <w:color w:val="17365D"/>
          <w:sz w:val="20"/>
        </w:rPr>
        <w:t>Versión 5.0  |  Estado: línea base del proyecto  |  Fecha: 18/07/2026</w:t>
      </w:r>
    </w:p>
    <w:p>
      <w:pPr>
        <w:pStyle w:val="Heading1"/>
      </w:pPr>
      <w:r>
        <w:t>1. Criterio de priorización</w:t>
      </w:r>
    </w:p>
    <w:p>
      <w:r>
        <w:t>El orden favorece primero continuidad operativa, integridad de inventario y seguridad; luego trazabilidad, accesibilidad y evidencia de calidad. Todas las historias listadas forman parte de la línea base V5.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504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9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32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93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MoSCoW</w:t>
            </w:r>
          </w:p>
        </w:tc>
        <w:tc>
          <w:tcPr>
            <w:tcW w:type="dxa" w:w="57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Pts</w:t>
            </w:r>
          </w:p>
        </w:tc>
        <w:tc>
          <w:tcPr>
            <w:tcW w:type="dxa" w:w="115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Dep.</w:t>
            </w:r>
          </w:p>
        </w:tc>
        <w:tc>
          <w:tcPr>
            <w:tcW w:type="dxa" w:w="10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Iniciar sesión de forma segura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50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type="dxa" w:w="79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HU-02</w:t>
            </w:r>
          </w:p>
        </w:tc>
        <w:tc>
          <w:tcPr>
            <w:tcW w:type="dxa" w:w="432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Abrir directamente el dashboard de inventario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57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15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HU-01</w:t>
            </w:r>
          </w:p>
        </w:tc>
        <w:tc>
          <w:tcPr>
            <w:tcW w:type="dxa" w:w="10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Registrar y editar productos con lote, precio, stock y caducidad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50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type="dxa" w:w="79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HU-04</w:t>
            </w:r>
          </w:p>
        </w:tc>
        <w:tc>
          <w:tcPr>
            <w:tcW w:type="dxa" w:w="432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Registrar entradas y salidas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57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15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HU-03</w:t>
            </w:r>
          </w:p>
        </w:tc>
        <w:tc>
          <w:tcPr>
            <w:tcW w:type="dxa" w:w="10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Gestionar proveedores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Should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-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50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type="dxa" w:w="79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HU-06</w:t>
            </w:r>
          </w:p>
        </w:tc>
        <w:tc>
          <w:tcPr>
            <w:tcW w:type="dxa" w:w="432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Crear usuarios y asignar roles/permisos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57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15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HU-01</w:t>
            </w:r>
          </w:p>
        </w:tc>
        <w:tc>
          <w:tcPr>
            <w:tcW w:type="dxa" w:w="10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7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Generar despachos sin superar existencias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HU-03, HU-04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50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79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HU-08</w:t>
            </w:r>
          </w:p>
        </w:tc>
        <w:tc>
          <w:tcPr>
            <w:tcW w:type="dxa" w:w="432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Consultar alertas de stock y caducidad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57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15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HU-03</w:t>
            </w:r>
          </w:p>
        </w:tc>
        <w:tc>
          <w:tcPr>
            <w:tcW w:type="dxa" w:w="10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9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HU-09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Consultar actividad, movimientos y usuario separados visualmente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Should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HU-04, HU-06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50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10</w:t>
            </w:r>
          </w:p>
        </w:tc>
        <w:tc>
          <w:tcPr>
            <w:tcW w:type="dxa" w:w="79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HU-10</w:t>
            </w:r>
          </w:p>
        </w:tc>
        <w:tc>
          <w:tcPr>
            <w:tcW w:type="dxa" w:w="432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Recibir mensajes de validación cuando falten datos o sean inválidos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57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15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10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HU-11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Recuperar el acceso después de tres minutos de bloqueo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HU-01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50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12</w:t>
            </w:r>
          </w:p>
        </w:tc>
        <w:tc>
          <w:tcPr>
            <w:tcW w:type="dxa" w:w="79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HU-12</w:t>
            </w:r>
          </w:p>
        </w:tc>
        <w:tc>
          <w:tcPr>
            <w:tcW w:type="dxa" w:w="432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Proteger contraseñas y datos sensibles almacenados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57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15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HU-01, HU-06</w:t>
            </w:r>
          </w:p>
        </w:tc>
        <w:tc>
          <w:tcPr>
            <w:tcW w:type="dxa" w:w="10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13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HU-13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Aumentar texto y usar modo oscuro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50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14</w:t>
            </w:r>
          </w:p>
        </w:tc>
        <w:tc>
          <w:tcPr>
            <w:tcW w:type="dxa" w:w="79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HU-14</w:t>
            </w:r>
          </w:p>
        </w:tc>
        <w:tc>
          <w:tcPr>
            <w:tcW w:type="dxa" w:w="432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Distinguir estados mediante texto, iconos y formas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57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15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HU-13</w:t>
            </w:r>
          </w:p>
        </w:tc>
        <w:tc>
          <w:tcPr>
            <w:tcW w:type="dxa" w:w="10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15</w:t>
            </w:r>
          </w:p>
        </w:tc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HU-15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Recorrer menús, formularios y modales</w:t>
            </w:r>
          </w:p>
        </w:tc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Must</w:t>
            </w:r>
          </w:p>
        </w:tc>
        <w:tc>
          <w:tcPr>
            <w:tcW w:type="dxa" w:w="5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8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Transversal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Hecho</w:t>
            </w:r>
          </w:p>
        </w:tc>
      </w:tr>
      <w:tr>
        <w:tc>
          <w:tcPr>
            <w:tcW w:type="dxa" w:w="504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16</w:t>
            </w:r>
          </w:p>
        </w:tc>
        <w:tc>
          <w:tcPr>
            <w:tcW w:type="dxa" w:w="79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HU-16</w:t>
            </w:r>
          </w:p>
        </w:tc>
        <w:tc>
          <w:tcPr>
            <w:tcW w:type="dxa" w:w="432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Ejecutar pruebas de caja blanca, caja negra y validación</w:t>
            </w:r>
          </w:p>
        </w:tc>
        <w:tc>
          <w:tcPr>
            <w:tcW w:type="dxa" w:w="9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Should</w:t>
            </w:r>
          </w:p>
        </w:tc>
        <w:tc>
          <w:tcPr>
            <w:tcW w:type="dxa" w:w="57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type="dxa" w:w="115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Todas</w:t>
            </w:r>
          </w:p>
        </w:tc>
        <w:tc>
          <w:tcPr>
            <w:tcW w:type="dxa" w:w="10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Hecho</w:t>
            </w:r>
          </w:p>
        </w:tc>
      </w:tr>
    </w:tbl>
    <w:p>
      <w:pPr>
        <w:spacing w:after="40"/>
      </w:pPr>
    </w:p>
    <w:p>
      <w:pPr>
        <w:pStyle w:val="Heading1"/>
      </w:pPr>
      <w:r>
        <w:t>2. Resumen de esfuerzo</w:t>
      </w:r>
    </w:p>
    <w:p>
      <w:r>
        <w:t>Backlog documentado: 16 historias y 92 puntos. Prioridad Must: 79 puntos. Prioridad Should: 13 puntos.</w:t>
      </w:r>
    </w:p>
    <w:p>
      <w:pPr>
        <w:pStyle w:val="Heading1"/>
      </w:pPr>
      <w:r>
        <w:t>3. Backlog técnico y deuda identificada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080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4536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Mejora pendiente</w:t>
            </w:r>
          </w:p>
        </w:tc>
        <w:tc>
          <w:tcPr>
            <w:tcW w:type="dxa" w:w="115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Prioridad</w:t>
            </w:r>
          </w:p>
        </w:tc>
        <w:tc>
          <w:tcPr>
            <w:tcW w:type="dxa" w:w="2592"/>
            <w:shd w:fill="17365D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DT-01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Migrar importes Java de double a BigDecimal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Evitar errores de precisión monetaria.</w:t>
            </w:r>
          </w:p>
        </w:tc>
      </w:tr>
      <w:tr>
        <w:tc>
          <w:tcPr>
            <w:tcW w:type="dxa" w:w="10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DT-02</w:t>
            </w:r>
          </w:p>
        </w:tc>
        <w:tc>
          <w:tcPr>
            <w:tcW w:type="dxa" w:w="45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Separar DatosStorage por entidad y servicio</w:t>
            </w:r>
          </w:p>
        </w:tc>
        <w:tc>
          <w:tcPr>
            <w:tcW w:type="dxa" w:w="115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Media</w:t>
            </w:r>
          </w:p>
        </w:tc>
        <w:tc>
          <w:tcPr>
            <w:tcW w:type="dxa" w:w="259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Reducir acoplamiento y facilitar pruebas.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DT-03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Aplicar transacciones JDBC a operaciones compuestas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Alta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Evitar diferencias entre memoria y base de datos.</w:t>
            </w:r>
          </w:p>
        </w:tc>
      </w:tr>
      <w:tr>
        <w:tc>
          <w:tcPr>
            <w:tcW w:type="dxa" w:w="10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DT-04</w:t>
            </w:r>
          </w:p>
        </w:tc>
        <w:tc>
          <w:tcPr>
            <w:tcW w:type="dxa" w:w="45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Completar límites máximos en todos los formularios</w:t>
            </w:r>
          </w:p>
        </w:tc>
        <w:tc>
          <w:tcPr>
            <w:tcW w:type="dxa" w:w="115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Media</w:t>
            </w:r>
          </w:p>
        </w:tc>
        <w:tc>
          <w:tcPr>
            <w:tcW w:type="dxa" w:w="259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Alinear interfaz, backend y columnas SQL.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DT-05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Restaurar siempre el foco al cerrar modal/menú móvil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Media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Completar experiencia de teclado.</w:t>
            </w:r>
          </w:p>
        </w:tc>
      </w:tr>
      <w:tr>
        <w:tc>
          <w:tcPr>
            <w:tcW w:type="dxa" w:w="108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DT-06</w:t>
            </w:r>
          </w:p>
        </w:tc>
        <w:tc>
          <w:tcPr>
            <w:tcW w:type="dxa" w:w="4536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Ejecutar auditoría WCAG y lector de pantalla real</w:t>
            </w:r>
          </w:p>
        </w:tc>
        <w:tc>
          <w:tcPr>
            <w:tcW w:type="dxa" w:w="115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Media</w:t>
            </w:r>
          </w:p>
        </w:tc>
        <w:tc>
          <w:tcPr>
            <w:tcW w:type="dxa" w:w="2592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 w:line="240" w:lineRule="auto"/>
            </w:pPr>
            <w:r>
              <w:rPr>
                <w:sz w:val="18"/>
              </w:rPr>
              <w:t>Validar accesibilidad con herramientas especializadas.</w:t>
            </w:r>
          </w:p>
        </w:tc>
      </w:tr>
    </w:tbl>
    <w:p>
      <w:pPr>
        <w:spacing w:after="40"/>
      </w:pPr>
    </w:p>
    <w:p>
      <w:pPr>
        <w:pStyle w:val="Heading1"/>
      </w:pPr>
      <w:r>
        <w:t>4. Política de refinamiento</w:t>
      </w:r>
    </w:p>
    <w:p>
      <w:pPr>
        <w:pStyle w:val="ListBullet"/>
      </w:pPr>
      <w:r>
        <w:t>Revisar prioridades antes de cada planificación.</w:t>
      </w:r>
    </w:p>
    <w:p>
      <w:pPr>
        <w:pStyle w:val="ListBullet"/>
      </w:pPr>
      <w:r>
        <w:t>Dividir historias mayores de 8 puntos.</w:t>
      </w:r>
    </w:p>
    <w:p>
      <w:pPr>
        <w:pStyle w:val="ListBullet"/>
      </w:pPr>
      <w:r>
        <w:t>Añadir criterios negativos y de permisos.</w:t>
      </w:r>
    </w:p>
    <w:p>
      <w:pPr>
        <w:pStyle w:val="ListBullet"/>
      </w:pPr>
      <w:r>
        <w:t>Vincular cada historia con pruebas y evidencia del repositorio.</w:t>
      </w:r>
    </w:p>
    <w:p>
      <w:pPr>
        <w:pStyle w:val="ListBullet"/>
      </w:pPr>
      <w:r>
        <w:t>Registrar deuda técnica sin ocultarla dentro de historias funcionales.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7"/>
      </w:rPr>
      <w:t>Proyecto Integrador ASE · Documentación Scrum · 18 de julio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06060"/>
        <w:sz w:val="17"/>
      </w:rPr>
      <w:t>SISTEMA CLÍNICO · MÓDULO DE INVENTARIO | SCRUM V5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60606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Product Backlog Priorizado</dc:title>
  <dc:subject>Documentación Scrum del Sistema Clínico - Módulo de Inventario V5</dc:subject>
  <dc:creator>Equipo del Proyecto Integrador 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