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Revisión, retrospectiva y trazabilidad</w:t>
      </w:r>
    </w:p>
    <w:p>
      <w:pPr>
        <w:pStyle w:val="Subtitle"/>
      </w:pPr>
      <w:r>
        <w:t>Cierre Scrum de la versión 5 del módulo de inventario</w:t>
      </w:r>
    </w:p>
    <w:p>
      <w:pPr>
        <w:spacing w:after="280"/>
      </w:pPr>
      <w:r>
        <w:rPr>
          <w:b/>
          <w:color w:val="17365D"/>
          <w:sz w:val="20"/>
        </w:rPr>
        <w:t>Versión 5.0  |  Estado: línea base del proyecto  |  Fecha: 18/07/2026</w:t>
      </w:r>
    </w:p>
    <w:p>
      <w:pPr>
        <w:pStyle w:val="Heading1"/>
      </w:pPr>
      <w:r>
        <w:t>1. Resultado de la Sprint Review V5</w:t>
      </w:r>
    </w:p>
    <w:p>
      <w:pPr>
        <w:pStyle w:val="ListBullet"/>
      </w:pPr>
      <w:r>
        <w:t>El inicio de sesión dirige al dashboard de inventario.</w:t>
      </w:r>
    </w:p>
    <w:p>
      <w:pPr>
        <w:pStyle w:val="ListBullet"/>
      </w:pPr>
      <w:r>
        <w:t>La antigua selección de módulos deja de formar parte del flujo principal.</w:t>
      </w:r>
    </w:p>
    <w:p>
      <w:pPr>
        <w:pStyle w:val="ListBullet"/>
      </w:pPr>
      <w:r>
        <w:t>El menú separa operaciones de auditoría de forma visual.</w:t>
      </w:r>
    </w:p>
    <w:p>
      <w:pPr>
        <w:pStyle w:val="ListBullet"/>
      </w:pPr>
      <w:r>
        <w:t>Las validaciones compartidas rechazan campos vacíos, formatos y rangos inválidos.</w:t>
      </w:r>
    </w:p>
    <w:p>
      <w:pPr>
        <w:pStyle w:val="ListBullet"/>
      </w:pPr>
      <w:r>
        <w:t>El bloqueo de autenticación queda establecido en tres minutos.</w:t>
      </w:r>
    </w:p>
    <w:p>
      <w:pPr>
        <w:pStyle w:val="ListBullet"/>
      </w:pPr>
      <w:r>
        <w:t>Contraseñas y datos sensibles cuentan con controles de protección diferenciados.</w:t>
      </w:r>
    </w:p>
    <w:p>
      <w:pPr>
        <w:pStyle w:val="ListBullet"/>
      </w:pPr>
      <w:r>
        <w:t>RNF-09 se implementa mediante textos claros, foco visible, teclado y preferencias visuales.</w:t>
      </w:r>
    </w:p>
    <w:p>
      <w:pPr>
        <w:pStyle w:val="ListBullet"/>
      </w:pPr>
      <w:r>
        <w:t>La compilación Maven y diez pruebas automatizadas finalizaron correctamente.</w:t>
      </w:r>
    </w:p>
    <w:p>
      <w:pPr>
        <w:pStyle w:val="Heading1"/>
      </w:pPr>
      <w:r>
        <w:t>2. Matriz de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165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type="dxa" w:w="39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Implementación/evidencia</w:t>
            </w:r>
          </w:p>
        </w:tc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Inventario y dashboard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HU-02, HU-03, HU-08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PanelServlet, InventarioServlet, DashboardService, JSP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Caja negra/blanca y revisión funcional</w:t>
            </w:r>
          </w:p>
        </w:tc>
      </w:tr>
      <w:tr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Movimientos y despachos</w:t>
            </w:r>
          </w:p>
        </w:tc>
        <w:tc>
          <w:tcPr>
            <w:tcW w:type="dxa" w:w="165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HU-04, HU-07, HU-09</w:t>
            </w:r>
          </w:p>
        </w:tc>
        <w:tc>
          <w:tcPr>
            <w:tcW w:type="dxa" w:w="39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MovimientosServlet, PedidoServlet, DatosStorage</w:t>
            </w:r>
          </w:p>
        </w:tc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Stock límite, historial y permisos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Usuarios y seguridad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HU-01, HU-06, HU-11, HU-12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LoginServlet, SeguridadStorage, PasswordUtil, DataProtectionUtil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Bloqueo, hash/cifrado e inspección SQL</w:t>
            </w:r>
          </w:p>
        </w:tc>
      </w:tr>
      <w:tr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Validación</w:t>
            </w:r>
          </w:p>
        </w:tc>
        <w:tc>
          <w:tcPr>
            <w:tcW w:type="dxa" w:w="165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HU-10</w:t>
            </w:r>
          </w:p>
        </w:tc>
        <w:tc>
          <w:tcPr>
            <w:tcW w:type="dxa" w:w="39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RequestValidator y validaciones de servlets</w:t>
            </w:r>
          </w:p>
        </w:tc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Matriz de casos válidos e inválidos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Accesibilidad RNF-09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HU-13, HU-14, HU-15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accessibility.css/js y HTML/JSP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Pruebas de teclado y preferencias</w:t>
            </w:r>
          </w:p>
        </w:tc>
      </w:tr>
      <w:tr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Calidad y entrega</w:t>
            </w:r>
          </w:p>
        </w:tc>
        <w:tc>
          <w:tcPr>
            <w:tcW w:type="dxa" w:w="165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HU-16</w:t>
            </w:r>
          </w:p>
        </w:tc>
        <w:tc>
          <w:tcPr>
            <w:tcW w:type="dxa" w:w="39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JUnit, Maven, WAR y documentación</w:t>
            </w:r>
          </w:p>
        </w:tc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10 pruebas aprobadas / BUILD SUCCESS</w:t>
            </w:r>
          </w:p>
        </w:tc>
      </w:tr>
    </w:tbl>
    <w:p>
      <w:pPr>
        <w:spacing w:after="40"/>
      </w:pPr>
    </w:p>
    <w:p>
      <w:pPr>
        <w:pStyle w:val="Heading1"/>
      </w:pPr>
      <w:r>
        <w:t>3. Retrospectiva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95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Mantener</w:t>
            </w:r>
          </w:p>
        </w:tc>
        <w:tc>
          <w:tcPr>
            <w:tcW w:type="dxa" w:w="309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Mejorar</w:t>
            </w:r>
          </w:p>
        </w:tc>
        <w:tc>
          <w:tcPr>
            <w:tcW w:type="dxa" w:w="331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Acción siguiente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PreparedStatement y validación backend.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Transacciones de operaciones compuestas.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Crear servicio transaccional de inventario.</w:t>
            </w:r>
          </w:p>
        </w:tc>
      </w:tr>
      <w:tr>
        <w:tc>
          <w:tcPr>
            <w:tcW w:type="dxa" w:w="29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Pruebas automatizadas y documentación por versión.</w:t>
            </w:r>
          </w:p>
        </w:tc>
        <w:tc>
          <w:tcPr>
            <w:tcW w:type="dxa" w:w="309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Cobertura de integración contra MySQL.</w:t>
            </w:r>
          </w:p>
        </w:tc>
        <w:tc>
          <w:tcPr>
            <w:tcW w:type="dxa" w:w="331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Preparar base aislada para pruebas.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Accesibilidad centralizada en CSS/JS.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Restauración de foco y lector real.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Cerrar pendientes de teclado y WCAG.</w:t>
            </w:r>
          </w:p>
        </w:tc>
      </w:tr>
      <w:tr>
        <w:tc>
          <w:tcPr>
            <w:tcW w:type="dxa" w:w="29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Commits separados para código y documentación.</w:t>
            </w:r>
          </w:p>
        </w:tc>
        <w:tc>
          <w:tcPr>
            <w:tcW w:type="dxa" w:w="309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Trazabilidad historia-prueba-commit.</w:t>
            </w:r>
          </w:p>
        </w:tc>
        <w:tc>
          <w:tcPr>
            <w:tcW w:type="dxa" w:w="331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Usar identificador HU en commits futuros.</w:t>
            </w:r>
          </w:p>
        </w:tc>
      </w:tr>
    </w:tbl>
    <w:p>
      <w:pPr>
        <w:spacing w:after="40"/>
      </w:pPr>
    </w:p>
    <w:p>
      <w:pPr>
        <w:pStyle w:val="Heading1"/>
      </w:pPr>
      <w:r>
        <w:t>4. Lecciones aprendidas</w:t>
      </w:r>
    </w:p>
    <w:p>
      <w:pPr>
        <w:pStyle w:val="ListBullet"/>
      </w:pPr>
      <w:r>
        <w:t>La seguridad no consiste en serializar datos: requiere hash irreversible para contraseñas, cifrado autenticado para datos recuperables, consultas parametrizadas y manejo seguro de claves.</w:t>
      </w:r>
    </w:p>
    <w:p>
      <w:pPr>
        <w:pStyle w:val="ListBullet"/>
      </w:pPr>
      <w:r>
        <w:t>Las reglas críticas deben existir en servidor y base de datos cuando corresponda; HTML es apoyo de usabilidad.</w:t>
      </w:r>
    </w:p>
    <w:p>
      <w:pPr>
        <w:pStyle w:val="ListBullet"/>
      </w:pPr>
      <w:r>
        <w:t>La accesibilidad debe incluir teclado, foco, texto e información que no dependa solo del color.</w:t>
      </w:r>
    </w:p>
    <w:p>
      <w:pPr>
        <w:pStyle w:val="ListBullet"/>
      </w:pPr>
      <w:r>
        <w:t>Una historia está terminada cuando existe evidencia comprobable, no solo cuando la pantalla luce completa.</w:t>
      </w:r>
    </w:p>
    <w:p>
      <w:pPr>
        <w:pStyle w:val="ListBullet"/>
      </w:pPr>
      <w:r>
        <w:t>La deuda técnica visible permite priorizar sin confundir el incremento actual con una solución definitiva.</w:t>
      </w:r>
    </w:p>
    <w:p>
      <w:pPr>
        <w:pStyle w:val="Heading1"/>
      </w:pPr>
      <w:r>
        <w:t>5. Pendientes recomendados para V6</w:t>
      </w:r>
    </w:p>
    <w:p>
      <w:pPr>
        <w:pStyle w:val="ListBullet"/>
      </w:pPr>
      <w:r>
        <w:t>BigDecimal para importes.</w:t>
      </w:r>
    </w:p>
    <w:p>
      <w:pPr>
        <w:pStyle w:val="ListBullet"/>
      </w:pPr>
      <w:r>
        <w:t>Transacciones JDBC y repositorios por entidad.</w:t>
      </w:r>
    </w:p>
    <w:p>
      <w:pPr>
        <w:pStyle w:val="ListBullet"/>
      </w:pPr>
      <w:r>
        <w:t>Pruebas de integración y seguridad automatizadas.</w:t>
      </w:r>
    </w:p>
    <w:p>
      <w:pPr>
        <w:pStyle w:val="ListBullet"/>
      </w:pPr>
      <w:r>
        <w:t>Auditoría WCAG 2.2 con lector de pantalla.</w:t>
      </w:r>
    </w:p>
    <w:p>
      <w:pPr>
        <w:pStyle w:val="ListBullet"/>
      </w:pPr>
      <w:r>
        <w:t>Restricciones SQL adicionales y migraciones versionadas.</w:t>
      </w:r>
    </w:p>
    <w:p>
      <w:pPr>
        <w:pStyle w:val="ListBullet"/>
      </w:pPr>
      <w:r>
        <w:t>Corrección completa del retorno de foco en modales y menú móvil.</w:t>
      </w:r>
    </w:p>
    <w:p>
      <w:pPr>
        <w:pStyle w:val="Heading1"/>
      </w:pPr>
      <w:r>
        <w:t>6. Aprobación del incremento</w:t>
      </w:r>
    </w:p>
    <w:p>
      <w:r>
        <w:t>Criterio de cierre: el Product Owner valida la demostración, confirma los criterios aceptados y registra cualquier observación como nuevo elemento del Product Backlog. Este documento constituye la línea base documental V5, no sustituye el acta de aceptación firmada por los interesados.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>Proyecto Integrador ASE · Documentación Scrum · 18 de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060"/>
        <w:sz w:val="17"/>
      </w:rPr>
      <w:t>SISTEMA CLÍNICO · MÓDULO DE INVENTARIO | SCRUM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Revision Retrospectiva y Trazabilidad</dc:title>
  <dc:subject>Documentación Scrum del Sistema Clínico - Módulo de Inventario V5</dc:subject>
  <dc:creator>Equipo del Proyecto Integrador 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