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GAP PROSPECTING AI</w:t>
        <w:br/>
        <w:t>ORCHESTRATOR CONTROL CONTRACT v1.3</w:t>
      </w:r>
    </w:p>
    <w:p>
      <w:pPr>
        <w:spacing w:after="100"/>
        <w:jc w:val="center"/>
      </w:pPr>
      <w:r>
        <w:rPr>
          <w:b w:val="0"/>
        </w:rPr>
        <w:t>Authority, Handoffs, Locked Evidence and Cross-Engine Governance</w:t>
      </w:r>
    </w:p>
    <w:p>
      <w:pPr>
        <w:spacing w:after="100"/>
        <w:jc w:val="center"/>
      </w:pPr>
      <w:r>
        <w:rPr>
          <w:b/>
        </w:rPr>
        <w:t>DOCUMENT 02 · GOVERNANCE &amp; CONTROL</w:t>
      </w:r>
    </w:p>
    <w:p>
      <w:pPr>
        <w:spacing w:after="100"/>
        <w:jc w:val="center"/>
      </w:pPr>
      <w:r>
        <w:rPr>
          <w:b w:val="0"/>
        </w:rPr>
        <w:t>Purpose: govern authority, participant isolation, evidence, handoffs, same-turn mission completion and release integrity across the v1.3 architecture so that participant identity/battlefield, deep research, prospecting prescription, Buyer verification and automatic Weekly GOLD Pack release cannot be bypassed, silently inherited, contradicted or deferred behind false continuation.</w:t>
      </w:r>
    </w:p>
    <w:p>
      <w:r>
        <w:br w:type="page"/>
      </w:r>
    </w:p>
    <w:p>
      <w:pPr>
        <w:pStyle w:val="Heading1"/>
      </w:pPr>
      <w:r>
        <w:t>1. Contract Purpose</w:t>
      </w:r>
    </w:p>
    <w:p>
      <w:pPr>
        <w:spacing w:after="100"/>
      </w:pPr>
      <w:r>
        <w:rPr>
          <w:b w:val="0"/>
        </w:rPr>
        <w:t>This Control Contract governs how GAP Prospecting AI components interact under Orchestrator v1.3. It defines authority, ownership of decisions, handoff requirements, immutable records, permitted updates, conflict resolution, confidence rules and release controls.</w:t>
      </w:r>
    </w:p>
    <w:p>
      <w:pPr>
        <w:spacing w:after="100"/>
      </w:pPr>
      <w:r>
        <w:rPr>
          <w:b w:val="0"/>
        </w:rPr>
        <w:t>The Orchestrator controls sequence and release integrity. Specialized Engines control their governed calculations or decision domains. No component may silently rewrite another component’s validated output merely to make the final answer appear coherent.</w:t>
      </w:r>
    </w:p>
    <w:p>
      <w:pPr>
        <w:spacing w:after="100"/>
      </w:pPr>
      <w:r>
        <w:rPr>
          <w:b w:val="0"/>
        </w:rPr>
        <w:t>Coherence is not authority. Plausibility is not evidence. A downstream answer cannot retroactively legalize a broken upstream process.</w:t>
      </w:r>
    </w:p>
    <w:p>
      <w:pPr>
        <w:spacing w:after="100"/>
      </w:pPr>
      <w:r>
        <w:rPr>
          <w:b w:val="0"/>
        </w:rPr>
        <w:t>New v1.1 control principle: Account Discovery is not an independent starting point. Deep Company Intelligence, Capability &amp; Proof Map, ICP/Buyer/GAP Family Map and Prospecting Prescription are upstream prerequisites unless a sufficiently current locked version is being legitimately reused.</w:t>
      </w:r>
    </w:p>
    <w:p>
      <w:pPr>
        <w:pStyle w:val="Heading1"/>
      </w:pPr>
      <w:r>
        <w:t>2. Governance Principles v1.3</w:t>
      </w:r>
    </w:p>
    <w:p>
      <w:r>
        <w:t>1. Participant isolation principle. Before participant-specific Company Intelligence or market discovery, establish the participant company and mission battlefield. Creator identity, Salesbumm methodology, Knowledge examples, case studies, prior tests, other users and unrelated historical context are never valid defaults for participant identity or territory.</w:t>
      </w:r>
    </w:p>
    <w:p>
      <w:pPr>
        <w:pStyle w:val="ListNumber"/>
        <w:spacing w:after="40"/>
      </w:pPr>
      <w:r>
        <w:t>Single-owner principle. Every governed output has one authoritative owner.</w:t>
      </w:r>
    </w:p>
    <w:p>
      <w:pPr>
        <w:pStyle w:val="ListNumber"/>
        <w:spacing w:after="40"/>
      </w:pPr>
      <w:r>
        <w:t>Upstream integrity principle. Downstream components may consume validated upstream records but may not rewrite them.</w:t>
      </w:r>
    </w:p>
    <w:p>
      <w:pPr>
        <w:pStyle w:val="ListNumber"/>
        <w:spacing w:after="40"/>
      </w:pPr>
      <w:r>
        <w:t>Append-only evidence principle. New evidence may be appended with provenance and time; original locked evidence remains intact.</w:t>
      </w:r>
    </w:p>
    <w:p>
      <w:pPr>
        <w:pStyle w:val="ListNumber"/>
        <w:spacing w:after="40"/>
      </w:pPr>
      <w:r>
        <w:t>No silent reconciliation. Contradictions must be surfaced, classified and resolved explicitly.</w:t>
      </w:r>
    </w:p>
    <w:p>
      <w:pPr>
        <w:pStyle w:val="ListNumber"/>
        <w:spacing w:after="40"/>
      </w:pPr>
      <w:r>
        <w:t>Evidence outranks inference. Verified facts outrank model interpretation; validated first-party correction outranks unsupported AI inference.</w:t>
      </w:r>
    </w:p>
    <w:p>
      <w:pPr>
        <w:pStyle w:val="ListNumber"/>
        <w:spacing w:after="40"/>
      </w:pPr>
      <w:r>
        <w:t>Specific evidence outranks generic patterns. Account-specific evidence outranks broad market assumptions for account decisions.</w:t>
      </w:r>
    </w:p>
    <w:p>
      <w:pPr>
        <w:pStyle w:val="ListNumber"/>
        <w:spacing w:after="40"/>
      </w:pPr>
      <w:r>
        <w:t>Recency matters. Newer evidence may supersede an older interpretation only through a documented update, never by deleting history.</w:t>
      </w:r>
    </w:p>
    <w:p>
      <w:pPr>
        <w:pStyle w:val="ListNumber"/>
        <w:spacing w:after="40"/>
      </w:pPr>
      <w:r>
        <w:t>Research completeness is governed. The Company Intelligence layer must disclose source categories reviewed and inaccessible; it may not imply research it did not perform.</w:t>
      </w:r>
    </w:p>
    <w:p>
      <w:pPr>
        <w:pStyle w:val="ListNumber"/>
        <w:spacing w:after="40"/>
      </w:pPr>
      <w:r>
        <w:t>Prescription-before-discovery principle. The system must decide which opportunity patterns deserve capacity before opening the account universe.</w:t>
      </w:r>
    </w:p>
    <w:p>
      <w:pPr>
        <w:pStyle w:val="ListNumber"/>
        <w:spacing w:after="40"/>
      </w:pPr>
      <w:r>
        <w:t>Buyer verification constrains personalization. An account may remain valuable without a verified person, but nominal outreach cannot be released as if the Buyer were known.</w:t>
      </w:r>
    </w:p>
    <w:p>
      <w:pPr>
        <w:pStyle w:val="ListNumber"/>
        <w:spacing w:after="40"/>
      </w:pPr>
      <w:r>
        <w:t>Internal reasoning and external communication are separate governed layers. Evidence rigor must not become prospect-facing jargon or verbose compliance language.</w:t>
      </w:r>
    </w:p>
    <w:p>
      <w:pPr>
        <w:pStyle w:val="ListNumber"/>
        <w:spacing w:after="40"/>
      </w:pPr>
      <w:r>
        <w:t>Human authority is explicit, not magical. Human correction can validate business context, ownership and priorities, but cannot convert an unverified public claim into verified external evidence.</w:t>
      </w:r>
    </w:p>
    <w:p>
      <w:pPr>
        <w:pStyle w:val="ListNumber"/>
        <w:spacing w:after="40"/>
      </w:pPr>
      <w:r>
        <w:t>Release gates are mandatory. A Weekly GOLD Pack cannot be released merely because enough text exists.</w:t>
      </w:r>
    </w:p>
    <w:p>
      <w:pPr>
        <w:pStyle w:val="ListNumber"/>
        <w:spacing w:after="40"/>
      </w:pPr>
      <w:r>
        <w:t>Automatic release is mandatory when all release gates pass. The system must not stall at a status recap waiting for the user to know the next internal step.</w:t>
      </w:r>
    </w:p>
    <w:p>
      <w:pPr>
        <w:pStyle w:val="ListNumber"/>
        <w:spacing w:after="40"/>
      </w:pPr>
      <w:r>
        <w:t>Learning is controlled. Outcome patterns create learning candidates; they do not automatically mutate core methodology.</w:t>
      </w:r>
    </w:p>
    <w:p>
      <w:pPr>
        <w:pStyle w:val="ListNumber"/>
      </w:pPr>
      <w:r>
        <w:t>Same-turn completion principle. Once the last material human input is resolved, all remaining researchable pipeline stages belong to the same mission turn and must be executed through Weekly GOLD Pack unless a genuine human-only blocker or actual tool/runtime limit prevents completion.</w:t>
      </w:r>
    </w:p>
    <w:p>
      <w:pPr>
        <w:pStyle w:val="ListNumber"/>
      </w:pPr>
      <w:r>
        <w:t>False-continuation prohibition. “Continúo”, “seguiré”, “cerraré la misión”, “next I will” and equivalent future-intent language cannot substitute for execution when executable stages remain.</w:t>
      </w:r>
    </w:p>
    <w:p>
      <w:pPr>
        <w:pStyle w:val="Heading1"/>
      </w:pPr>
      <w:r>
        <w:t>3. Authority Hierarchy</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t>2A</w:t>
            </w:r>
          </w:p>
        </w:tc>
        <w:tc>
          <w:tcPr>
            <w:tcW w:type="dxa" w:w="3331"/>
          </w:tcPr>
          <w:p>
            <w:r>
              <w:t>Validated participant identity &amp; battlefield</w:t>
            </w:r>
          </w:p>
        </w:tc>
        <w:tc>
          <w:tcPr>
            <w:tcW w:type="dxa" w:w="3331"/>
          </w:tcPr>
          <w:p>
            <w:r>
              <w:t>Current participant company boundary and mission territory; explicit/unambiguous or minimally validated before discovery.</w:t>
            </w:r>
          </w:p>
        </w:tc>
      </w:tr>
      <w:tr>
        <w:tc>
          <w:tcPr>
            <w:tcW w:type="dxa" w:w="792"/>
            <w:shd w:fill="D9EAF7"/>
            <w:tcMar>
              <w:top w:w="80" w:type="dxa"/>
              <w:bottom w:w="80" w:type="dxa"/>
              <w:start w:w="100" w:type="dxa"/>
              <w:end w:w="100" w:type="dxa"/>
            </w:tcMar>
          </w:tcPr>
          <w:p>
            <w:r>
              <w:t>1</w:t>
            </w:r>
          </w:p>
        </w:tc>
        <w:tc>
          <w:tcPr>
            <w:tcW w:type="dxa" w:w="2880"/>
            <w:shd w:fill="D9EAF7"/>
            <w:tcMar>
              <w:top w:w="80" w:type="dxa"/>
              <w:bottom w:w="80" w:type="dxa"/>
              <w:start w:w="100" w:type="dxa"/>
              <w:end w:w="100" w:type="dxa"/>
            </w:tcMar>
          </w:tcPr>
          <w:p>
            <w:r>
              <w:rPr>
                <w:b/>
              </w:rPr>
              <w:t>Authority source</w:t>
            </w:r>
          </w:p>
        </w:tc>
        <w:tc>
          <w:tcPr>
            <w:tcW w:type="dxa" w:w="5472"/>
            <w:shd w:fill="D9EAF7"/>
            <w:tcMar>
              <w:top w:w="80" w:type="dxa"/>
              <w:bottom w:w="80" w:type="dxa"/>
              <w:start w:w="100" w:type="dxa"/>
              <w:end w:w="100" w:type="dxa"/>
            </w:tcMar>
          </w:tcPr>
          <w:p>
            <w:r>
              <w:rPr>
                <w:b/>
              </w:rPr>
              <w:t>What it controls</w:t>
            </w:r>
          </w:p>
        </w:tc>
      </w:tr>
      <w:tr>
        <w:tc>
          <w:tcPr>
            <w:tcW w:type="dxa" w:w="792"/>
            <w:vAlign w:val="top"/>
            <w:tcMar>
              <w:top w:w="80" w:type="dxa"/>
              <w:bottom w:w="80" w:type="dxa"/>
              <w:start w:w="100" w:type="dxa"/>
              <w:end w:w="100" w:type="dxa"/>
            </w:tcMar>
          </w:tcPr>
          <w:p>
            <w:r>
              <w:t>2</w:t>
            </w:r>
          </w:p>
        </w:tc>
        <w:tc>
          <w:tcPr>
            <w:tcW w:type="dxa" w:w="2880"/>
            <w:vAlign w:val="top"/>
            <w:tcMar>
              <w:top w:w="80" w:type="dxa"/>
              <w:bottom w:w="80" w:type="dxa"/>
              <w:start w:w="100" w:type="dxa"/>
              <w:end w:w="100" w:type="dxa"/>
            </w:tcMar>
          </w:tcPr>
          <w:p>
            <w:r>
              <w:t>Safety, privacy and legal constraints</w:t>
            </w:r>
          </w:p>
        </w:tc>
        <w:tc>
          <w:tcPr>
            <w:tcW w:type="dxa" w:w="5472"/>
            <w:vAlign w:val="top"/>
            <w:tcMar>
              <w:top w:w="80" w:type="dxa"/>
              <w:bottom w:w="80" w:type="dxa"/>
              <w:start w:w="100" w:type="dxa"/>
              <w:end w:w="100" w:type="dxa"/>
            </w:tcMar>
          </w:tcPr>
          <w:p>
            <w:r>
              <w:t>Hard stop. No Engine can override.</w:t>
            </w:r>
          </w:p>
        </w:tc>
      </w:tr>
      <w:tr>
        <w:tc>
          <w:tcPr>
            <w:tcW w:type="dxa" w:w="792"/>
            <w:vAlign w:val="top"/>
            <w:tcMar>
              <w:top w:w="80" w:type="dxa"/>
              <w:bottom w:w="80" w:type="dxa"/>
              <w:start w:w="100" w:type="dxa"/>
              <w:end w:w="100" w:type="dxa"/>
            </w:tcMar>
          </w:tcPr>
          <w:p>
            <w:r>
              <w:t>3</w:t>
            </w:r>
          </w:p>
        </w:tc>
        <w:tc>
          <w:tcPr>
            <w:tcW w:type="dxa" w:w="2880"/>
            <w:vAlign w:val="top"/>
            <w:tcMar>
              <w:top w:w="80" w:type="dxa"/>
              <w:bottom w:w="80" w:type="dxa"/>
              <w:start w:w="100" w:type="dxa"/>
              <w:end w:w="100" w:type="dxa"/>
            </w:tcMar>
          </w:tcPr>
          <w:p>
            <w:r>
              <w:t>Validated first-party business facts</w:t>
            </w:r>
          </w:p>
        </w:tc>
        <w:tc>
          <w:tcPr>
            <w:tcW w:type="dxa" w:w="5472"/>
            <w:vAlign w:val="top"/>
            <w:tcMar>
              <w:top w:w="80" w:type="dxa"/>
              <w:bottom w:w="80" w:type="dxa"/>
              <w:start w:w="100" w:type="dxa"/>
              <w:end w:w="100" w:type="dxa"/>
            </w:tcMar>
          </w:tcPr>
          <w:p>
            <w:r>
              <w:t>Company offer, exclusions, CRM ownership, customers, internal priorities.</w:t>
            </w:r>
          </w:p>
        </w:tc>
      </w:tr>
      <w:tr>
        <w:tc>
          <w:tcPr>
            <w:tcW w:type="dxa" w:w="792"/>
            <w:vAlign w:val="top"/>
            <w:tcMar>
              <w:top w:w="80" w:type="dxa"/>
              <w:bottom w:w="80" w:type="dxa"/>
              <w:start w:w="100" w:type="dxa"/>
              <w:end w:w="100" w:type="dxa"/>
            </w:tcMar>
          </w:tcPr>
          <w:p>
            <w:r>
              <w:t>4</w:t>
            </w:r>
          </w:p>
        </w:tc>
        <w:tc>
          <w:tcPr>
            <w:tcW w:type="dxa" w:w="2880"/>
            <w:vAlign w:val="top"/>
            <w:tcMar>
              <w:top w:w="80" w:type="dxa"/>
              <w:bottom w:w="80" w:type="dxa"/>
              <w:start w:w="100" w:type="dxa"/>
              <w:end w:w="100" w:type="dxa"/>
            </w:tcMar>
          </w:tcPr>
          <w:p>
            <w:r>
              <w:t>Locked upstream handoffs</w:t>
            </w:r>
          </w:p>
        </w:tc>
        <w:tc>
          <w:tcPr>
            <w:tcW w:type="dxa" w:w="5472"/>
            <w:vAlign w:val="top"/>
            <w:tcMar>
              <w:top w:w="80" w:type="dxa"/>
              <w:bottom w:w="80" w:type="dxa"/>
              <w:start w:w="100" w:type="dxa"/>
              <w:end w:w="100" w:type="dxa"/>
            </w:tcMar>
          </w:tcPr>
          <w:p>
            <w:r>
              <w:t>Validated records already passed between Engines.</w:t>
            </w:r>
          </w:p>
        </w:tc>
      </w:tr>
      <w:tr>
        <w:tc>
          <w:tcPr>
            <w:tcW w:type="dxa" w:w="792"/>
            <w:vAlign w:val="top"/>
            <w:tcMar>
              <w:top w:w="80" w:type="dxa"/>
              <w:bottom w:w="80" w:type="dxa"/>
              <w:start w:w="100" w:type="dxa"/>
              <w:end w:w="100" w:type="dxa"/>
            </w:tcMar>
          </w:tcPr>
          <w:p>
            <w:r>
              <w:t>5</w:t>
            </w:r>
          </w:p>
        </w:tc>
        <w:tc>
          <w:tcPr>
            <w:tcW w:type="dxa" w:w="2880"/>
            <w:vAlign w:val="top"/>
            <w:tcMar>
              <w:top w:w="80" w:type="dxa"/>
              <w:bottom w:w="80" w:type="dxa"/>
              <w:start w:w="100" w:type="dxa"/>
              <w:end w:w="100" w:type="dxa"/>
            </w:tcMar>
          </w:tcPr>
          <w:p>
            <w:r>
              <w:t>Verified current external evidence</w:t>
            </w:r>
          </w:p>
        </w:tc>
        <w:tc>
          <w:tcPr>
            <w:tcW w:type="dxa" w:w="5472"/>
            <w:vAlign w:val="top"/>
            <w:tcMar>
              <w:top w:w="80" w:type="dxa"/>
              <w:bottom w:w="80" w:type="dxa"/>
              <w:start w:w="100" w:type="dxa"/>
              <w:end w:w="100" w:type="dxa"/>
            </w:tcMar>
          </w:tcPr>
          <w:p>
            <w:r>
              <w:t>Signals, public events, observable account facts, verified Buyer facts.</w:t>
            </w:r>
          </w:p>
        </w:tc>
      </w:tr>
      <w:tr>
        <w:tc>
          <w:tcPr>
            <w:tcW w:type="dxa" w:w="792"/>
            <w:vAlign w:val="top"/>
            <w:tcMar>
              <w:top w:w="80" w:type="dxa"/>
              <w:bottom w:w="80" w:type="dxa"/>
              <w:start w:w="100" w:type="dxa"/>
              <w:end w:w="100" w:type="dxa"/>
            </w:tcMar>
          </w:tcPr>
          <w:p>
            <w:r>
              <w:t>6</w:t>
            </w:r>
          </w:p>
        </w:tc>
        <w:tc>
          <w:tcPr>
            <w:tcW w:type="dxa" w:w="2880"/>
            <w:vAlign w:val="top"/>
            <w:tcMar>
              <w:top w:w="80" w:type="dxa"/>
              <w:bottom w:w="80" w:type="dxa"/>
              <w:start w:w="100" w:type="dxa"/>
              <w:end w:w="100" w:type="dxa"/>
            </w:tcMar>
          </w:tcPr>
          <w:p>
            <w:r>
              <w:t>Specialized Engine governed output</w:t>
            </w:r>
          </w:p>
        </w:tc>
        <w:tc>
          <w:tcPr>
            <w:tcW w:type="dxa" w:w="5472"/>
            <w:vAlign w:val="top"/>
            <w:tcMar>
              <w:top w:w="80" w:type="dxa"/>
              <w:bottom w:w="80" w:type="dxa"/>
              <w:start w:w="100" w:type="dxa"/>
              <w:end w:w="100" w:type="dxa"/>
            </w:tcMar>
          </w:tcPr>
          <w:p>
            <w:r>
              <w:t>Research, scoring, routing, outreach quality, etc., within its own domain.</w:t>
            </w:r>
          </w:p>
        </w:tc>
      </w:tr>
      <w:tr>
        <w:tc>
          <w:tcPr>
            <w:tcW w:type="dxa" w:w="792"/>
            <w:vAlign w:val="top"/>
            <w:tcMar>
              <w:top w:w="80" w:type="dxa"/>
              <w:bottom w:w="80" w:type="dxa"/>
              <w:start w:w="100" w:type="dxa"/>
              <w:end w:w="100" w:type="dxa"/>
            </w:tcMar>
          </w:tcPr>
          <w:p>
            <w:r>
              <w:t>7</w:t>
            </w:r>
          </w:p>
        </w:tc>
        <w:tc>
          <w:tcPr>
            <w:tcW w:type="dxa" w:w="2880"/>
            <w:vAlign w:val="top"/>
            <w:tcMar>
              <w:top w:w="80" w:type="dxa"/>
              <w:bottom w:w="80" w:type="dxa"/>
              <w:start w:w="100" w:type="dxa"/>
              <w:end w:w="100" w:type="dxa"/>
            </w:tcMar>
          </w:tcPr>
          <w:p>
            <w:r>
              <w:t>Human strategic preference</w:t>
            </w:r>
          </w:p>
        </w:tc>
        <w:tc>
          <w:tcPr>
            <w:tcW w:type="dxa" w:w="5472"/>
            <w:vAlign w:val="top"/>
            <w:tcMar>
              <w:top w:w="80" w:type="dxa"/>
              <w:bottom w:w="80" w:type="dxa"/>
              <w:start w:w="100" w:type="dxa"/>
              <w:end w:w="100" w:type="dxa"/>
            </w:tcMar>
          </w:tcPr>
          <w:p>
            <w:r>
              <w:t>Territory, capacity, assignment, route override with rationale.</w:t>
            </w:r>
          </w:p>
        </w:tc>
      </w:tr>
      <w:tr>
        <w:tc>
          <w:tcPr>
            <w:tcW w:type="dxa" w:w="792"/>
            <w:vAlign w:val="top"/>
            <w:tcMar>
              <w:top w:w="80" w:type="dxa"/>
              <w:bottom w:w="80" w:type="dxa"/>
              <w:start w:w="100" w:type="dxa"/>
              <w:end w:w="100" w:type="dxa"/>
            </w:tcMar>
          </w:tcPr>
          <w:p>
            <w:r>
              <w:t>8</w:t>
            </w:r>
          </w:p>
        </w:tc>
        <w:tc>
          <w:tcPr>
            <w:tcW w:type="dxa" w:w="2880"/>
            <w:vAlign w:val="top"/>
            <w:tcMar>
              <w:top w:w="80" w:type="dxa"/>
              <w:bottom w:w="80" w:type="dxa"/>
              <w:start w:w="100" w:type="dxa"/>
              <w:end w:w="100" w:type="dxa"/>
            </w:tcMar>
          </w:tcPr>
          <w:p>
            <w:r>
              <w:t>AI interpretation / hypothesis</w:t>
            </w:r>
          </w:p>
        </w:tc>
        <w:tc>
          <w:tcPr>
            <w:tcW w:type="dxa" w:w="5472"/>
            <w:vAlign w:val="top"/>
            <w:tcMar>
              <w:top w:w="80" w:type="dxa"/>
              <w:bottom w:w="80" w:type="dxa"/>
              <w:start w:w="100" w:type="dxa"/>
              <w:end w:w="100" w:type="dxa"/>
            </w:tcMar>
          </w:tcPr>
          <w:p>
            <w:r>
              <w:t>Useful but explicitly bounded by confidence and evidence.</w:t>
            </w:r>
          </w:p>
        </w:tc>
      </w:tr>
      <w:tr>
        <w:tc>
          <w:tcPr>
            <w:tcW w:type="dxa" w:w="792"/>
            <w:vAlign w:val="top"/>
            <w:tcMar>
              <w:top w:w="80" w:type="dxa"/>
              <w:bottom w:w="80" w:type="dxa"/>
              <w:start w:w="100" w:type="dxa"/>
              <w:end w:w="100" w:type="dxa"/>
            </w:tcMar>
          </w:tcPr>
          <w:p>
            <w:r>
              <w:t>9</w:t>
            </w:r>
          </w:p>
        </w:tc>
        <w:tc>
          <w:tcPr>
            <w:tcW w:type="dxa" w:w="2880"/>
            <w:vAlign w:val="top"/>
            <w:tcMar>
              <w:top w:w="80" w:type="dxa"/>
              <w:bottom w:w="80" w:type="dxa"/>
              <w:start w:w="100" w:type="dxa"/>
              <w:end w:w="100" w:type="dxa"/>
            </w:tcMar>
          </w:tcPr>
          <w:p>
            <w:r>
              <w:t>Generic benchmark / heuristic</w:t>
            </w:r>
          </w:p>
        </w:tc>
        <w:tc>
          <w:tcPr>
            <w:tcW w:type="dxa" w:w="5472"/>
            <w:vAlign w:val="top"/>
            <w:tcMar>
              <w:top w:w="80" w:type="dxa"/>
              <w:bottom w:w="80" w:type="dxa"/>
              <w:start w:w="100" w:type="dxa"/>
              <w:end w:w="100" w:type="dxa"/>
            </w:tcMar>
          </w:tcPr>
          <w:p>
            <w:r>
              <w:t>Context only; never account-level proof.</w:t>
            </w:r>
          </w:p>
        </w:tc>
      </w:tr>
    </w:tbl>
    <w:p/>
    <w:p>
      <w:pPr>
        <w:pStyle w:val="Heading1"/>
      </w:pPr>
      <w:r>
        <w:t>4. Component Roles and Decision Rights v1.3</w:t>
      </w:r>
    </w:p>
    <w:tbl>
      <w:tblPr>
        <w:tblStyle w:val="TableGrid"/>
        <w:tblW w:type="auto" w:w="0"/>
        <w:jc w:val="center"/>
        <w:tblLook w:firstColumn="1" w:firstRow="1" w:lastColumn="0" w:lastRow="0" w:noHBand="0" w:noVBand="1" w:val="04A0"/>
      </w:tblPr>
      <w:tblGrid>
        <w:gridCol w:w="3331"/>
        <w:gridCol w:w="3331"/>
        <w:gridCol w:w="3331"/>
      </w:tblGrid>
      <w:tr>
        <w:tc>
          <w:tcPr>
            <w:tcW w:type="dxa" w:w="2304"/>
            <w:shd w:fill="D9EAF7"/>
            <w:tcMar>
              <w:top w:w="80" w:type="dxa"/>
              <w:bottom w:w="80" w:type="dxa"/>
              <w:start w:w="100" w:type="dxa"/>
              <w:end w:w="100" w:type="dxa"/>
            </w:tcMar>
          </w:tcPr>
          <w:p>
            <w:r>
              <w:rPr>
                <w:b/>
              </w:rPr>
              <w:t>Component</w:t>
            </w:r>
          </w:p>
        </w:tc>
        <w:tc>
          <w:tcPr>
            <w:tcW w:type="dxa" w:w="3672"/>
            <w:shd w:fill="D9EAF7"/>
            <w:tcMar>
              <w:top w:w="80" w:type="dxa"/>
              <w:bottom w:w="80" w:type="dxa"/>
              <w:start w:w="100" w:type="dxa"/>
              <w:end w:w="100" w:type="dxa"/>
            </w:tcMar>
          </w:tcPr>
          <w:p>
            <w:r>
              <w:rPr>
                <w:b/>
              </w:rPr>
              <w:t>Owns</w:t>
            </w:r>
          </w:p>
        </w:tc>
        <w:tc>
          <w:tcPr>
            <w:tcW w:type="dxa" w:w="3672"/>
            <w:shd w:fill="D9EAF7"/>
            <w:tcMar>
              <w:top w:w="80" w:type="dxa"/>
              <w:bottom w:w="80" w:type="dxa"/>
              <w:start w:w="100" w:type="dxa"/>
              <w:end w:w="100" w:type="dxa"/>
            </w:tcMar>
          </w:tcPr>
          <w:p>
            <w:r>
              <w:rPr>
                <w:b/>
              </w:rPr>
              <w:t>Forbidden</w:t>
            </w:r>
          </w:p>
        </w:tc>
      </w:tr>
      <w:tr>
        <w:tc>
          <w:tcPr>
            <w:tcW w:type="dxa" w:w="2304"/>
            <w:vAlign w:val="top"/>
            <w:tcMar>
              <w:top w:w="80" w:type="dxa"/>
              <w:bottom w:w="80" w:type="dxa"/>
              <w:start w:w="100" w:type="dxa"/>
              <w:end w:w="100" w:type="dxa"/>
            </w:tcMar>
          </w:tcPr>
          <w:p>
            <w:r>
              <w:t>Orchestrator</w:t>
            </w:r>
          </w:p>
        </w:tc>
        <w:tc>
          <w:tcPr>
            <w:tcW w:type="dxa" w:w="3672"/>
            <w:vAlign w:val="top"/>
            <w:tcMar>
              <w:top w:w="80" w:type="dxa"/>
              <w:bottom w:w="80" w:type="dxa"/>
              <w:start w:w="100" w:type="dxa"/>
              <w:end w:w="100" w:type="dxa"/>
            </w:tcMar>
          </w:tcPr>
          <w:p>
            <w:r>
              <w:t>Sequence, participant/battlefield gate, state transitions, prerequisites, same-turn mission completion, required gates, automatic release/no-release, exception routing.</w:t>
            </w:r>
          </w:p>
        </w:tc>
        <w:tc>
          <w:tcPr>
            <w:tcW w:type="dxa" w:w="3672"/>
            <w:vAlign w:val="top"/>
            <w:tcMar>
              <w:top w:w="80" w:type="dxa"/>
              <w:bottom w:w="80" w:type="dxa"/>
              <w:start w:w="100" w:type="dxa"/>
              <w:end w:w="100" w:type="dxa"/>
            </w:tcMar>
          </w:tcPr>
          <w:p>
            <w:r>
              <w:t>May not infer participant company/battlefield from creator context; may not end an executable mission with a progress-only recap or future promise; may not invent specialized scores or rewrite locked Engine outputs.</w:t>
            </w:r>
          </w:p>
        </w:tc>
      </w:tr>
      <w:tr>
        <w:tc>
          <w:tcPr>
            <w:tcW w:type="dxa" w:w="2304"/>
            <w:vAlign w:val="top"/>
            <w:tcMar>
              <w:top w:w="80" w:type="dxa"/>
              <w:bottom w:w="80" w:type="dxa"/>
              <w:start w:w="100" w:type="dxa"/>
              <w:end w:w="100" w:type="dxa"/>
            </w:tcMar>
          </w:tcPr>
          <w:p>
            <w:r>
              <w:t>Diagnostic Handoff Adapter</w:t>
            </w:r>
          </w:p>
        </w:tc>
        <w:tc>
          <w:tcPr>
            <w:tcW w:type="dxa" w:w="3672"/>
            <w:vAlign w:val="top"/>
            <w:tcMar>
              <w:top w:w="80" w:type="dxa"/>
              <w:bottom w:w="80" w:type="dxa"/>
              <w:start w:w="100" w:type="dxa"/>
              <w:end w:w="100" w:type="dxa"/>
            </w:tcMar>
          </w:tcPr>
          <w:p>
            <w:r>
              <w:t>Imports relevant Sales Leadership Diagnostic AI evidence and converts it into prospecting context.</w:t>
            </w:r>
          </w:p>
        </w:tc>
        <w:tc>
          <w:tcPr>
            <w:tcW w:type="dxa" w:w="3672"/>
            <w:vAlign w:val="top"/>
            <w:tcMar>
              <w:top w:w="80" w:type="dxa"/>
              <w:bottom w:w="80" w:type="dxa"/>
              <w:start w:w="100" w:type="dxa"/>
              <w:end w:w="100" w:type="dxa"/>
            </w:tcMar>
          </w:tcPr>
          <w:p>
            <w:r>
              <w:t>May not recalculate or reinterpret original diagnostic methodology.</w:t>
            </w:r>
          </w:p>
        </w:tc>
      </w:tr>
      <w:tr>
        <w:tc>
          <w:tcPr>
            <w:tcW w:type="dxa" w:w="2304"/>
            <w:vAlign w:val="top"/>
            <w:tcMar>
              <w:top w:w="80" w:type="dxa"/>
              <w:bottom w:w="80" w:type="dxa"/>
              <w:start w:w="100" w:type="dxa"/>
              <w:end w:w="100" w:type="dxa"/>
            </w:tcMar>
          </w:tcPr>
          <w:p>
            <w:r>
              <w:t>Company Intelligence Engine</w:t>
            </w:r>
          </w:p>
        </w:tc>
        <w:tc>
          <w:tcPr>
            <w:tcW w:type="dxa" w:w="3672"/>
            <w:vAlign w:val="top"/>
            <w:tcMar>
              <w:top w:w="80" w:type="dxa"/>
              <w:bottom w:w="80" w:type="dxa"/>
              <w:start w:w="100" w:type="dxa"/>
              <w:end w:w="100" w:type="dxa"/>
            </w:tcMar>
          </w:tcPr>
          <w:p>
            <w:r>
              <w:t>Deeply researches Company DNA, offer, public ecosystem, commercial context and source coverage.</w:t>
            </w:r>
          </w:p>
        </w:tc>
        <w:tc>
          <w:tcPr>
            <w:tcW w:type="dxa" w:w="3672"/>
            <w:vAlign w:val="top"/>
            <w:tcMar>
              <w:top w:w="80" w:type="dxa"/>
              <w:bottom w:w="80" w:type="dxa"/>
              <w:start w:w="100" w:type="dxa"/>
              <w:end w:w="100" w:type="dxa"/>
            </w:tcMar>
          </w:tcPr>
          <w:p>
            <w:r>
              <w:t>May not claim to have reviewed inaccessible/unreviewed sources or treat inference as validated truth.</w:t>
            </w:r>
          </w:p>
        </w:tc>
      </w:tr>
      <w:tr>
        <w:tc>
          <w:tcPr>
            <w:tcW w:type="dxa" w:w="2304"/>
            <w:vAlign w:val="top"/>
            <w:tcMar>
              <w:top w:w="80" w:type="dxa"/>
              <w:bottom w:w="80" w:type="dxa"/>
              <w:start w:w="100" w:type="dxa"/>
              <w:end w:w="100" w:type="dxa"/>
            </w:tcMar>
          </w:tcPr>
          <w:p>
            <w:r>
              <w:t>Capability &amp; Proof Mapper</w:t>
            </w:r>
          </w:p>
        </w:tc>
        <w:tc>
          <w:tcPr>
            <w:tcW w:type="dxa" w:w="3672"/>
            <w:vAlign w:val="top"/>
            <w:tcMar>
              <w:top w:w="80" w:type="dxa"/>
              <w:bottom w:w="80" w:type="dxa"/>
              <w:start w:w="100" w:type="dxa"/>
              <w:end w:w="100" w:type="dxa"/>
            </w:tcMar>
          </w:tcPr>
          <w:p>
            <w:r>
              <w:t>Translates Company Intelligence into defendable capabilities, problem families, proof, boundaries and observable relevance conditions.</w:t>
            </w:r>
          </w:p>
        </w:tc>
        <w:tc>
          <w:tcPr>
            <w:tcW w:type="dxa" w:w="3672"/>
            <w:vAlign w:val="top"/>
            <w:tcMar>
              <w:top w:w="80" w:type="dxa"/>
              <w:bottom w:w="80" w:type="dxa"/>
              <w:start w:w="100" w:type="dxa"/>
              <w:end w:w="100" w:type="dxa"/>
            </w:tcMar>
          </w:tcPr>
          <w:p>
            <w:r>
              <w:t>May not invent capabilities, outcomes or proof not supported by company evidence.</w:t>
            </w:r>
          </w:p>
        </w:tc>
      </w:tr>
      <w:tr>
        <w:tc>
          <w:tcPr>
            <w:tcW w:type="dxa" w:w="2304"/>
            <w:vAlign w:val="top"/>
            <w:tcMar>
              <w:top w:w="80" w:type="dxa"/>
              <w:bottom w:w="80" w:type="dxa"/>
              <w:start w:w="100" w:type="dxa"/>
              <w:end w:w="100" w:type="dxa"/>
            </w:tcMar>
          </w:tcPr>
          <w:p>
            <w:r>
              <w:t>ICP &amp; Buyer Intelligence Engine</w:t>
            </w:r>
          </w:p>
        </w:tc>
        <w:tc>
          <w:tcPr>
            <w:tcW w:type="dxa" w:w="3672"/>
            <w:vAlign w:val="top"/>
            <w:tcMar>
              <w:top w:w="80" w:type="dxa"/>
              <w:bottom w:w="80" w:type="dxa"/>
              <w:start w:w="100" w:type="dxa"/>
              <w:end w:w="100" w:type="dxa"/>
            </w:tcMar>
          </w:tcPr>
          <w:p>
            <w:r>
              <w:t>Defines ICP slices, Buyer roles, exclusions and GAP families.</w:t>
            </w:r>
          </w:p>
        </w:tc>
        <w:tc>
          <w:tcPr>
            <w:tcW w:type="dxa" w:w="3672"/>
            <w:vAlign w:val="top"/>
            <w:tcMar>
              <w:top w:w="80" w:type="dxa"/>
              <w:bottom w:w="80" w:type="dxa"/>
              <w:start w:w="100" w:type="dxa"/>
              <w:end w:w="100" w:type="dxa"/>
            </w:tcMar>
          </w:tcPr>
          <w:p>
            <w:r>
              <w:t>May not assign account-level pain or urgency before account evidence exists.</w:t>
            </w:r>
          </w:p>
        </w:tc>
      </w:tr>
      <w:tr>
        <w:tc>
          <w:tcPr>
            <w:tcW w:type="dxa" w:w="2304"/>
            <w:vAlign w:val="top"/>
            <w:tcMar>
              <w:top w:w="80" w:type="dxa"/>
              <w:bottom w:w="80" w:type="dxa"/>
              <w:start w:w="100" w:type="dxa"/>
              <w:end w:w="100" w:type="dxa"/>
            </w:tcMar>
          </w:tcPr>
          <w:p>
            <w:r>
              <w:t>Weekly Mission Engine</w:t>
            </w:r>
          </w:p>
        </w:tc>
        <w:tc>
          <w:tcPr>
            <w:tcW w:type="dxa" w:w="3672"/>
            <w:vAlign w:val="top"/>
            <w:tcMar>
              <w:top w:w="80" w:type="dxa"/>
              <w:bottom w:w="80" w:type="dxa"/>
              <w:start w:w="100" w:type="dxa"/>
              <w:end w:w="100" w:type="dxa"/>
            </w:tcMar>
          </w:tcPr>
          <w:p>
            <w:r>
              <w:t>Frames validated battlefield, objective and special weekly priority after participant identity is established.</w:t>
            </w:r>
          </w:p>
        </w:tc>
        <w:tc>
          <w:tcPr>
            <w:tcW w:type="dxa" w:w="3672"/>
            <w:vAlign w:val="top"/>
            <w:tcMar>
              <w:top w:w="80" w:type="dxa"/>
              <w:bottom w:w="80" w:type="dxa"/>
              <w:start w:w="100" w:type="dxa"/>
              <w:end w:w="100" w:type="dxa"/>
            </w:tcMar>
          </w:tcPr>
          <w:p>
            <w:r>
              <w:t>May not change validated Company DNA or invent/default a battlefield from creator, examples, prior tests or unrelated context.</w:t>
            </w:r>
          </w:p>
        </w:tc>
      </w:tr>
      <w:tr>
        <w:tc>
          <w:tcPr>
            <w:tcW w:type="dxa" w:w="2304"/>
            <w:vAlign w:val="top"/>
            <w:tcMar>
              <w:top w:w="80" w:type="dxa"/>
              <w:bottom w:w="80" w:type="dxa"/>
              <w:start w:w="100" w:type="dxa"/>
              <w:end w:w="100" w:type="dxa"/>
            </w:tcMar>
          </w:tcPr>
          <w:p>
            <w:r>
              <w:t>Prospecting Prescription Engine</w:t>
            </w:r>
          </w:p>
        </w:tc>
        <w:tc>
          <w:tcPr>
            <w:tcW w:type="dxa" w:w="3672"/>
            <w:vAlign w:val="top"/>
            <w:tcMar>
              <w:top w:w="80" w:type="dxa"/>
              <w:bottom w:w="80" w:type="dxa"/>
              <w:start w:w="100" w:type="dxa"/>
              <w:end w:w="100" w:type="dxa"/>
            </w:tcMar>
          </w:tcPr>
          <w:p>
            <w:r>
              <w:t>Defines Commercial Bet, opportunity radars, capacity mix, signal logic and initial routing tendencies.</w:t>
            </w:r>
          </w:p>
        </w:tc>
        <w:tc>
          <w:tcPr>
            <w:tcW w:type="dxa" w:w="3672"/>
            <w:vAlign w:val="top"/>
            <w:tcMar>
              <w:top w:w="80" w:type="dxa"/>
              <w:bottom w:w="80" w:type="dxa"/>
              <w:start w:w="100" w:type="dxa"/>
              <w:end w:w="100" w:type="dxa"/>
            </w:tcMar>
          </w:tcPr>
          <w:p>
            <w:r>
              <w:t>May not search accounts first and rationalize the prescription afterward.</w:t>
            </w:r>
          </w:p>
        </w:tc>
      </w:tr>
      <w:tr>
        <w:tc>
          <w:tcPr>
            <w:tcW w:type="dxa" w:w="2304"/>
            <w:vAlign w:val="top"/>
            <w:tcMar>
              <w:top w:w="80" w:type="dxa"/>
              <w:bottom w:w="80" w:type="dxa"/>
              <w:start w:w="100" w:type="dxa"/>
              <w:end w:w="100" w:type="dxa"/>
            </w:tcMar>
          </w:tcPr>
          <w:p>
            <w:r>
              <w:t>Account Discovery Engine</w:t>
            </w:r>
          </w:p>
        </w:tc>
        <w:tc>
          <w:tcPr>
            <w:tcW w:type="dxa" w:w="3672"/>
            <w:vAlign w:val="top"/>
            <w:tcMar>
              <w:top w:w="80" w:type="dxa"/>
              <w:bottom w:w="80" w:type="dxa"/>
              <w:start w:w="100" w:type="dxa"/>
              <w:end w:w="100" w:type="dxa"/>
            </w:tcMar>
          </w:tcPr>
          <w:p>
            <w:r>
              <w:t>Builds and filters candidate universe against approved radars.</w:t>
            </w:r>
          </w:p>
        </w:tc>
        <w:tc>
          <w:tcPr>
            <w:tcW w:type="dxa" w:w="3672"/>
            <w:vAlign w:val="top"/>
            <w:tcMar>
              <w:top w:w="80" w:type="dxa"/>
              <w:bottom w:w="80" w:type="dxa"/>
              <w:start w:w="100" w:type="dxa"/>
              <w:end w:w="100" w:type="dxa"/>
            </w:tcMar>
          </w:tcPr>
          <w:p>
            <w:r>
              <w:t>May not promote an account to ATTACK NOW or bypass upstream readiness.</w:t>
            </w:r>
          </w:p>
        </w:tc>
      </w:tr>
      <w:tr>
        <w:tc>
          <w:tcPr>
            <w:tcW w:type="dxa" w:w="2304"/>
            <w:vAlign w:val="top"/>
            <w:tcMar>
              <w:top w:w="80" w:type="dxa"/>
              <w:bottom w:w="80" w:type="dxa"/>
              <w:start w:w="100" w:type="dxa"/>
              <w:end w:w="100" w:type="dxa"/>
            </w:tcMar>
          </w:tcPr>
          <w:p>
            <w:r>
              <w:t>Signal Intelligence Engine</w:t>
            </w:r>
          </w:p>
        </w:tc>
        <w:tc>
          <w:tcPr>
            <w:tcW w:type="dxa" w:w="3672"/>
            <w:vAlign w:val="top"/>
            <w:tcMar>
              <w:top w:w="80" w:type="dxa"/>
              <w:bottom w:w="80" w:type="dxa"/>
              <w:start w:w="100" w:type="dxa"/>
              <w:end w:w="100" w:type="dxa"/>
            </w:tcMar>
          </w:tcPr>
          <w:p>
            <w:r>
              <w:t>Finds and timestamps observable triggers/catalysts.</w:t>
            </w:r>
          </w:p>
        </w:tc>
        <w:tc>
          <w:tcPr>
            <w:tcW w:type="dxa" w:w="3672"/>
            <w:vAlign w:val="top"/>
            <w:tcMar>
              <w:top w:w="80" w:type="dxa"/>
              <w:bottom w:w="80" w:type="dxa"/>
              <w:start w:w="100" w:type="dxa"/>
              <w:end w:w="100" w:type="dxa"/>
            </w:tcMar>
          </w:tcPr>
          <w:p>
            <w:r>
              <w:t>May not infer GAP as fact.</w:t>
            </w:r>
          </w:p>
        </w:tc>
      </w:tr>
      <w:tr>
        <w:tc>
          <w:tcPr>
            <w:tcW w:type="dxa" w:w="2304"/>
            <w:vAlign w:val="top"/>
            <w:tcMar>
              <w:top w:w="80" w:type="dxa"/>
              <w:bottom w:w="80" w:type="dxa"/>
              <w:start w:w="100" w:type="dxa"/>
              <w:end w:w="100" w:type="dxa"/>
            </w:tcMar>
          </w:tcPr>
          <w:p>
            <w:r>
              <w:t>GAP Hypothesis Engine</w:t>
            </w:r>
          </w:p>
        </w:tc>
        <w:tc>
          <w:tcPr>
            <w:tcW w:type="dxa" w:w="3672"/>
            <w:vAlign w:val="top"/>
            <w:tcMar>
              <w:top w:w="80" w:type="dxa"/>
              <w:bottom w:w="80" w:type="dxa"/>
              <w:start w:w="100" w:type="dxa"/>
              <w:end w:w="100" w:type="dxa"/>
            </w:tcMar>
          </w:tcPr>
          <w:p>
            <w:r>
              <w:t>Connects evidence to Current State → Problem → Impact → Future State → GAP.</w:t>
            </w:r>
          </w:p>
        </w:tc>
        <w:tc>
          <w:tcPr>
            <w:tcW w:type="dxa" w:w="3672"/>
            <w:vAlign w:val="top"/>
            <w:tcMar>
              <w:top w:w="80" w:type="dxa"/>
              <w:bottom w:w="80" w:type="dxa"/>
              <w:start w:w="100" w:type="dxa"/>
              <w:end w:w="100" w:type="dxa"/>
            </w:tcMar>
          </w:tcPr>
          <w:p>
            <w:r>
              <w:t>May not fabricate missing evidence.</w:t>
            </w:r>
          </w:p>
        </w:tc>
      </w:tr>
      <w:tr>
        <w:tc>
          <w:tcPr>
            <w:tcW w:type="dxa" w:w="2304"/>
            <w:vAlign w:val="top"/>
            <w:tcMar>
              <w:top w:w="80" w:type="dxa"/>
              <w:bottom w:w="80" w:type="dxa"/>
              <w:start w:w="100" w:type="dxa"/>
              <w:end w:w="100" w:type="dxa"/>
            </w:tcMar>
          </w:tcPr>
          <w:p>
            <w:r>
              <w:t>Evidence Validation / Red Team Engine</w:t>
            </w:r>
          </w:p>
        </w:tc>
        <w:tc>
          <w:tcPr>
            <w:tcW w:type="dxa" w:w="3672"/>
            <w:vAlign w:val="top"/>
            <w:tcMar>
              <w:top w:w="80" w:type="dxa"/>
              <w:bottom w:w="80" w:type="dxa"/>
              <w:start w:w="100" w:type="dxa"/>
              <w:end w:w="100" w:type="dxa"/>
            </w:tcMar>
          </w:tcPr>
          <w:p>
            <w:r>
              <w:t>Validates entity, geography, source, recency, contradictions, alternative explanations, Buyer plausibility, GAP plausibility and offer fit.</w:t>
            </w:r>
          </w:p>
        </w:tc>
        <w:tc>
          <w:tcPr>
            <w:tcW w:type="dxa" w:w="3672"/>
            <w:vAlign w:val="top"/>
            <w:tcMar>
              <w:top w:w="80" w:type="dxa"/>
              <w:bottom w:w="80" w:type="dxa"/>
              <w:start w:w="100" w:type="dxa"/>
              <w:end w:w="100" w:type="dxa"/>
            </w:tcMar>
          </w:tcPr>
          <w:p>
            <w:r>
              <w:t>May downgrade, HOLD or fail; may not upgrade absent evidence.</w:t>
            </w:r>
          </w:p>
        </w:tc>
      </w:tr>
      <w:tr>
        <w:tc>
          <w:tcPr>
            <w:tcW w:type="dxa" w:w="2304"/>
            <w:vAlign w:val="top"/>
            <w:tcMar>
              <w:top w:w="80" w:type="dxa"/>
              <w:bottom w:w="80" w:type="dxa"/>
              <w:start w:w="100" w:type="dxa"/>
              <w:end w:w="100" w:type="dxa"/>
            </w:tcMar>
          </w:tcPr>
          <w:p>
            <w:r>
              <w:t>Prioritization Engine</w:t>
            </w:r>
          </w:p>
        </w:tc>
        <w:tc>
          <w:tcPr>
            <w:tcW w:type="dxa" w:w="3672"/>
            <w:vAlign w:val="top"/>
            <w:tcMar>
              <w:top w:w="80" w:type="dxa"/>
              <w:bottom w:w="80" w:type="dxa"/>
              <w:start w:w="100" w:type="dxa"/>
              <w:end w:w="100" w:type="dxa"/>
            </w:tcMar>
          </w:tcPr>
          <w:p>
            <w:r>
              <w:t>Ranks validated accounts for actionability.</w:t>
            </w:r>
          </w:p>
        </w:tc>
        <w:tc>
          <w:tcPr>
            <w:tcW w:type="dxa" w:w="3672"/>
            <w:vAlign w:val="top"/>
            <w:tcMar>
              <w:top w:w="80" w:type="dxa"/>
              <w:bottom w:w="80" w:type="dxa"/>
              <w:start w:w="100" w:type="dxa"/>
              <w:end w:w="100" w:type="dxa"/>
            </w:tcMar>
          </w:tcPr>
          <w:p>
            <w:r>
              <w:t>May not bypass evidence ceilings, ownership or capacity constraints.</w:t>
            </w:r>
          </w:p>
        </w:tc>
      </w:tr>
      <w:tr>
        <w:tc>
          <w:tcPr>
            <w:tcW w:type="dxa" w:w="2304"/>
            <w:vAlign w:val="top"/>
            <w:tcMar>
              <w:top w:w="80" w:type="dxa"/>
              <w:bottom w:w="80" w:type="dxa"/>
              <w:start w:w="100" w:type="dxa"/>
              <w:end w:w="100" w:type="dxa"/>
            </w:tcMar>
          </w:tcPr>
          <w:p>
            <w:r>
              <w:t>Buyer &amp; Contact Intelligence Engine</w:t>
            </w:r>
          </w:p>
        </w:tc>
        <w:tc>
          <w:tcPr>
            <w:tcW w:type="dxa" w:w="3672"/>
            <w:vAlign w:val="top"/>
            <w:tcMar>
              <w:top w:w="80" w:type="dxa"/>
              <w:bottom w:w="80" w:type="dxa"/>
              <w:start w:w="100" w:type="dxa"/>
              <w:end w:w="100" w:type="dxa"/>
            </w:tcMar>
          </w:tcPr>
          <w:p>
            <w:r>
              <w:t>Verifies the person/role closest to the GAP and employment/scope/recency for nominal outreach.</w:t>
            </w:r>
          </w:p>
        </w:tc>
        <w:tc>
          <w:tcPr>
            <w:tcW w:type="dxa" w:w="3672"/>
            <w:vAlign w:val="top"/>
            <w:tcMar>
              <w:top w:w="80" w:type="dxa"/>
              <w:bottom w:w="80" w:type="dxa"/>
              <w:start w:w="100" w:type="dxa"/>
              <w:end w:w="100" w:type="dxa"/>
            </w:tcMar>
          </w:tcPr>
          <w:p>
            <w:r>
              <w:t>May not invent people, employment, contact data or verification.</w:t>
            </w:r>
          </w:p>
        </w:tc>
      </w:tr>
      <w:tr>
        <w:tc>
          <w:tcPr>
            <w:tcW w:type="dxa" w:w="2304"/>
            <w:vAlign w:val="top"/>
            <w:tcMar>
              <w:top w:w="80" w:type="dxa"/>
              <w:bottom w:w="80" w:type="dxa"/>
              <w:start w:w="100" w:type="dxa"/>
              <w:end w:w="100" w:type="dxa"/>
            </w:tcMar>
          </w:tcPr>
          <w:p>
            <w:r>
              <w:t>Routing Engine</w:t>
            </w:r>
          </w:p>
        </w:tc>
        <w:tc>
          <w:tcPr>
            <w:tcW w:type="dxa" w:w="3672"/>
            <w:vAlign w:val="top"/>
            <w:tcMar>
              <w:top w:w="80" w:type="dxa"/>
              <w:bottom w:w="80" w:type="dxa"/>
              <w:start w:w="100" w:type="dxa"/>
              <w:end w:w="100" w:type="dxa"/>
            </w:tcMar>
          </w:tcPr>
          <w:p>
            <w:r>
              <w:t>Recommends Hunting, Marketing/ABM, KAM/Account Growth, Partner, Nurture, Hold or Discard.</w:t>
            </w:r>
          </w:p>
        </w:tc>
        <w:tc>
          <w:tcPr>
            <w:tcW w:type="dxa" w:w="3672"/>
            <w:vAlign w:val="top"/>
            <w:tcMar>
              <w:top w:w="80" w:type="dxa"/>
              <w:bottom w:w="80" w:type="dxa"/>
              <w:start w:w="100" w:type="dxa"/>
              <w:end w:w="100" w:type="dxa"/>
            </w:tcMar>
          </w:tcPr>
          <w:p>
            <w:r>
              <w:t>May not assign owner without Director approval/governed automation.</w:t>
            </w:r>
          </w:p>
        </w:tc>
      </w:tr>
      <w:tr>
        <w:tc>
          <w:tcPr>
            <w:tcW w:type="dxa" w:w="2304"/>
            <w:vAlign w:val="top"/>
            <w:tcMar>
              <w:top w:w="80" w:type="dxa"/>
              <w:bottom w:w="80" w:type="dxa"/>
              <w:start w:w="100" w:type="dxa"/>
              <w:end w:w="100" w:type="dxa"/>
            </w:tcMar>
          </w:tcPr>
          <w:p>
            <w:r>
              <w:t>Outreach Intelligence Engine</w:t>
            </w:r>
          </w:p>
        </w:tc>
        <w:tc>
          <w:tcPr>
            <w:tcW w:type="dxa" w:w="3672"/>
            <w:vAlign w:val="top"/>
            <w:tcMar>
              <w:top w:w="80" w:type="dxa"/>
              <w:bottom w:w="80" w:type="dxa"/>
              <w:start w:w="100" w:type="dxa"/>
              <w:end w:w="100" w:type="dxa"/>
            </w:tcMar>
          </w:tcPr>
          <w:p>
            <w:r>
              <w:t>Creates channel/message strategy and compressed copy after context is validated.</w:t>
            </w:r>
          </w:p>
        </w:tc>
        <w:tc>
          <w:tcPr>
            <w:tcW w:type="dxa" w:w="3672"/>
            <w:vAlign w:val="top"/>
            <w:tcMar>
              <w:top w:w="80" w:type="dxa"/>
              <w:bottom w:w="80" w:type="dxa"/>
              <w:start w:w="100" w:type="dxa"/>
              <w:end w:w="100" w:type="dxa"/>
            </w:tcMar>
          </w:tcPr>
          <w:p>
            <w:r>
              <w:t>May not expose internal reasoning scaffolding, invent proof/triggers/people/outcomes, or use weak research as creative license.</w:t>
            </w:r>
          </w:p>
        </w:tc>
      </w:tr>
      <w:tr>
        <w:tc>
          <w:tcPr>
            <w:tcW w:type="dxa" w:w="2304"/>
            <w:vAlign w:val="top"/>
            <w:tcMar>
              <w:top w:w="80" w:type="dxa"/>
              <w:bottom w:w="80" w:type="dxa"/>
              <w:start w:w="100" w:type="dxa"/>
              <w:end w:w="100" w:type="dxa"/>
            </w:tcMar>
          </w:tcPr>
          <w:p>
            <w:r>
              <w:t>Weekly GOLD Pack / Opportunity Desk Engine</w:t>
            </w:r>
          </w:p>
        </w:tc>
        <w:tc>
          <w:tcPr>
            <w:tcW w:type="dxa" w:w="3672"/>
            <w:vAlign w:val="top"/>
            <w:tcMar>
              <w:top w:w="80" w:type="dxa"/>
              <w:bottom w:w="80" w:type="dxa"/>
              <w:start w:w="100" w:type="dxa"/>
              <w:end w:w="100" w:type="dxa"/>
            </w:tcMar>
          </w:tcPr>
          <w:p>
            <w:r>
              <w:t>Packages Commercial Bet, released opportunities, route work packages, limitations and next actions.</w:t>
            </w:r>
          </w:p>
        </w:tc>
        <w:tc>
          <w:tcPr>
            <w:tcW w:type="dxa" w:w="3672"/>
            <w:vAlign w:val="top"/>
            <w:tcMar>
              <w:top w:w="80" w:type="dxa"/>
              <w:bottom w:w="80" w:type="dxa"/>
              <w:start w:w="100" w:type="dxa"/>
              <w:end w:w="100" w:type="dxa"/>
            </w:tcMar>
          </w:tcPr>
          <w:p>
            <w:r>
              <w:t>May not add new substantive claims during formatting or disguise HOLD/Discard as executable work.</w:t>
            </w:r>
          </w:p>
        </w:tc>
      </w:tr>
      <w:tr>
        <w:tc>
          <w:tcPr>
            <w:tcW w:type="dxa" w:w="2304"/>
            <w:vAlign w:val="top"/>
            <w:tcMar>
              <w:top w:w="80" w:type="dxa"/>
              <w:bottom w:w="80" w:type="dxa"/>
              <w:start w:w="100" w:type="dxa"/>
              <w:end w:w="100" w:type="dxa"/>
            </w:tcMar>
          </w:tcPr>
          <w:p>
            <w:r>
              <w:t>Assignment Handoff Engine</w:t>
            </w:r>
          </w:p>
        </w:tc>
        <w:tc>
          <w:tcPr>
            <w:tcW w:type="dxa" w:w="3672"/>
            <w:vAlign w:val="top"/>
            <w:tcMar>
              <w:top w:w="80" w:type="dxa"/>
              <w:bottom w:w="80" w:type="dxa"/>
              <w:start w:w="100" w:type="dxa"/>
              <w:end w:w="100" w:type="dxa"/>
            </w:tcMar>
          </w:tcPr>
          <w:p>
            <w:r>
              <w:t>Creates locked record at assignment.</w:t>
            </w:r>
          </w:p>
        </w:tc>
        <w:tc>
          <w:tcPr>
            <w:tcW w:type="dxa" w:w="3672"/>
            <w:vAlign w:val="top"/>
            <w:tcMar>
              <w:top w:w="80" w:type="dxa"/>
              <w:bottom w:w="80" w:type="dxa"/>
              <w:start w:w="100" w:type="dxa"/>
              <w:end w:w="100" w:type="dxa"/>
            </w:tcMar>
          </w:tcPr>
          <w:p>
            <w:r>
              <w:t>May not alter original rationale after lock.</w:t>
            </w:r>
          </w:p>
        </w:tc>
      </w:tr>
      <w:tr>
        <w:tc>
          <w:tcPr>
            <w:tcW w:type="dxa" w:w="2304"/>
            <w:vAlign w:val="top"/>
            <w:tcMar>
              <w:top w:w="80" w:type="dxa"/>
              <w:bottom w:w="80" w:type="dxa"/>
              <w:start w:w="100" w:type="dxa"/>
              <w:end w:w="100" w:type="dxa"/>
            </w:tcMar>
          </w:tcPr>
          <w:p>
            <w:r>
              <w:t>Outcome Capture Engine</w:t>
            </w:r>
          </w:p>
        </w:tc>
        <w:tc>
          <w:tcPr>
            <w:tcW w:type="dxa" w:w="3672"/>
            <w:vAlign w:val="top"/>
            <w:tcMar>
              <w:top w:w="80" w:type="dxa"/>
              <w:bottom w:w="80" w:type="dxa"/>
              <w:start w:w="100" w:type="dxa"/>
              <w:end w:w="100" w:type="dxa"/>
            </w:tcMar>
          </w:tcPr>
          <w:p>
            <w:r>
              <w:t>Records what happened after execution.</w:t>
            </w:r>
          </w:p>
        </w:tc>
        <w:tc>
          <w:tcPr>
            <w:tcW w:type="dxa" w:w="3672"/>
            <w:vAlign w:val="top"/>
            <w:tcMar>
              <w:top w:w="80" w:type="dxa"/>
              <w:bottom w:w="80" w:type="dxa"/>
              <w:start w:w="100" w:type="dxa"/>
              <w:end w:w="100" w:type="dxa"/>
            </w:tcMar>
          </w:tcPr>
          <w:p>
            <w:r>
              <w:t>May not infer activity not reported/integrated.</w:t>
            </w:r>
          </w:p>
        </w:tc>
      </w:tr>
      <w:tr>
        <w:tc>
          <w:tcPr>
            <w:tcW w:type="dxa" w:w="2304"/>
            <w:vAlign w:val="top"/>
            <w:tcMar>
              <w:top w:w="80" w:type="dxa"/>
              <w:bottom w:w="80" w:type="dxa"/>
              <w:start w:w="100" w:type="dxa"/>
              <w:end w:w="100" w:type="dxa"/>
            </w:tcMar>
          </w:tcPr>
          <w:p>
            <w:r>
              <w:t>Learning Engine</w:t>
            </w:r>
          </w:p>
        </w:tc>
        <w:tc>
          <w:tcPr>
            <w:tcW w:type="dxa" w:w="3672"/>
            <w:vAlign w:val="top"/>
            <w:tcMar>
              <w:top w:w="80" w:type="dxa"/>
              <w:bottom w:w="80" w:type="dxa"/>
              <w:start w:w="100" w:type="dxa"/>
              <w:end w:w="100" w:type="dxa"/>
            </w:tcMar>
          </w:tcPr>
          <w:p>
            <w:r>
              <w:t>Evaluates repeated patterns and produces governed learning candidates/approved updates.</w:t>
            </w:r>
          </w:p>
        </w:tc>
        <w:tc>
          <w:tcPr>
            <w:tcW w:type="dxa" w:w="3672"/>
            <w:vAlign w:val="top"/>
            <w:tcMar>
              <w:top w:w="80" w:type="dxa"/>
              <w:bottom w:w="80" w:type="dxa"/>
              <w:start w:w="100" w:type="dxa"/>
              <w:end w:w="100" w:type="dxa"/>
            </w:tcMar>
          </w:tcPr>
          <w:p>
            <w:r>
              <w:t>May not automatically rewrite core rules from isolated outcomes.</w:t>
            </w:r>
          </w:p>
        </w:tc>
      </w:tr>
    </w:tbl>
    <w:p/>
    <w:p>
      <w:pPr>
        <w:pStyle w:val="Heading1"/>
      </w:pPr>
      <w:r>
        <w:t>5. Data Classes</w:t>
      </w:r>
    </w:p>
    <w:tbl>
      <w:tblPr>
        <w:tblStyle w:val="TableGrid"/>
        <w:tblW w:type="auto" w:w="0"/>
        <w:jc w:val="center"/>
        <w:tblLook w:firstColumn="1" w:firstRow="1" w:lastColumn="0" w:lastRow="0" w:noHBand="0" w:noVBand="1" w:val="04A0"/>
      </w:tblPr>
      <w:tblGrid>
        <w:gridCol w:w="3331"/>
        <w:gridCol w:w="3331"/>
        <w:gridCol w:w="3331"/>
      </w:tblGrid>
      <w:tr>
        <w:tc>
          <w:tcPr>
            <w:tcW w:type="dxa" w:w="2088"/>
            <w:shd w:fill="D9EAF7"/>
            <w:tcMar>
              <w:top w:w="80" w:type="dxa"/>
              <w:bottom w:w="80" w:type="dxa"/>
              <w:start w:w="100" w:type="dxa"/>
              <w:end w:w="100" w:type="dxa"/>
            </w:tcMar>
          </w:tcPr>
          <w:p>
            <w:r>
              <w:rPr>
                <w:b/>
              </w:rPr>
              <w:t>Class</w:t>
            </w:r>
          </w:p>
        </w:tc>
        <w:tc>
          <w:tcPr>
            <w:tcW w:type="dxa" w:w="4320"/>
            <w:shd w:fill="D9EAF7"/>
            <w:tcMar>
              <w:top w:w="80" w:type="dxa"/>
              <w:bottom w:w="80" w:type="dxa"/>
              <w:start w:w="100" w:type="dxa"/>
              <w:end w:w="100" w:type="dxa"/>
            </w:tcMar>
          </w:tcPr>
          <w:p>
            <w:r>
              <w:rPr>
                <w:b/>
              </w:rPr>
              <w:t>Definition</w:t>
            </w:r>
          </w:p>
        </w:tc>
        <w:tc>
          <w:tcPr>
            <w:tcW w:type="dxa" w:w="3312"/>
            <w:shd w:fill="D9EAF7"/>
            <w:tcMar>
              <w:top w:w="80" w:type="dxa"/>
              <w:bottom w:w="80" w:type="dxa"/>
              <w:start w:w="100" w:type="dxa"/>
              <w:end w:w="100" w:type="dxa"/>
            </w:tcMar>
          </w:tcPr>
          <w:p>
            <w:r>
              <w:rPr>
                <w:b/>
              </w:rPr>
              <w:t>Mutability</w:t>
            </w:r>
          </w:p>
        </w:tc>
      </w:tr>
      <w:tr>
        <w:tc>
          <w:tcPr>
            <w:tcW w:type="dxa" w:w="2088"/>
            <w:vAlign w:val="top"/>
            <w:tcMar>
              <w:top w:w="80" w:type="dxa"/>
              <w:bottom w:w="80" w:type="dxa"/>
              <w:start w:w="100" w:type="dxa"/>
              <w:end w:w="100" w:type="dxa"/>
            </w:tcMar>
          </w:tcPr>
          <w:p>
            <w:r>
              <w:t>D0 - Raw Evidence</w:t>
            </w:r>
          </w:p>
        </w:tc>
        <w:tc>
          <w:tcPr>
            <w:tcW w:type="dxa" w:w="4320"/>
            <w:vAlign w:val="top"/>
            <w:tcMar>
              <w:top w:w="80" w:type="dxa"/>
              <w:bottom w:w="80" w:type="dxa"/>
              <w:start w:w="100" w:type="dxa"/>
              <w:end w:w="100" w:type="dxa"/>
            </w:tcMar>
          </w:tcPr>
          <w:p>
            <w:r>
              <w:t>Original source observation, diagnostic evidence, CRM fact, public signal.</w:t>
            </w:r>
          </w:p>
        </w:tc>
        <w:tc>
          <w:tcPr>
            <w:tcW w:type="dxa" w:w="3312"/>
            <w:vAlign w:val="top"/>
            <w:tcMar>
              <w:top w:w="80" w:type="dxa"/>
              <w:bottom w:w="80" w:type="dxa"/>
              <w:start w:w="100" w:type="dxa"/>
              <w:end w:w="100" w:type="dxa"/>
            </w:tcMar>
          </w:tcPr>
          <w:p>
            <w:r>
              <w:t>Append-only; source record never overwritten.</w:t>
            </w:r>
          </w:p>
        </w:tc>
      </w:tr>
      <w:tr>
        <w:tc>
          <w:tcPr>
            <w:tcW w:type="dxa" w:w="2088"/>
            <w:vAlign w:val="top"/>
            <w:tcMar>
              <w:top w:w="80" w:type="dxa"/>
              <w:bottom w:w="80" w:type="dxa"/>
              <w:start w:w="100" w:type="dxa"/>
              <w:end w:w="100" w:type="dxa"/>
            </w:tcMar>
          </w:tcPr>
          <w:p>
            <w:r>
              <w:t>D1 - Validated Fact</w:t>
            </w:r>
          </w:p>
        </w:tc>
        <w:tc>
          <w:tcPr>
            <w:tcW w:type="dxa" w:w="4320"/>
            <w:vAlign w:val="top"/>
            <w:tcMar>
              <w:top w:w="80" w:type="dxa"/>
              <w:bottom w:w="80" w:type="dxa"/>
              <w:start w:w="100" w:type="dxa"/>
              <w:end w:w="100" w:type="dxa"/>
            </w:tcMar>
          </w:tcPr>
          <w:p>
            <w:r>
              <w:t>Evidence that passed relevant verification gate.</w:t>
            </w:r>
          </w:p>
        </w:tc>
        <w:tc>
          <w:tcPr>
            <w:tcW w:type="dxa" w:w="3312"/>
            <w:vAlign w:val="top"/>
            <w:tcMar>
              <w:top w:w="80" w:type="dxa"/>
              <w:bottom w:w="80" w:type="dxa"/>
              <w:start w:w="100" w:type="dxa"/>
              <w:end w:w="100" w:type="dxa"/>
            </w:tcMar>
          </w:tcPr>
          <w:p>
            <w:r>
              <w:t>May be superseded by newer validated evidence; history remains.</w:t>
            </w:r>
          </w:p>
        </w:tc>
      </w:tr>
      <w:tr>
        <w:tc>
          <w:tcPr>
            <w:tcW w:type="dxa" w:w="2088"/>
            <w:vAlign w:val="top"/>
            <w:tcMar>
              <w:top w:w="80" w:type="dxa"/>
              <w:bottom w:w="80" w:type="dxa"/>
              <w:start w:w="100" w:type="dxa"/>
              <w:end w:w="100" w:type="dxa"/>
            </w:tcMar>
          </w:tcPr>
          <w:p>
            <w:r>
              <w:t>D2 - Human-Validated Business Context</w:t>
            </w:r>
          </w:p>
        </w:tc>
        <w:tc>
          <w:tcPr>
            <w:tcW w:type="dxa" w:w="4320"/>
            <w:vAlign w:val="top"/>
            <w:tcMar>
              <w:top w:w="80" w:type="dxa"/>
              <w:bottom w:w="80" w:type="dxa"/>
              <w:start w:w="100" w:type="dxa"/>
              <w:end w:w="100" w:type="dxa"/>
            </w:tcMar>
          </w:tcPr>
          <w:p>
            <w:r>
              <w:t>Participant company identity, offer, ICP, exclusion, battlefield/territory, priority, ownership or internal fact validated by authorized user or unambiguous current-session evidence.</w:t>
            </w:r>
          </w:p>
        </w:tc>
        <w:tc>
          <w:tcPr>
            <w:tcW w:type="dxa" w:w="3312"/>
            <w:vAlign w:val="top"/>
            <w:tcMar>
              <w:top w:w="80" w:type="dxa"/>
              <w:bottom w:w="80" w:type="dxa"/>
              <w:start w:w="100" w:type="dxa"/>
              <w:end w:w="100" w:type="dxa"/>
            </w:tcMar>
          </w:tcPr>
          <w:p>
            <w:r>
              <w:t>Versioned; changes require timestamp/version.</w:t>
            </w:r>
          </w:p>
        </w:tc>
      </w:tr>
      <w:tr>
        <w:tc>
          <w:tcPr>
            <w:tcW w:type="dxa" w:w="2088"/>
            <w:vAlign w:val="top"/>
            <w:tcMar>
              <w:top w:w="80" w:type="dxa"/>
              <w:bottom w:w="80" w:type="dxa"/>
              <w:start w:w="100" w:type="dxa"/>
              <w:end w:w="100" w:type="dxa"/>
            </w:tcMar>
          </w:tcPr>
          <w:p>
            <w:r>
              <w:t>D3 - AI Interpretation</w:t>
            </w:r>
          </w:p>
        </w:tc>
        <w:tc>
          <w:tcPr>
            <w:tcW w:type="dxa" w:w="4320"/>
            <w:vAlign w:val="top"/>
            <w:tcMar>
              <w:top w:w="80" w:type="dxa"/>
              <w:bottom w:w="80" w:type="dxa"/>
              <w:start w:w="100" w:type="dxa"/>
              <w:end w:w="100" w:type="dxa"/>
            </w:tcMar>
          </w:tcPr>
          <w:p>
            <w:r>
              <w:t>Reasoned meaning derived from facts.</w:t>
            </w:r>
          </w:p>
        </w:tc>
        <w:tc>
          <w:tcPr>
            <w:tcW w:type="dxa" w:w="3312"/>
            <w:vAlign w:val="top"/>
            <w:tcMar>
              <w:top w:w="80" w:type="dxa"/>
              <w:bottom w:w="80" w:type="dxa"/>
              <w:start w:w="100" w:type="dxa"/>
              <w:end w:w="100" w:type="dxa"/>
            </w:tcMar>
          </w:tcPr>
          <w:p>
            <w:r>
              <w:t>Mutable; must retain evidence link.</w:t>
            </w:r>
          </w:p>
        </w:tc>
      </w:tr>
      <w:tr>
        <w:tc>
          <w:tcPr>
            <w:tcW w:type="dxa" w:w="2088"/>
            <w:vAlign w:val="top"/>
            <w:tcMar>
              <w:top w:w="80" w:type="dxa"/>
              <w:bottom w:w="80" w:type="dxa"/>
              <w:start w:w="100" w:type="dxa"/>
              <w:end w:w="100" w:type="dxa"/>
            </w:tcMar>
          </w:tcPr>
          <w:p>
            <w:r>
              <w:t>D4 - GAP Hypothesis</w:t>
            </w:r>
          </w:p>
        </w:tc>
        <w:tc>
          <w:tcPr>
            <w:tcW w:type="dxa" w:w="4320"/>
            <w:vAlign w:val="top"/>
            <w:tcMar>
              <w:top w:w="80" w:type="dxa"/>
              <w:bottom w:w="80" w:type="dxa"/>
              <w:start w:w="100" w:type="dxa"/>
              <w:end w:w="100" w:type="dxa"/>
            </w:tcMar>
          </w:tcPr>
          <w:p>
            <w:r>
              <w:t>Bounded commercial hypothesis connecting current state and potential impact.</w:t>
            </w:r>
          </w:p>
        </w:tc>
        <w:tc>
          <w:tcPr>
            <w:tcW w:type="dxa" w:w="3312"/>
            <w:vAlign w:val="top"/>
            <w:tcMar>
              <w:top w:w="80" w:type="dxa"/>
              <w:bottom w:w="80" w:type="dxa"/>
              <w:start w:w="100" w:type="dxa"/>
              <w:end w:w="100" w:type="dxa"/>
            </w:tcMar>
          </w:tcPr>
          <w:p>
            <w:r>
              <w:t>Mutable until assignment; then locked snapshot + appendices.</w:t>
            </w:r>
          </w:p>
        </w:tc>
      </w:tr>
      <w:tr>
        <w:tc>
          <w:tcPr>
            <w:tcW w:type="dxa" w:w="2088"/>
            <w:vAlign w:val="top"/>
            <w:tcMar>
              <w:top w:w="80" w:type="dxa"/>
              <w:bottom w:w="80" w:type="dxa"/>
              <w:start w:w="100" w:type="dxa"/>
              <w:end w:w="100" w:type="dxa"/>
            </w:tcMar>
          </w:tcPr>
          <w:p>
            <w:r>
              <w:t>D5 - Recommendation</w:t>
            </w:r>
          </w:p>
        </w:tc>
        <w:tc>
          <w:tcPr>
            <w:tcW w:type="dxa" w:w="4320"/>
            <w:vAlign w:val="top"/>
            <w:tcMar>
              <w:top w:w="80" w:type="dxa"/>
              <w:bottom w:w="80" w:type="dxa"/>
              <w:start w:w="100" w:type="dxa"/>
              <w:end w:w="100" w:type="dxa"/>
            </w:tcMar>
          </w:tcPr>
          <w:p>
            <w:r>
              <w:t>Priority, route, Buyer role, next action or outreach recommendation.</w:t>
            </w:r>
          </w:p>
        </w:tc>
        <w:tc>
          <w:tcPr>
            <w:tcW w:type="dxa" w:w="3312"/>
            <w:vAlign w:val="top"/>
            <w:tcMar>
              <w:top w:w="80" w:type="dxa"/>
              <w:bottom w:w="80" w:type="dxa"/>
              <w:start w:w="100" w:type="dxa"/>
              <w:end w:w="100" w:type="dxa"/>
            </w:tcMar>
          </w:tcPr>
          <w:p>
            <w:r>
              <w:t>Mutable until approval/assignment.</w:t>
            </w:r>
          </w:p>
        </w:tc>
      </w:tr>
      <w:tr>
        <w:tc>
          <w:tcPr>
            <w:tcW w:type="dxa" w:w="2088"/>
            <w:vAlign w:val="top"/>
            <w:tcMar>
              <w:top w:w="80" w:type="dxa"/>
              <w:bottom w:w="80" w:type="dxa"/>
              <w:start w:w="100" w:type="dxa"/>
              <w:end w:w="100" w:type="dxa"/>
            </w:tcMar>
          </w:tcPr>
          <w:p>
            <w:r>
              <w:t>D6 - Locked Handoff</w:t>
            </w:r>
          </w:p>
        </w:tc>
        <w:tc>
          <w:tcPr>
            <w:tcW w:type="dxa" w:w="4320"/>
            <w:vAlign w:val="top"/>
            <w:tcMar>
              <w:top w:w="80" w:type="dxa"/>
              <w:bottom w:w="80" w:type="dxa"/>
              <w:start w:w="100" w:type="dxa"/>
              <w:end w:w="100" w:type="dxa"/>
            </w:tcMar>
          </w:tcPr>
          <w:p>
            <w:r>
              <w:t>Immutable snapshot authorizing downstream execution/release.</w:t>
            </w:r>
          </w:p>
        </w:tc>
        <w:tc>
          <w:tcPr>
            <w:tcW w:type="dxa" w:w="3312"/>
            <w:vAlign w:val="top"/>
            <w:tcMar>
              <w:top w:w="80" w:type="dxa"/>
              <w:bottom w:w="80" w:type="dxa"/>
              <w:start w:w="100" w:type="dxa"/>
              <w:end w:w="100" w:type="dxa"/>
            </w:tcMar>
          </w:tcPr>
          <w:p>
            <w:r>
              <w:t>Immutable; append-only after lock.</w:t>
            </w:r>
          </w:p>
        </w:tc>
      </w:tr>
      <w:tr>
        <w:tc>
          <w:tcPr>
            <w:tcW w:type="dxa" w:w="2088"/>
            <w:vAlign w:val="top"/>
            <w:tcMar>
              <w:top w:w="80" w:type="dxa"/>
              <w:bottom w:w="80" w:type="dxa"/>
              <w:start w:w="100" w:type="dxa"/>
              <w:end w:w="100" w:type="dxa"/>
            </w:tcMar>
          </w:tcPr>
          <w:p>
            <w:r>
              <w:t>D7 - Outcome</w:t>
            </w:r>
          </w:p>
        </w:tc>
        <w:tc>
          <w:tcPr>
            <w:tcW w:type="dxa" w:w="4320"/>
            <w:vAlign w:val="top"/>
            <w:tcMar>
              <w:top w:w="80" w:type="dxa"/>
              <w:bottom w:w="80" w:type="dxa"/>
              <w:start w:w="100" w:type="dxa"/>
              <w:end w:w="100" w:type="dxa"/>
            </w:tcMar>
          </w:tcPr>
          <w:p>
            <w:r>
              <w:t>Execution/result data after assignment.</w:t>
            </w:r>
          </w:p>
        </w:tc>
        <w:tc>
          <w:tcPr>
            <w:tcW w:type="dxa" w:w="3312"/>
            <w:vAlign w:val="top"/>
            <w:tcMar>
              <w:top w:w="80" w:type="dxa"/>
              <w:bottom w:w="80" w:type="dxa"/>
              <w:start w:w="100" w:type="dxa"/>
              <w:end w:w="100" w:type="dxa"/>
            </w:tcMar>
          </w:tcPr>
          <w:p>
            <w:r>
              <w:t>Append-only with corrections logged.</w:t>
            </w:r>
          </w:p>
        </w:tc>
      </w:tr>
      <w:tr>
        <w:tc>
          <w:tcPr>
            <w:tcW w:type="dxa" w:w="2088"/>
            <w:vAlign w:val="top"/>
            <w:tcMar>
              <w:top w:w="80" w:type="dxa"/>
              <w:bottom w:w="80" w:type="dxa"/>
              <w:start w:w="100" w:type="dxa"/>
              <w:end w:w="100" w:type="dxa"/>
            </w:tcMar>
          </w:tcPr>
          <w:p>
            <w:r>
              <w:t>D8 - Learning Candidate</w:t>
            </w:r>
          </w:p>
        </w:tc>
        <w:tc>
          <w:tcPr>
            <w:tcW w:type="dxa" w:w="4320"/>
            <w:vAlign w:val="top"/>
            <w:tcMar>
              <w:top w:w="80" w:type="dxa"/>
              <w:bottom w:w="80" w:type="dxa"/>
              <w:start w:w="100" w:type="dxa"/>
              <w:end w:w="100" w:type="dxa"/>
            </w:tcMar>
          </w:tcPr>
          <w:p>
            <w:r>
              <w:t>Pattern proposed from accumulated outcomes.</w:t>
            </w:r>
          </w:p>
        </w:tc>
        <w:tc>
          <w:tcPr>
            <w:tcW w:type="dxa" w:w="3312"/>
            <w:vAlign w:val="top"/>
            <w:tcMar>
              <w:top w:w="80" w:type="dxa"/>
              <w:bottom w:w="80" w:type="dxa"/>
              <w:start w:w="100" w:type="dxa"/>
              <w:end w:w="100" w:type="dxa"/>
            </w:tcMar>
          </w:tcPr>
          <w:p>
            <w:r>
              <w:t>Mutable until formally validated.</w:t>
            </w:r>
          </w:p>
        </w:tc>
      </w:tr>
      <w:tr>
        <w:tc>
          <w:tcPr>
            <w:tcW w:type="dxa" w:w="2088"/>
            <w:vAlign w:val="top"/>
            <w:tcMar>
              <w:top w:w="80" w:type="dxa"/>
              <w:bottom w:w="80" w:type="dxa"/>
              <w:start w:w="100" w:type="dxa"/>
              <w:end w:w="100" w:type="dxa"/>
            </w:tcMar>
          </w:tcPr>
          <w:p>
            <w:r>
              <w:t>D9 - Approved Learning</w:t>
            </w:r>
          </w:p>
        </w:tc>
        <w:tc>
          <w:tcPr>
            <w:tcW w:type="dxa" w:w="4320"/>
            <w:vAlign w:val="top"/>
            <w:tcMar>
              <w:top w:w="80" w:type="dxa"/>
              <w:bottom w:w="80" w:type="dxa"/>
              <w:start w:w="100" w:type="dxa"/>
              <w:end w:w="100" w:type="dxa"/>
            </w:tcMar>
          </w:tcPr>
          <w:p>
            <w:r>
              <w:t>Governed update accepted for future runs.</w:t>
            </w:r>
          </w:p>
        </w:tc>
        <w:tc>
          <w:tcPr>
            <w:tcW w:type="dxa" w:w="3312"/>
            <w:vAlign w:val="top"/>
            <w:tcMar>
              <w:top w:w="80" w:type="dxa"/>
              <w:bottom w:w="80" w:type="dxa"/>
              <w:start w:w="100" w:type="dxa"/>
              <w:end w:w="100" w:type="dxa"/>
            </w:tcMar>
          </w:tcPr>
          <w:p>
            <w:r>
              <w:t>Versioned; never erases prior methodology version.</w:t>
            </w:r>
          </w:p>
        </w:tc>
      </w:tr>
    </w:tbl>
    <w:p/>
    <w:p>
      <w:pPr>
        <w:pStyle w:val="Heading1"/>
      </w:pPr>
      <w:r>
        <w:t>6. Source Provenance &amp; Research Coverage Contract</w:t>
      </w:r>
    </w:p>
    <w:p>
      <w:pPr>
        <w:spacing w:after="100"/>
      </w:pPr>
      <w:r>
        <w:rPr>
          <w:b w:val="0"/>
        </w:rPr>
        <w:t>Every material account-level claim must retain sufficient provenance for another component to understand where it came from.</w:t>
      </w:r>
    </w:p>
    <w:p>
      <w:pPr>
        <w:pStyle w:val="ListBullet"/>
        <w:spacing w:after="40"/>
      </w:pPr>
      <w:r>
        <w:t>Source type: diagnostic / company website / corporate social / leader social / news / job posting / CRM / user validation / other public evidence.</w:t>
      </w:r>
    </w:p>
    <w:p>
      <w:pPr>
        <w:pStyle w:val="ListBullet"/>
        <w:spacing w:after="40"/>
      </w:pPr>
      <w:r>
        <w:t>Source identifier or retrievable reference where available.</w:t>
      </w:r>
    </w:p>
    <w:p>
      <w:pPr>
        <w:pStyle w:val="ListBullet"/>
        <w:spacing w:after="40"/>
      </w:pPr>
      <w:r>
        <w:t>Observed date and, when available, publication/event date.</w:t>
      </w:r>
    </w:p>
    <w:p>
      <w:pPr>
        <w:pStyle w:val="ListBullet"/>
        <w:spacing w:after="40"/>
      </w:pPr>
      <w:r>
        <w:t>Entity matched.</w:t>
      </w:r>
    </w:p>
    <w:p>
      <w:pPr>
        <w:pStyle w:val="ListBullet"/>
        <w:spacing w:after="40"/>
      </w:pPr>
      <w:r>
        <w:t>Exact fact extracted in concise paraphrase.</w:t>
      </w:r>
    </w:p>
    <w:p>
      <w:pPr>
        <w:pStyle w:val="ListBullet"/>
        <w:spacing w:after="40"/>
      </w:pPr>
      <w:r>
        <w:t>Evidence status: raw / validated / disputed / stale / rejected.</w:t>
      </w:r>
    </w:p>
    <w:p>
      <w:pPr>
        <w:pStyle w:val="ListBullet"/>
        <w:spacing w:after="40"/>
      </w:pPr>
      <w:r>
        <w:t>Engine that created the interpretation.</w:t>
      </w:r>
    </w:p>
    <w:p>
      <w:pPr>
        <w:pStyle w:val="ListBullet"/>
        <w:spacing w:after="40"/>
      </w:pPr>
      <w:r>
        <w:t>Confidence and reason.</w:t>
      </w:r>
    </w:p>
    <w:p>
      <w:pPr>
        <w:spacing w:after="100"/>
      </w:pPr>
      <w:r>
        <w:rPr>
          <w:b w:val="0"/>
        </w:rPr>
        <w:t>A copied URL without a fact is not sufficient provenance. A fact without a source is not sufficient evidence.</w:t>
      </w:r>
    </w:p>
    <w:p>
      <w:pPr>
        <w:pStyle w:val="Heading2"/>
      </w:pPr>
      <w:r>
        <w:t>Company Research Coverage Record</w:t>
      </w:r>
    </w:p>
    <w:p>
      <w:pPr>
        <w:pStyle w:val="ListBullet"/>
        <w:spacing w:after="40"/>
      </w:pPr>
      <w:r>
        <w:t>Source categories actually reviewed.</w:t>
      </w:r>
    </w:p>
    <w:p>
      <w:pPr>
        <w:pStyle w:val="ListBullet"/>
        <w:spacing w:after="40"/>
      </w:pPr>
      <w:r>
        <w:t>Source categories attempted but inaccessible.</w:t>
      </w:r>
    </w:p>
    <w:p>
      <w:pPr>
        <w:pStyle w:val="ListBullet"/>
        <w:spacing w:after="40"/>
      </w:pPr>
      <w:r>
        <w:t>Source categories intentionally not reviewed and why, when material.</w:t>
      </w:r>
    </w:p>
    <w:p>
      <w:pPr>
        <w:pStyle w:val="ListBullet"/>
        <w:spacing w:after="40"/>
      </w:pPr>
      <w:r>
        <w:t>Material evidence that changed Company DNA, ICP, Buyers, capabilities or Proof.</w:t>
      </w:r>
    </w:p>
    <w:p>
      <w:pPr>
        <w:pStyle w:val="ListBullet"/>
        <w:spacing w:after="40"/>
      </w:pPr>
      <w:r>
        <w:t>Known research limitations.</w:t>
      </w:r>
    </w:p>
    <w:p>
      <w:pPr>
        <w:spacing w:after="100"/>
      </w:pPr>
      <w:r>
        <w:rPr>
          <w:b w:val="0"/>
        </w:rPr>
        <w:t>The Company Intelligence Engine may say “not accessible” or “not verified.” It may never say or imply “researched” merely because the source category exists.</w:t>
      </w:r>
    </w:p>
    <w:p>
      <w:pPr>
        <w:pStyle w:val="Heading1"/>
      </w:pPr>
      <w:r>
        <w:t>7. Handoff Envelope Standard v1.3</w:t>
      </w:r>
    </w:p>
    <w:tbl>
      <w:tblPr>
        <w:tblStyle w:val="TableGrid"/>
        <w:tblW w:type="auto" w:w="0"/>
        <w:jc w:val="center"/>
        <w:tblLook w:firstColumn="1" w:firstRow="1" w:lastColumn="0" w:lastRow="0" w:noHBand="0" w:noVBand="1" w:val="04A0"/>
      </w:tblPr>
      <w:tblGrid>
        <w:gridCol w:w="4997"/>
        <w:gridCol w:w="4997"/>
      </w:tblGrid>
      <w:tr>
        <w:tc>
          <w:tcPr>
            <w:tcW w:type="dxa" w:w="2448"/>
            <w:shd w:fill="D9EAF7"/>
            <w:tcMar>
              <w:top w:w="80" w:type="dxa"/>
              <w:bottom w:w="80" w:type="dxa"/>
              <w:start w:w="100" w:type="dxa"/>
              <w:end w:w="100" w:type="dxa"/>
            </w:tcMar>
          </w:tcPr>
          <w:p>
            <w:r>
              <w:rPr>
                <w:b/>
              </w:rPr>
              <w:t>Field</w:t>
            </w:r>
          </w:p>
        </w:tc>
        <w:tc>
          <w:tcPr>
            <w:tcW w:type="dxa" w:w="7200"/>
            <w:shd w:fill="D9EAF7"/>
            <w:tcMar>
              <w:top w:w="80" w:type="dxa"/>
              <w:bottom w:w="80" w:type="dxa"/>
              <w:start w:w="100" w:type="dxa"/>
              <w:end w:w="100" w:type="dxa"/>
            </w:tcMar>
          </w:tcPr>
          <w:p>
            <w:r>
              <w:rPr>
                <w:b/>
              </w:rPr>
              <w:t>Required content</w:t>
            </w:r>
          </w:p>
        </w:tc>
      </w:tr>
      <w:tr>
        <w:tc>
          <w:tcPr>
            <w:tcW w:type="dxa" w:w="2448"/>
            <w:vAlign w:val="top"/>
            <w:tcMar>
              <w:top w:w="80" w:type="dxa"/>
              <w:bottom w:w="80" w:type="dxa"/>
              <w:start w:w="100" w:type="dxa"/>
              <w:end w:w="100" w:type="dxa"/>
            </w:tcMar>
          </w:tcPr>
          <w:p>
            <w:r>
              <w:t>handoff_id</w:t>
            </w:r>
          </w:p>
        </w:tc>
        <w:tc>
          <w:tcPr>
            <w:tcW w:type="dxa" w:w="7200"/>
            <w:vAlign w:val="top"/>
            <w:tcMar>
              <w:top w:w="80" w:type="dxa"/>
              <w:bottom w:w="80" w:type="dxa"/>
              <w:start w:w="100" w:type="dxa"/>
              <w:end w:w="100" w:type="dxa"/>
            </w:tcMar>
          </w:tcPr>
          <w:p>
            <w:r>
              <w:t>Unique identifier.</w:t>
            </w:r>
          </w:p>
        </w:tc>
      </w:tr>
      <w:tr>
        <w:tc>
          <w:tcPr>
            <w:tcW w:type="dxa" w:w="2448"/>
            <w:vAlign w:val="top"/>
            <w:tcMar>
              <w:top w:w="80" w:type="dxa"/>
              <w:bottom w:w="80" w:type="dxa"/>
              <w:start w:w="100" w:type="dxa"/>
              <w:end w:w="100" w:type="dxa"/>
            </w:tcMar>
          </w:tcPr>
          <w:p>
            <w:r>
              <w:t>handoff_type</w:t>
            </w:r>
          </w:p>
        </w:tc>
        <w:tc>
          <w:tcPr>
            <w:tcW w:type="dxa" w:w="7200"/>
            <w:vAlign w:val="top"/>
            <w:tcMar>
              <w:top w:w="80" w:type="dxa"/>
              <w:bottom w:w="80" w:type="dxa"/>
              <w:start w:w="100" w:type="dxa"/>
              <w:end w:w="100" w:type="dxa"/>
            </w:tcMar>
          </w:tcPr>
          <w:p>
            <w:r>
              <w:t>Diagnostic / Company Intelligence / Capability Map / Targeting Foundation / Prescription / Signal / GAP / Evidence-RedTeam / Priority / Buyer / Routing / Outreach / Weekly Release / Assignment / Outcome / Learning.</w:t>
            </w:r>
          </w:p>
        </w:tc>
      </w:tr>
      <w:tr>
        <w:tc>
          <w:tcPr>
            <w:tcW w:type="dxa" w:w="2448"/>
            <w:vAlign w:val="top"/>
            <w:tcMar>
              <w:top w:w="80" w:type="dxa"/>
              <w:bottom w:w="80" w:type="dxa"/>
              <w:start w:w="100" w:type="dxa"/>
              <w:end w:w="100" w:type="dxa"/>
            </w:tcMar>
          </w:tcPr>
          <w:p>
            <w:r>
              <w:t>company_id</w:t>
            </w:r>
          </w:p>
        </w:tc>
        <w:tc>
          <w:tcPr>
            <w:tcW w:type="dxa" w:w="7200"/>
            <w:vAlign w:val="top"/>
            <w:tcMar>
              <w:top w:w="80" w:type="dxa"/>
              <w:bottom w:w="80" w:type="dxa"/>
              <w:start w:w="100" w:type="dxa"/>
              <w:end w:w="100" w:type="dxa"/>
            </w:tcMar>
          </w:tcPr>
          <w:p>
            <w:r>
              <w:t>Organization identity.</w:t>
            </w:r>
          </w:p>
        </w:tc>
      </w:tr>
      <w:tr>
        <w:tc>
          <w:tcPr>
            <w:tcW w:type="dxa" w:w="2448"/>
            <w:vAlign w:val="top"/>
            <w:tcMar>
              <w:top w:w="80" w:type="dxa"/>
              <w:bottom w:w="80" w:type="dxa"/>
              <w:start w:w="100" w:type="dxa"/>
              <w:end w:w="100" w:type="dxa"/>
            </w:tcMar>
          </w:tcPr>
          <w:p>
            <w:r>
              <w:t>account_id</w:t>
            </w:r>
          </w:p>
        </w:tc>
        <w:tc>
          <w:tcPr>
            <w:tcW w:type="dxa" w:w="7200"/>
            <w:vAlign w:val="top"/>
            <w:tcMar>
              <w:top w:w="80" w:type="dxa"/>
              <w:bottom w:w="80" w:type="dxa"/>
              <w:start w:w="100" w:type="dxa"/>
              <w:end w:w="100" w:type="dxa"/>
            </w:tcMar>
          </w:tcPr>
          <w:p>
            <w:r>
              <w:t>Account identity when applicable.</w:t>
            </w:r>
          </w:p>
        </w:tc>
      </w:tr>
      <w:tr>
        <w:tc>
          <w:tcPr>
            <w:tcW w:type="dxa" w:w="2448"/>
            <w:vAlign w:val="top"/>
            <w:tcMar>
              <w:top w:w="80" w:type="dxa"/>
              <w:bottom w:w="80" w:type="dxa"/>
              <w:start w:w="100" w:type="dxa"/>
              <w:end w:w="100" w:type="dxa"/>
            </w:tcMar>
          </w:tcPr>
          <w:p>
            <w:r>
              <w:t>created_at</w:t>
            </w:r>
          </w:p>
        </w:tc>
        <w:tc>
          <w:tcPr>
            <w:tcW w:type="dxa" w:w="7200"/>
            <w:vAlign w:val="top"/>
            <w:tcMar>
              <w:top w:w="80" w:type="dxa"/>
              <w:bottom w:w="80" w:type="dxa"/>
              <w:start w:w="100" w:type="dxa"/>
              <w:end w:w="100" w:type="dxa"/>
            </w:tcMar>
          </w:tcPr>
          <w:p>
            <w:r>
              <w:t>Timestamp.</w:t>
            </w:r>
          </w:p>
        </w:tc>
      </w:tr>
      <w:tr>
        <w:tc>
          <w:tcPr>
            <w:tcW w:type="dxa" w:w="2448"/>
            <w:vAlign w:val="top"/>
            <w:tcMar>
              <w:top w:w="80" w:type="dxa"/>
              <w:bottom w:w="80" w:type="dxa"/>
              <w:start w:w="100" w:type="dxa"/>
              <w:end w:w="100" w:type="dxa"/>
            </w:tcMar>
          </w:tcPr>
          <w:p>
            <w:r>
              <w:t>created_by</w:t>
            </w:r>
          </w:p>
        </w:tc>
        <w:tc>
          <w:tcPr>
            <w:tcW w:type="dxa" w:w="7200"/>
            <w:vAlign w:val="top"/>
            <w:tcMar>
              <w:top w:w="80" w:type="dxa"/>
              <w:bottom w:w="80" w:type="dxa"/>
              <w:start w:w="100" w:type="dxa"/>
              <w:end w:w="100" w:type="dxa"/>
            </w:tcMar>
          </w:tcPr>
          <w:p>
            <w:r>
              <w:t>Engine or validated human action.</w:t>
            </w:r>
          </w:p>
        </w:tc>
      </w:tr>
      <w:tr>
        <w:tc>
          <w:tcPr>
            <w:tcW w:type="dxa" w:w="2448"/>
            <w:vAlign w:val="top"/>
            <w:tcMar>
              <w:top w:w="80" w:type="dxa"/>
              <w:bottom w:w="80" w:type="dxa"/>
              <w:start w:w="100" w:type="dxa"/>
              <w:end w:w="100" w:type="dxa"/>
            </w:tcMar>
          </w:tcPr>
          <w:p>
            <w:r>
              <w:t>methodology_version</w:t>
            </w:r>
          </w:p>
        </w:tc>
        <w:tc>
          <w:tcPr>
            <w:tcW w:type="dxa" w:w="7200"/>
            <w:vAlign w:val="top"/>
            <w:tcMar>
              <w:top w:w="80" w:type="dxa"/>
              <w:bottom w:w="80" w:type="dxa"/>
              <w:start w:w="100" w:type="dxa"/>
              <w:end w:w="100" w:type="dxa"/>
            </w:tcMar>
          </w:tcPr>
          <w:p>
            <w:r>
              <w:t>Version of producing Engine/rules.</w:t>
            </w:r>
          </w:p>
        </w:tc>
      </w:tr>
      <w:tr>
        <w:tc>
          <w:tcPr>
            <w:tcW w:type="dxa" w:w="2448"/>
            <w:vAlign w:val="top"/>
            <w:tcMar>
              <w:top w:w="80" w:type="dxa"/>
              <w:bottom w:w="80" w:type="dxa"/>
              <w:start w:w="100" w:type="dxa"/>
              <w:end w:w="100" w:type="dxa"/>
            </w:tcMar>
          </w:tcPr>
          <w:p>
            <w:r>
              <w:t>input_refs</w:t>
            </w:r>
          </w:p>
        </w:tc>
        <w:tc>
          <w:tcPr>
            <w:tcW w:type="dxa" w:w="7200"/>
            <w:vAlign w:val="top"/>
            <w:tcMar>
              <w:top w:w="80" w:type="dxa"/>
              <w:bottom w:w="80" w:type="dxa"/>
              <w:start w:w="100" w:type="dxa"/>
              <w:end w:w="100" w:type="dxa"/>
            </w:tcMar>
          </w:tcPr>
          <w:p>
            <w:r>
              <w:t>References to upstream evidence/handoffs.</w:t>
            </w:r>
          </w:p>
        </w:tc>
      </w:tr>
      <w:tr>
        <w:tc>
          <w:tcPr>
            <w:tcW w:type="dxa" w:w="2448"/>
            <w:vAlign w:val="top"/>
            <w:tcMar>
              <w:top w:w="80" w:type="dxa"/>
              <w:bottom w:w="80" w:type="dxa"/>
              <w:start w:w="100" w:type="dxa"/>
              <w:end w:w="100" w:type="dxa"/>
            </w:tcMar>
          </w:tcPr>
          <w:p>
            <w:r>
              <w:t>output_payload</w:t>
            </w:r>
          </w:p>
        </w:tc>
        <w:tc>
          <w:tcPr>
            <w:tcW w:type="dxa" w:w="7200"/>
            <w:vAlign w:val="top"/>
            <w:tcMar>
              <w:top w:w="80" w:type="dxa"/>
              <w:bottom w:w="80" w:type="dxa"/>
              <w:start w:w="100" w:type="dxa"/>
              <w:end w:w="100" w:type="dxa"/>
            </w:tcMar>
          </w:tcPr>
          <w:p>
            <w:r>
              <w:t>Governed output.</w:t>
            </w:r>
          </w:p>
        </w:tc>
      </w:tr>
      <w:tr>
        <w:tc>
          <w:tcPr>
            <w:tcW w:type="dxa" w:w="2448"/>
            <w:vAlign w:val="top"/>
            <w:tcMar>
              <w:top w:w="80" w:type="dxa"/>
              <w:bottom w:w="80" w:type="dxa"/>
              <w:start w:w="100" w:type="dxa"/>
              <w:end w:w="100" w:type="dxa"/>
            </w:tcMar>
          </w:tcPr>
          <w:p>
            <w:r>
              <w:t>confidence</w:t>
            </w:r>
          </w:p>
        </w:tc>
        <w:tc>
          <w:tcPr>
            <w:tcW w:type="dxa" w:w="7200"/>
            <w:vAlign w:val="top"/>
            <w:tcMar>
              <w:top w:w="80" w:type="dxa"/>
              <w:bottom w:w="80" w:type="dxa"/>
              <w:start w:w="100" w:type="dxa"/>
              <w:end w:w="100" w:type="dxa"/>
            </w:tcMar>
          </w:tcPr>
          <w:p>
            <w:r>
              <w:t>HIGH / MEDIUM / LOW or specialized equivalent.</w:t>
            </w:r>
          </w:p>
        </w:tc>
      </w:tr>
      <w:tr>
        <w:tc>
          <w:tcPr>
            <w:tcW w:type="dxa" w:w="2448"/>
            <w:vAlign w:val="top"/>
            <w:tcMar>
              <w:top w:w="80" w:type="dxa"/>
              <w:bottom w:w="80" w:type="dxa"/>
              <w:start w:w="100" w:type="dxa"/>
              <w:end w:w="100" w:type="dxa"/>
            </w:tcMar>
          </w:tcPr>
          <w:p>
            <w:r>
              <w:t>gate_status</w:t>
            </w:r>
          </w:p>
        </w:tc>
        <w:tc>
          <w:tcPr>
            <w:tcW w:type="dxa" w:w="7200"/>
            <w:vAlign w:val="top"/>
            <w:tcMar>
              <w:top w:w="80" w:type="dxa"/>
              <w:bottom w:w="80" w:type="dxa"/>
              <w:start w:w="100" w:type="dxa"/>
              <w:end w:w="100" w:type="dxa"/>
            </w:tcMar>
          </w:tcPr>
          <w:p>
            <w:r>
              <w:t>PASS / PARTIAL / HOLD / FAIL when relevant.</w:t>
            </w:r>
          </w:p>
        </w:tc>
      </w:tr>
      <w:tr>
        <w:tc>
          <w:tcPr>
            <w:tcW w:type="dxa" w:w="2448"/>
            <w:vAlign w:val="top"/>
            <w:tcMar>
              <w:top w:w="80" w:type="dxa"/>
              <w:bottom w:w="80" w:type="dxa"/>
              <w:start w:w="100" w:type="dxa"/>
              <w:end w:w="100" w:type="dxa"/>
            </w:tcMar>
          </w:tcPr>
          <w:p>
            <w:r>
              <w:t>open_conflicts</w:t>
            </w:r>
          </w:p>
        </w:tc>
        <w:tc>
          <w:tcPr>
            <w:tcW w:type="dxa" w:w="7200"/>
            <w:vAlign w:val="top"/>
            <w:tcMar>
              <w:top w:w="80" w:type="dxa"/>
              <w:bottom w:w="80" w:type="dxa"/>
              <w:start w:w="100" w:type="dxa"/>
              <w:end w:w="100" w:type="dxa"/>
            </w:tcMar>
          </w:tcPr>
          <w:p>
            <w:r>
              <w:t>Unresolved contradictions.</w:t>
            </w:r>
          </w:p>
        </w:tc>
      </w:tr>
      <w:tr>
        <w:tc>
          <w:tcPr>
            <w:tcW w:type="dxa" w:w="2448"/>
            <w:vAlign w:val="top"/>
            <w:tcMar>
              <w:top w:w="80" w:type="dxa"/>
              <w:bottom w:w="80" w:type="dxa"/>
              <w:start w:w="100" w:type="dxa"/>
              <w:end w:w="100" w:type="dxa"/>
            </w:tcMar>
          </w:tcPr>
          <w:p>
            <w:r>
              <w:t>research_limitations</w:t>
            </w:r>
          </w:p>
        </w:tc>
        <w:tc>
          <w:tcPr>
            <w:tcW w:type="dxa" w:w="7200"/>
            <w:vAlign w:val="top"/>
            <w:tcMar>
              <w:top w:w="80" w:type="dxa"/>
              <w:bottom w:w="80" w:type="dxa"/>
              <w:start w:w="100" w:type="dxa"/>
              <w:end w:w="100" w:type="dxa"/>
            </w:tcMar>
          </w:tcPr>
          <w:p>
            <w:r>
              <w:t>Material inaccessible/unverified sources when relevant.</w:t>
            </w:r>
          </w:p>
        </w:tc>
      </w:tr>
      <w:tr>
        <w:tc>
          <w:tcPr>
            <w:tcW w:type="dxa" w:w="2448"/>
            <w:vAlign w:val="top"/>
            <w:tcMar>
              <w:top w:w="80" w:type="dxa"/>
              <w:bottom w:w="80" w:type="dxa"/>
              <w:start w:w="100" w:type="dxa"/>
              <w:end w:w="100" w:type="dxa"/>
            </w:tcMar>
          </w:tcPr>
          <w:p>
            <w:r>
              <w:t>allowed_downstream_use</w:t>
            </w:r>
          </w:p>
        </w:tc>
        <w:tc>
          <w:tcPr>
            <w:tcW w:type="dxa" w:w="7200"/>
            <w:vAlign w:val="top"/>
            <w:tcMar>
              <w:top w:w="80" w:type="dxa"/>
              <w:bottom w:w="80" w:type="dxa"/>
              <w:start w:w="100" w:type="dxa"/>
              <w:end w:w="100" w:type="dxa"/>
            </w:tcMar>
          </w:tcPr>
          <w:p>
            <w:r>
              <w:t>What consumers may do with this handoff.</w:t>
            </w:r>
          </w:p>
        </w:tc>
      </w:tr>
      <w:tr>
        <w:tc>
          <w:tcPr>
            <w:tcW w:type="dxa" w:w="2448"/>
            <w:vAlign w:val="top"/>
            <w:tcMar>
              <w:top w:w="80" w:type="dxa"/>
              <w:bottom w:w="80" w:type="dxa"/>
              <w:start w:w="100" w:type="dxa"/>
              <w:end w:w="100" w:type="dxa"/>
            </w:tcMar>
          </w:tcPr>
          <w:p>
            <w:r>
              <w:t>lock_status</w:t>
            </w:r>
          </w:p>
        </w:tc>
        <w:tc>
          <w:tcPr>
            <w:tcW w:type="dxa" w:w="7200"/>
            <w:vAlign w:val="top"/>
            <w:tcMar>
              <w:top w:w="80" w:type="dxa"/>
              <w:bottom w:w="80" w:type="dxa"/>
              <w:start w:w="100" w:type="dxa"/>
              <w:end w:w="100" w:type="dxa"/>
            </w:tcMar>
          </w:tcPr>
          <w:p>
            <w:r>
              <w:t>OPEN / LOCKED.</w:t>
            </w:r>
          </w:p>
        </w:tc>
      </w:tr>
      <w:tr>
        <w:tc>
          <w:tcPr>
            <w:tcW w:type="dxa" w:w="2448"/>
            <w:vAlign w:val="top"/>
            <w:tcMar>
              <w:top w:w="80" w:type="dxa"/>
              <w:bottom w:w="80" w:type="dxa"/>
              <w:start w:w="100" w:type="dxa"/>
              <w:end w:w="100" w:type="dxa"/>
            </w:tcMar>
          </w:tcPr>
          <w:p>
            <w:r>
              <w:t>supersedes</w:t>
            </w:r>
          </w:p>
        </w:tc>
        <w:tc>
          <w:tcPr>
            <w:tcW w:type="dxa" w:w="7200"/>
            <w:vAlign w:val="top"/>
            <w:tcMar>
              <w:top w:w="80" w:type="dxa"/>
              <w:bottom w:w="80" w:type="dxa"/>
              <w:start w:w="100" w:type="dxa"/>
              <w:end w:w="100" w:type="dxa"/>
            </w:tcMar>
          </w:tcPr>
          <w:p>
            <w:r>
              <w:t>Prior version if governed update.</w:t>
            </w:r>
          </w:p>
        </w:tc>
      </w:tr>
      <w:tr>
        <w:tc>
          <w:tcPr>
            <w:tcW w:type="dxa" w:w="4997"/>
          </w:tcPr>
          <w:p>
            <w:r>
              <w:t>participant_company_id</w:t>
            </w:r>
          </w:p>
        </w:tc>
        <w:tc>
          <w:tcPr>
            <w:tcW w:type="dxa" w:w="4997"/>
          </w:tcPr>
          <w:p>
            <w:r>
              <w:t>Validated/known organization for whom prospecting is being performed; never inferred from creator/methodology context.</w:t>
            </w:r>
          </w:p>
        </w:tc>
      </w:tr>
      <w:tr>
        <w:tc>
          <w:tcPr>
            <w:tcW w:type="dxa" w:w="4997"/>
          </w:tcPr>
          <w:p>
            <w:r>
              <w:t>battlefield</w:t>
            </w:r>
          </w:p>
        </w:tc>
        <w:tc>
          <w:tcPr>
            <w:tcW w:type="dxa" w:w="4997"/>
          </w:tcPr>
          <w:p>
            <w:r>
              <w:t>Validated/known country, region, territory or market for the current mission.</w:t>
            </w:r>
          </w:p>
        </w:tc>
      </w:tr>
    </w:tbl>
    <w:p/>
    <w:p>
      <w:pPr>
        <w:pStyle w:val="Heading1"/>
      </w:pPr>
      <w:r>
        <w:t>8. Locked Handoff Rules</w:t>
      </w:r>
    </w:p>
    <w:p>
      <w:pPr>
        <w:pStyle w:val="ListNumber"/>
        <w:spacing w:after="40"/>
      </w:pPr>
      <w:r>
        <w:t>A handoff becomes LOCKED when it authorizes a consequential downstream action: weekly release, Director assignment or another defined execution boundary.</w:t>
      </w:r>
    </w:p>
    <w:p>
      <w:pPr>
        <w:pStyle w:val="ListNumber"/>
        <w:spacing w:after="40"/>
      </w:pPr>
      <w:r>
        <w:t>Locked fields cannot be edited in place.</w:t>
      </w:r>
    </w:p>
    <w:p>
      <w:pPr>
        <w:pStyle w:val="ListNumber"/>
        <w:spacing w:after="40"/>
      </w:pPr>
      <w:r>
        <w:t>New facts are appended as evidence events.</w:t>
      </w:r>
    </w:p>
    <w:p>
      <w:pPr>
        <w:pStyle w:val="ListNumber"/>
        <w:spacing w:after="40"/>
      </w:pPr>
      <w:r>
        <w:t>A materially changed interpretation creates a new version referencing the prior handoff.</w:t>
      </w:r>
    </w:p>
    <w:p>
      <w:pPr>
        <w:pStyle w:val="ListNumber"/>
        <w:spacing w:after="40"/>
      </w:pPr>
      <w:r>
        <w:t>The UI may display the latest view, but the system must retain the original release/assignment-time snapshot.</w:t>
      </w:r>
    </w:p>
    <w:p>
      <w:pPr>
        <w:pStyle w:val="ListNumber"/>
        <w:spacing w:after="40"/>
      </w:pPr>
      <w:r>
        <w:t>Outcomes are evaluated against what was actually known and recommended at the time—not against rewritten history.</w:t>
      </w:r>
    </w:p>
    <w:p>
      <w:pPr>
        <w:pStyle w:val="ListNumber"/>
        <w:spacing w:after="40"/>
      </w:pPr>
      <w:r>
        <w:t>A later correction may downgrade an earlier opportunity, but may not erase that the earlier recommendation occurred.</w:t>
      </w:r>
    </w:p>
    <w:p>
      <w:pPr>
        <w:pStyle w:val="Heading1"/>
      </w:pPr>
      <w:r>
        <w:t>9. Mandatory Handoffs v1.3</w:t>
      </w:r>
    </w:p>
    <w:tbl>
      <w:tblPr>
        <w:tblStyle w:val="TableGrid"/>
        <w:tblW w:type="auto" w:w="0"/>
        <w:jc w:val="center"/>
        <w:tblLook w:firstColumn="1" w:firstRow="1" w:lastColumn="0" w:lastRow="0" w:noHBand="0" w:noVBand="1" w:val="04A0"/>
      </w:tblPr>
      <w:tr>
        <w:tc>
          <w:tcPr>
            <w:tcW w:type="dxa" w:w="3331"/>
          </w:tcPr>
          <w:p>
            <w:r>
              <w:t>Participant Identity &amp; Battlefield Gate → Context Recovery</w:t>
            </w:r>
          </w:p>
        </w:tc>
        <w:tc>
          <w:tcPr>
            <w:tcW w:type="dxa" w:w="3331"/>
          </w:tcPr>
          <w:p>
            <w:r>
              <w:t>Participant company identity, status/basis, battlefield, confidence.</w:t>
            </w:r>
          </w:p>
        </w:tc>
        <w:tc>
          <w:tcPr>
            <w:tcW w:type="dxa" w:w="3331"/>
          </w:tcPr>
          <w:p>
            <w:r>
              <w:t>If either remains UNKNOWN, Account Discovery and weekly release are BLOCKED; ask only the minimum unresolved question.</w:t>
            </w:r>
          </w:p>
        </w:tc>
      </w:tr>
      <w:tblGrid>
        <w:gridCol w:w="3331"/>
        <w:gridCol w:w="3331"/>
        <w:gridCol w:w="3331"/>
      </w:tblGrid>
      <w:tr>
        <w:tc>
          <w:tcPr>
            <w:tcW w:type="dxa" w:w="2880"/>
            <w:shd w:fill="D9EAF7"/>
            <w:tcMar>
              <w:top w:w="80" w:type="dxa"/>
              <w:bottom w:w="80" w:type="dxa"/>
              <w:start w:w="100" w:type="dxa"/>
              <w:end w:w="100" w:type="dxa"/>
            </w:tcMar>
          </w:tcPr>
          <w:p>
            <w:r>
              <w:rPr>
                <w:b/>
              </w:rPr>
              <w:t>Producer → Consumer</w:t>
            </w:r>
          </w:p>
        </w:tc>
        <w:tc>
          <w:tcPr>
            <w:tcW w:type="dxa" w:w="4608"/>
            <w:shd w:fill="D9EAF7"/>
            <w:tcMar>
              <w:top w:w="80" w:type="dxa"/>
              <w:bottom w:w="80" w:type="dxa"/>
              <w:start w:w="100" w:type="dxa"/>
              <w:end w:w="100" w:type="dxa"/>
            </w:tcMar>
          </w:tcPr>
          <w:p>
            <w:r>
              <w:rPr>
                <w:b/>
              </w:rPr>
              <w:t>Minimum required payload</w:t>
            </w:r>
          </w:p>
        </w:tc>
        <w:tc>
          <w:tcPr>
            <w:tcW w:type="dxa" w:w="3024"/>
            <w:shd w:fill="D9EAF7"/>
            <w:tcMar>
              <w:top w:w="80" w:type="dxa"/>
              <w:bottom w:w="80" w:type="dxa"/>
              <w:start w:w="100" w:type="dxa"/>
              <w:end w:w="100" w:type="dxa"/>
            </w:tcMar>
          </w:tcPr>
          <w:p>
            <w:r>
              <w:rPr>
                <w:b/>
              </w:rPr>
              <w:t>Failure behavior</w:t>
            </w:r>
          </w:p>
        </w:tc>
      </w:tr>
      <w:tr>
        <w:tc>
          <w:tcPr>
            <w:tcW w:type="dxa" w:w="2880"/>
            <w:vAlign w:val="top"/>
            <w:tcMar>
              <w:top w:w="80" w:type="dxa"/>
              <w:bottom w:w="80" w:type="dxa"/>
              <w:start w:w="100" w:type="dxa"/>
              <w:end w:w="100" w:type="dxa"/>
            </w:tcMar>
          </w:tcPr>
          <w:p>
            <w:r>
              <w:t>Diagnostic → Prospecting Context</w:t>
            </w:r>
          </w:p>
        </w:tc>
        <w:tc>
          <w:tcPr>
            <w:tcW w:type="dxa" w:w="4608"/>
            <w:vAlign w:val="top"/>
            <w:tcMar>
              <w:top w:w="80" w:type="dxa"/>
              <w:bottom w:w="80" w:type="dxa"/>
              <w:start w:w="100" w:type="dxa"/>
              <w:end w:w="100" w:type="dxa"/>
            </w:tcMar>
          </w:tcPr>
          <w:p>
            <w:r>
              <w:t>Relevant evidence, Sales Leaks, confidence, date/version.</w:t>
            </w:r>
          </w:p>
        </w:tc>
        <w:tc>
          <w:tcPr>
            <w:tcW w:type="dxa" w:w="3024"/>
            <w:vAlign w:val="top"/>
            <w:tcMar>
              <w:top w:w="80" w:type="dxa"/>
              <w:bottom w:w="80" w:type="dxa"/>
              <w:start w:w="100" w:type="dxa"/>
              <w:end w:w="100" w:type="dxa"/>
            </w:tcMar>
          </w:tcPr>
          <w:p>
            <w:r>
              <w:t>Use confirmed elements only or continue without diagnostic.</w:t>
            </w:r>
          </w:p>
        </w:tc>
      </w:tr>
      <w:tr>
        <w:tc>
          <w:tcPr>
            <w:tcW w:type="dxa" w:w="2880"/>
            <w:vAlign w:val="top"/>
            <w:tcMar>
              <w:top w:w="80" w:type="dxa"/>
              <w:bottom w:w="80" w:type="dxa"/>
              <w:start w:w="100" w:type="dxa"/>
              <w:end w:w="100" w:type="dxa"/>
            </w:tcMar>
          </w:tcPr>
          <w:p>
            <w:r>
              <w:t>Company Intelligence → Capability Map</w:t>
            </w:r>
          </w:p>
        </w:tc>
        <w:tc>
          <w:tcPr>
            <w:tcW w:type="dxa" w:w="4608"/>
            <w:vAlign w:val="top"/>
            <w:tcMar>
              <w:top w:w="80" w:type="dxa"/>
              <w:bottom w:w="80" w:type="dxa"/>
              <w:start w:w="100" w:type="dxa"/>
              <w:end w:w="100" w:type="dxa"/>
            </w:tcMar>
          </w:tcPr>
          <w:p>
            <w:r>
              <w:t>Company DNA, source coverage, offer, public proof, problems, exclusions, evidence confidence.</w:t>
            </w:r>
          </w:p>
        </w:tc>
        <w:tc>
          <w:tcPr>
            <w:tcW w:type="dxa" w:w="3024"/>
            <w:vAlign w:val="top"/>
            <w:tcMar>
              <w:top w:w="80" w:type="dxa"/>
              <w:bottom w:w="80" w:type="dxa"/>
              <w:start w:w="100" w:type="dxa"/>
              <w:end w:w="100" w:type="dxa"/>
            </w:tcMar>
          </w:tcPr>
          <w:p>
            <w:r>
              <w:t>Return to research/minimal validation; no market discovery.</w:t>
            </w:r>
          </w:p>
        </w:tc>
      </w:tr>
      <w:tr>
        <w:tc>
          <w:tcPr>
            <w:tcW w:type="dxa" w:w="2880"/>
            <w:vAlign w:val="top"/>
            <w:tcMar>
              <w:top w:w="80" w:type="dxa"/>
              <w:bottom w:w="80" w:type="dxa"/>
              <w:start w:w="100" w:type="dxa"/>
              <w:end w:w="100" w:type="dxa"/>
            </w:tcMar>
          </w:tcPr>
          <w:p>
            <w:r>
              <w:t>Capability Map → ICP/Buyer/GAP Families</w:t>
            </w:r>
          </w:p>
        </w:tc>
        <w:tc>
          <w:tcPr>
            <w:tcW w:type="dxa" w:w="4608"/>
            <w:vAlign w:val="top"/>
            <w:tcMar>
              <w:top w:w="80" w:type="dxa"/>
              <w:bottom w:w="80" w:type="dxa"/>
              <w:start w:w="100" w:type="dxa"/>
              <w:end w:w="100" w:type="dxa"/>
            </w:tcMar>
          </w:tcPr>
          <w:p>
            <w:r>
              <w:t>Defendable capabilities, proof, boundaries, observable relevance conditions.</w:t>
            </w:r>
          </w:p>
        </w:tc>
        <w:tc>
          <w:tcPr>
            <w:tcW w:type="dxa" w:w="3024"/>
            <w:vAlign w:val="top"/>
            <w:tcMar>
              <w:top w:w="80" w:type="dxa"/>
              <w:bottom w:w="80" w:type="dxa"/>
              <w:start w:w="100" w:type="dxa"/>
              <w:end w:w="100" w:type="dxa"/>
            </w:tcMar>
          </w:tcPr>
          <w:p>
            <w:r>
              <w:t>Do not create generic targeting from unsupported capability assumptions.</w:t>
            </w:r>
          </w:p>
        </w:tc>
      </w:tr>
      <w:tr>
        <w:tc>
          <w:tcPr>
            <w:tcW w:type="dxa" w:w="2880"/>
            <w:vAlign w:val="top"/>
            <w:tcMar>
              <w:top w:w="80" w:type="dxa"/>
              <w:bottom w:w="80" w:type="dxa"/>
              <w:start w:w="100" w:type="dxa"/>
              <w:end w:w="100" w:type="dxa"/>
            </w:tcMar>
          </w:tcPr>
          <w:p>
            <w:r>
              <w:t>ICP/Buyer/GAP Families → Weekly Mission/Prescription</w:t>
            </w:r>
          </w:p>
        </w:tc>
        <w:tc>
          <w:tcPr>
            <w:tcW w:type="dxa" w:w="4608"/>
            <w:vAlign w:val="top"/>
            <w:tcMar>
              <w:top w:w="80" w:type="dxa"/>
              <w:bottom w:w="80" w:type="dxa"/>
              <w:start w:w="100" w:type="dxa"/>
              <w:end w:w="100" w:type="dxa"/>
            </w:tcMar>
          </w:tcPr>
          <w:p>
            <w:r>
              <w:t>ICP slices, Buyers, GAP families, exclusions.</w:t>
            </w:r>
          </w:p>
        </w:tc>
        <w:tc>
          <w:tcPr>
            <w:tcW w:type="dxa" w:w="3024"/>
            <w:vAlign w:val="top"/>
            <w:tcMar>
              <w:top w:w="80" w:type="dxa"/>
              <w:bottom w:w="80" w:type="dxa"/>
              <w:start w:w="100" w:type="dxa"/>
              <w:end w:w="100" w:type="dxa"/>
            </w:tcMar>
          </w:tcPr>
          <w:p>
            <w:r>
              <w:t>Proceed only with sufficient targeting foundation.</w:t>
            </w:r>
          </w:p>
        </w:tc>
      </w:tr>
      <w:tr>
        <w:tc>
          <w:tcPr>
            <w:tcW w:type="dxa" w:w="2880"/>
            <w:vAlign w:val="top"/>
            <w:tcMar>
              <w:top w:w="80" w:type="dxa"/>
              <w:bottom w:w="80" w:type="dxa"/>
              <w:start w:w="100" w:type="dxa"/>
              <w:end w:w="100" w:type="dxa"/>
            </w:tcMar>
          </w:tcPr>
          <w:p>
            <w:r>
              <w:t>Weekly Mission → Prescription</w:t>
            </w:r>
          </w:p>
        </w:tc>
        <w:tc>
          <w:tcPr>
            <w:tcW w:type="dxa" w:w="4608"/>
            <w:vAlign w:val="top"/>
            <w:tcMar>
              <w:top w:w="80" w:type="dxa"/>
              <w:bottom w:w="80" w:type="dxa"/>
              <w:start w:w="100" w:type="dxa"/>
              <w:end w:w="100" w:type="dxa"/>
            </w:tcMar>
          </w:tcPr>
          <w:p>
            <w:r>
              <w:t>Territory, objective, material constraints.</w:t>
            </w:r>
          </w:p>
        </w:tc>
        <w:tc>
          <w:tcPr>
            <w:tcW w:type="dxa" w:w="3024"/>
            <w:vAlign w:val="top"/>
            <w:tcMar>
              <w:top w:w="80" w:type="dxa"/>
              <w:bottom w:w="80" w:type="dxa"/>
              <w:start w:w="100" w:type="dxa"/>
              <w:end w:w="100" w:type="dxa"/>
            </w:tcMar>
          </w:tcPr>
          <w:p>
            <w:r>
              <w:t>Ask only if a missing decision materially blocks prescription.</w:t>
            </w:r>
          </w:p>
        </w:tc>
      </w:tr>
      <w:tr>
        <w:tc>
          <w:tcPr>
            <w:tcW w:type="dxa" w:w="2880"/>
            <w:vAlign w:val="top"/>
            <w:tcMar>
              <w:top w:w="80" w:type="dxa"/>
              <w:bottom w:w="80" w:type="dxa"/>
              <w:start w:w="100" w:type="dxa"/>
              <w:end w:w="100" w:type="dxa"/>
            </w:tcMar>
          </w:tcPr>
          <w:p>
            <w:r>
              <w:t>Prescription → Account Discovery</w:t>
            </w:r>
          </w:p>
        </w:tc>
        <w:tc>
          <w:tcPr>
            <w:tcW w:type="dxa" w:w="4608"/>
            <w:vAlign w:val="top"/>
            <w:tcMar>
              <w:top w:w="80" w:type="dxa"/>
              <w:bottom w:w="80" w:type="dxa"/>
              <w:start w:w="100" w:type="dxa"/>
              <w:end w:w="100" w:type="dxa"/>
            </w:tcMar>
          </w:tcPr>
          <w:p>
            <w:r>
              <w:t>Commercial Bet, ranked radars, target patterns, signal logic, capacity mix.</w:t>
            </w:r>
          </w:p>
        </w:tc>
        <w:tc>
          <w:tcPr>
            <w:tcW w:type="dxa" w:w="3024"/>
            <w:vAlign w:val="top"/>
            <w:tcMar>
              <w:top w:w="80" w:type="dxa"/>
              <w:bottom w:w="80" w:type="dxa"/>
              <w:start w:w="100" w:type="dxa"/>
              <w:end w:w="100" w:type="dxa"/>
            </w:tcMar>
          </w:tcPr>
          <w:p>
            <w:r>
              <w:t>Account Discovery BLOCKED.</w:t>
            </w:r>
          </w:p>
        </w:tc>
      </w:tr>
      <w:tr>
        <w:tc>
          <w:tcPr>
            <w:tcW w:type="dxa" w:w="2880"/>
            <w:vAlign w:val="top"/>
            <w:tcMar>
              <w:top w:w="80" w:type="dxa"/>
              <w:bottom w:w="80" w:type="dxa"/>
              <w:start w:w="100" w:type="dxa"/>
              <w:end w:w="100" w:type="dxa"/>
            </w:tcMar>
          </w:tcPr>
          <w:p>
            <w:r>
              <w:t>Signal → GAP</w:t>
            </w:r>
          </w:p>
        </w:tc>
        <w:tc>
          <w:tcPr>
            <w:tcW w:type="dxa" w:w="4608"/>
            <w:vAlign w:val="top"/>
            <w:tcMar>
              <w:top w:w="80" w:type="dxa"/>
              <w:bottom w:w="80" w:type="dxa"/>
              <w:start w:w="100" w:type="dxa"/>
              <w:end w:w="100" w:type="dxa"/>
            </w:tcMar>
          </w:tcPr>
          <w:p>
            <w:r>
              <w:t>Verified entity, signal, source, date, recency status.</w:t>
            </w:r>
          </w:p>
        </w:tc>
        <w:tc>
          <w:tcPr>
            <w:tcW w:type="dxa" w:w="3024"/>
            <w:vAlign w:val="top"/>
            <w:tcMar>
              <w:top w:w="80" w:type="dxa"/>
              <w:bottom w:w="80" w:type="dxa"/>
              <w:start w:w="100" w:type="dxa"/>
              <w:end w:w="100" w:type="dxa"/>
            </w:tcMar>
          </w:tcPr>
          <w:p>
            <w:r>
              <w:t>No signal-based GAP if absent.</w:t>
            </w:r>
          </w:p>
        </w:tc>
      </w:tr>
      <w:tr>
        <w:tc>
          <w:tcPr>
            <w:tcW w:type="dxa" w:w="2880"/>
            <w:vAlign w:val="top"/>
            <w:tcMar>
              <w:top w:w="80" w:type="dxa"/>
              <w:bottom w:w="80" w:type="dxa"/>
              <w:start w:w="100" w:type="dxa"/>
              <w:end w:w="100" w:type="dxa"/>
            </w:tcMar>
          </w:tcPr>
          <w:p>
            <w:r>
              <w:t>GAP → Evidence/Red Team</w:t>
            </w:r>
          </w:p>
        </w:tc>
        <w:tc>
          <w:tcPr>
            <w:tcW w:type="dxa" w:w="4608"/>
            <w:vAlign w:val="top"/>
            <w:tcMar>
              <w:top w:w="80" w:type="dxa"/>
              <w:bottom w:w="80" w:type="dxa"/>
              <w:start w:w="100" w:type="dxa"/>
              <w:end w:w="100" w:type="dxa"/>
            </w:tcMar>
          </w:tcPr>
          <w:p>
            <w:r>
              <w:t>Evidence chain, interpretation, GAP, Buyer role, capability fit.</w:t>
            </w:r>
          </w:p>
        </w:tc>
        <w:tc>
          <w:tcPr>
            <w:tcW w:type="dxa" w:w="3024"/>
            <w:vAlign w:val="top"/>
            <w:tcMar>
              <w:top w:w="80" w:type="dxa"/>
              <w:bottom w:w="80" w:type="dxa"/>
              <w:start w:w="100" w:type="dxa"/>
              <w:end w:w="100" w:type="dxa"/>
            </w:tcMar>
          </w:tcPr>
          <w:p>
            <w:r>
              <w:t>Cannot prioritize before validation.</w:t>
            </w:r>
          </w:p>
        </w:tc>
      </w:tr>
      <w:tr>
        <w:tc>
          <w:tcPr>
            <w:tcW w:type="dxa" w:w="2880"/>
            <w:vAlign w:val="top"/>
            <w:tcMar>
              <w:top w:w="80" w:type="dxa"/>
              <w:bottom w:w="80" w:type="dxa"/>
              <w:start w:w="100" w:type="dxa"/>
              <w:end w:w="100" w:type="dxa"/>
            </w:tcMar>
          </w:tcPr>
          <w:p>
            <w:r>
              <w:t>Evidence/Red Team → Prioritization</w:t>
            </w:r>
          </w:p>
        </w:tc>
        <w:tc>
          <w:tcPr>
            <w:tcW w:type="dxa" w:w="4608"/>
            <w:vAlign w:val="top"/>
            <w:tcMar>
              <w:top w:w="80" w:type="dxa"/>
              <w:bottom w:w="80" w:type="dxa"/>
              <w:start w:w="100" w:type="dxa"/>
              <w:end w:w="100" w:type="dxa"/>
            </w:tcMar>
          </w:tcPr>
          <w:p>
            <w:r>
              <w:t>Gate status, confidence, facts, contradictions, failed checks.</w:t>
            </w:r>
          </w:p>
        </w:tc>
        <w:tc>
          <w:tcPr>
            <w:tcW w:type="dxa" w:w="3024"/>
            <w:vAlign w:val="top"/>
            <w:tcMar>
              <w:top w:w="80" w:type="dxa"/>
              <w:bottom w:w="80" w:type="dxa"/>
              <w:start w:w="100" w:type="dxa"/>
              <w:end w:w="100" w:type="dxa"/>
            </w:tcMar>
          </w:tcPr>
          <w:p>
            <w:r>
              <w:t>FAIL cannot become direct Hunting; HOLD remains withheld.</w:t>
            </w:r>
          </w:p>
        </w:tc>
      </w:tr>
      <w:tr>
        <w:tc>
          <w:tcPr>
            <w:tcW w:type="dxa" w:w="2880"/>
            <w:vAlign w:val="top"/>
            <w:tcMar>
              <w:top w:w="80" w:type="dxa"/>
              <w:bottom w:w="80" w:type="dxa"/>
              <w:start w:w="100" w:type="dxa"/>
              <w:end w:w="100" w:type="dxa"/>
            </w:tcMar>
          </w:tcPr>
          <w:p>
            <w:r>
              <w:t>Prioritization → Buyer/Contact</w:t>
            </w:r>
          </w:p>
        </w:tc>
        <w:tc>
          <w:tcPr>
            <w:tcW w:type="dxa" w:w="4608"/>
            <w:vAlign w:val="top"/>
            <w:tcMar>
              <w:top w:w="80" w:type="dxa"/>
              <w:bottom w:w="80" w:type="dxa"/>
              <w:start w:w="100" w:type="dxa"/>
              <w:end w:w="100" w:type="dxa"/>
            </w:tcMar>
          </w:tcPr>
          <w:p>
            <w:r>
              <w:t>Priority rationale, GAP, Buyer role, evidence confidence.</w:t>
            </w:r>
          </w:p>
        </w:tc>
        <w:tc>
          <w:tcPr>
            <w:tcW w:type="dxa" w:w="3024"/>
            <w:vAlign w:val="top"/>
            <w:tcMar>
              <w:top w:w="80" w:type="dxa"/>
              <w:bottom w:w="80" w:type="dxa"/>
              <w:start w:w="100" w:type="dxa"/>
              <w:end w:w="100" w:type="dxa"/>
            </w:tcMar>
          </w:tcPr>
          <w:p>
            <w:r>
              <w:t>Do not personalize nominally without Buyer verification.</w:t>
            </w:r>
          </w:p>
        </w:tc>
      </w:tr>
      <w:tr>
        <w:tc>
          <w:tcPr>
            <w:tcW w:type="dxa" w:w="2880"/>
            <w:vAlign w:val="top"/>
            <w:tcMar>
              <w:top w:w="80" w:type="dxa"/>
              <w:bottom w:w="80" w:type="dxa"/>
              <w:start w:w="100" w:type="dxa"/>
              <w:end w:w="100" w:type="dxa"/>
            </w:tcMar>
          </w:tcPr>
          <w:p>
            <w:r>
              <w:t>Buyer/Contact → Routing</w:t>
            </w:r>
          </w:p>
        </w:tc>
        <w:tc>
          <w:tcPr>
            <w:tcW w:type="dxa" w:w="4608"/>
            <w:vAlign w:val="top"/>
            <w:tcMar>
              <w:top w:w="80" w:type="dxa"/>
              <w:bottom w:w="80" w:type="dxa"/>
              <w:start w:w="100" w:type="dxa"/>
              <w:end w:w="100" w:type="dxa"/>
            </w:tcMar>
          </w:tcPr>
          <w:p>
            <w:r>
              <w:t>Verified person or defensible role, scope/recency status, contact limitations.</w:t>
            </w:r>
          </w:p>
        </w:tc>
        <w:tc>
          <w:tcPr>
            <w:tcW w:type="dxa" w:w="3024"/>
            <w:vAlign w:val="top"/>
            <w:tcMar>
              <w:top w:w="80" w:type="dxa"/>
              <w:bottom w:w="80" w:type="dxa"/>
              <w:start w:w="100" w:type="dxa"/>
              <w:end w:w="100" w:type="dxa"/>
            </w:tcMar>
          </w:tcPr>
          <w:p>
            <w:r>
              <w:t>Route may proceed; direct nominal outreach may remain blocked.</w:t>
            </w:r>
          </w:p>
        </w:tc>
      </w:tr>
      <w:tr>
        <w:tc>
          <w:tcPr>
            <w:tcW w:type="dxa" w:w="2880"/>
            <w:vAlign w:val="top"/>
            <w:tcMar>
              <w:top w:w="80" w:type="dxa"/>
              <w:bottom w:w="80" w:type="dxa"/>
              <w:start w:w="100" w:type="dxa"/>
              <w:end w:w="100" w:type="dxa"/>
            </w:tcMar>
          </w:tcPr>
          <w:p>
            <w:r>
              <w:t>Routing → Outreach</w:t>
            </w:r>
          </w:p>
        </w:tc>
        <w:tc>
          <w:tcPr>
            <w:tcW w:type="dxa" w:w="4608"/>
            <w:vAlign w:val="top"/>
            <w:tcMar>
              <w:top w:w="80" w:type="dxa"/>
              <w:bottom w:w="80" w:type="dxa"/>
              <w:start w:w="100" w:type="dxa"/>
              <w:end w:w="100" w:type="dxa"/>
            </w:tcMar>
          </w:tcPr>
          <w:p>
            <w:r>
              <w:t>Route, Buyer context, Why Now, GAP, evidence, next objective.</w:t>
            </w:r>
          </w:p>
        </w:tc>
        <w:tc>
          <w:tcPr>
            <w:tcW w:type="dxa" w:w="3024"/>
            <w:vAlign w:val="top"/>
            <w:tcMar>
              <w:top w:w="80" w:type="dxa"/>
              <w:bottom w:w="80" w:type="dxa"/>
              <w:start w:w="100" w:type="dxa"/>
              <w:end w:w="100" w:type="dxa"/>
            </w:tcMar>
          </w:tcPr>
          <w:p>
            <w:r>
              <w:t>No message generation as if unknown facts were known.</w:t>
            </w:r>
          </w:p>
        </w:tc>
      </w:tr>
      <w:tr>
        <w:tc>
          <w:tcPr>
            <w:tcW w:type="dxa" w:w="2880"/>
            <w:vAlign w:val="top"/>
            <w:tcMar>
              <w:top w:w="80" w:type="dxa"/>
              <w:bottom w:w="80" w:type="dxa"/>
              <w:start w:w="100" w:type="dxa"/>
              <w:end w:w="100" w:type="dxa"/>
            </w:tcMar>
          </w:tcPr>
          <w:p>
            <w:r>
              <w:t>Outreach → Weekly GOLD Pack</w:t>
            </w:r>
          </w:p>
        </w:tc>
        <w:tc>
          <w:tcPr>
            <w:tcW w:type="dxa" w:w="4608"/>
            <w:vAlign w:val="top"/>
            <w:tcMar>
              <w:top w:w="80" w:type="dxa"/>
              <w:bottom w:w="80" w:type="dxa"/>
              <w:start w:w="100" w:type="dxa"/>
              <w:end w:w="100" w:type="dxa"/>
            </w:tcMar>
          </w:tcPr>
          <w:p>
            <w:r>
              <w:t>Approved message/ABM/nurture strategy or reason outreach is blocked.</w:t>
            </w:r>
          </w:p>
        </w:tc>
        <w:tc>
          <w:tcPr>
            <w:tcW w:type="dxa" w:w="3024"/>
            <w:vAlign w:val="top"/>
            <w:tcMar>
              <w:top w:w="80" w:type="dxa"/>
              <w:bottom w:w="80" w:type="dxa"/>
              <w:start w:w="100" w:type="dxa"/>
              <w:end w:w="100" w:type="dxa"/>
            </w:tcMar>
          </w:tcPr>
          <w:p>
            <w:r>
              <w:t>Pack may withhold outreach but must state why.</w:t>
            </w:r>
          </w:p>
        </w:tc>
      </w:tr>
      <w:tr>
        <w:tc>
          <w:tcPr>
            <w:tcW w:type="dxa" w:w="2880"/>
            <w:vAlign w:val="top"/>
            <w:tcMar>
              <w:top w:w="80" w:type="dxa"/>
              <w:bottom w:w="80" w:type="dxa"/>
              <w:start w:w="100" w:type="dxa"/>
              <w:end w:w="100" w:type="dxa"/>
            </w:tcMar>
          </w:tcPr>
          <w:p>
            <w:r>
              <w:t>Weekly GOLD Pack → Assignment</w:t>
            </w:r>
          </w:p>
        </w:tc>
        <w:tc>
          <w:tcPr>
            <w:tcW w:type="dxa" w:w="4608"/>
            <w:vAlign w:val="top"/>
            <w:tcMar>
              <w:top w:w="80" w:type="dxa"/>
              <w:bottom w:w="80" w:type="dxa"/>
              <w:start w:w="100" w:type="dxa"/>
              <w:end w:w="100" w:type="dxa"/>
            </w:tcMar>
          </w:tcPr>
          <w:p>
            <w:r>
              <w:t>Released account/cluster card, evidence, confidence, route, next action, limitations.</w:t>
            </w:r>
          </w:p>
        </w:tc>
        <w:tc>
          <w:tcPr>
            <w:tcW w:type="dxa" w:w="3024"/>
            <w:vAlign w:val="top"/>
            <w:tcMar>
              <w:top w:w="80" w:type="dxa"/>
              <w:bottom w:w="80" w:type="dxa"/>
              <w:start w:w="100" w:type="dxa"/>
              <w:end w:w="100" w:type="dxa"/>
            </w:tcMar>
          </w:tcPr>
          <w:p>
            <w:r>
              <w:t>No assignment record if required fields missing.</w:t>
            </w:r>
          </w:p>
        </w:tc>
      </w:tr>
      <w:tr>
        <w:tc>
          <w:tcPr>
            <w:tcW w:type="dxa" w:w="2880"/>
            <w:vAlign w:val="top"/>
            <w:tcMar>
              <w:top w:w="80" w:type="dxa"/>
              <w:bottom w:w="80" w:type="dxa"/>
              <w:start w:w="100" w:type="dxa"/>
              <w:end w:w="100" w:type="dxa"/>
            </w:tcMar>
          </w:tcPr>
          <w:p>
            <w:r>
              <w:t>Assignment → Outcome</w:t>
            </w:r>
          </w:p>
        </w:tc>
        <w:tc>
          <w:tcPr>
            <w:tcW w:type="dxa" w:w="4608"/>
            <w:vAlign w:val="top"/>
            <w:tcMar>
              <w:top w:w="80" w:type="dxa"/>
              <w:bottom w:w="80" w:type="dxa"/>
              <w:start w:w="100" w:type="dxa"/>
              <w:end w:w="100" w:type="dxa"/>
            </w:tcMar>
          </w:tcPr>
          <w:p>
            <w:r>
              <w:t>Locked assignment snapshot and owner.</w:t>
            </w:r>
          </w:p>
        </w:tc>
        <w:tc>
          <w:tcPr>
            <w:tcW w:type="dxa" w:w="3024"/>
            <w:vAlign w:val="top"/>
            <w:tcMar>
              <w:top w:w="80" w:type="dxa"/>
              <w:bottom w:w="80" w:type="dxa"/>
              <w:start w:w="100" w:type="dxa"/>
              <w:end w:w="100" w:type="dxa"/>
            </w:tcMar>
          </w:tcPr>
          <w:p>
            <w:r>
              <w:t>No learning attribution without original snapshot.</w:t>
            </w:r>
          </w:p>
        </w:tc>
      </w:tr>
      <w:tr>
        <w:tc>
          <w:tcPr>
            <w:tcW w:type="dxa" w:w="2880"/>
            <w:vAlign w:val="top"/>
            <w:tcMar>
              <w:top w:w="80" w:type="dxa"/>
              <w:bottom w:w="80" w:type="dxa"/>
              <w:start w:w="100" w:type="dxa"/>
              <w:end w:w="100" w:type="dxa"/>
            </w:tcMar>
          </w:tcPr>
          <w:p>
            <w:r>
              <w:t>Outcome → Learning</w:t>
            </w:r>
          </w:p>
        </w:tc>
        <w:tc>
          <w:tcPr>
            <w:tcW w:type="dxa" w:w="4608"/>
            <w:vAlign w:val="top"/>
            <w:tcMar>
              <w:top w:w="80" w:type="dxa"/>
              <w:bottom w:w="80" w:type="dxa"/>
              <w:start w:w="100" w:type="dxa"/>
              <w:end w:w="100" w:type="dxa"/>
            </w:tcMar>
          </w:tcPr>
          <w:p>
            <w:r>
              <w:t>Structured result + execution-quality context.</w:t>
            </w:r>
          </w:p>
        </w:tc>
        <w:tc>
          <w:tcPr>
            <w:tcW w:type="dxa" w:w="3024"/>
            <w:vAlign w:val="top"/>
            <w:tcMar>
              <w:top w:w="80" w:type="dxa"/>
              <w:bottom w:w="80" w:type="dxa"/>
              <w:start w:w="100" w:type="dxa"/>
              <w:end w:w="100" w:type="dxa"/>
            </w:tcMar>
          </w:tcPr>
          <w:p>
            <w:r>
              <w:t>Do not treat isolated result as methodology truth.</w:t>
            </w:r>
          </w:p>
        </w:tc>
      </w:tr>
      <w:tr>
        <w:tc>
          <w:tcPr>
            <w:tcW w:type="dxa" w:w="3331"/>
          </w:tcPr>
          <w:p>
            <w:r>
              <w:t>Final material input → Remaining Pipeline / Weekly GOLD Pack</w:t>
            </w:r>
          </w:p>
        </w:tc>
        <w:tc>
          <w:tcPr>
            <w:tcW w:type="dxa" w:w="3331"/>
          </w:tcPr>
          <w:p>
            <w:r>
              <w:t>Resolved final human input, current valid state, remaining executable stages, known internal checks/limitations.</w:t>
            </w:r>
          </w:p>
        </w:tc>
        <w:tc>
          <w:tcPr>
            <w:tcW w:type="dxa" w:w="3331"/>
          </w:tcPr>
          <w:p>
            <w:r>
              <w:t>Execute remaining researchable stages in the SAME RESPONSE. Do not require another 'Adelante'. Internal CHECK REQUIRED items downgrade/HOLD affected accounts but do not terminate the mission.</w:t>
            </w:r>
          </w:p>
        </w:tc>
      </w:tr>
    </w:tbl>
    <w:p/>
    <w:p>
      <w:pPr>
        <w:pStyle w:val="Heading1"/>
      </w:pPr>
      <w:r>
        <w:t>10. Conflict Taxonomy v1.3</w:t>
      </w:r>
    </w:p>
    <w:tbl>
      <w:tblPr>
        <w:tblStyle w:val="TableGrid"/>
        <w:tblW w:type="auto" w:w="0"/>
        <w:jc w:val="center"/>
        <w:tblLook w:firstColumn="1" w:firstRow="1" w:lastColumn="0" w:lastRow="0" w:noHBand="0" w:noVBand="1" w:val="04A0"/>
      </w:tblPr>
      <w:tblGrid>
        <w:gridCol w:w="3331"/>
        <w:gridCol w:w="3331"/>
        <w:gridCol w:w="3331"/>
      </w:tblGrid>
      <w:tr>
        <w:tc>
          <w:tcPr>
            <w:tcW w:type="dxa" w:w="2160"/>
            <w:shd w:fill="D9EAF7"/>
            <w:tcMar>
              <w:top w:w="80" w:type="dxa"/>
              <w:bottom w:w="80" w:type="dxa"/>
              <w:start w:w="100" w:type="dxa"/>
              <w:end w:w="100" w:type="dxa"/>
            </w:tcMar>
          </w:tcPr>
          <w:p>
            <w:r>
              <w:rPr>
                <w:b/>
              </w:rPr>
              <w:t>Conflict type</w:t>
            </w:r>
          </w:p>
        </w:tc>
        <w:tc>
          <w:tcPr>
            <w:tcW w:type="dxa" w:w="4320"/>
            <w:shd w:fill="D9EAF7"/>
            <w:tcMar>
              <w:top w:w="80" w:type="dxa"/>
              <w:bottom w:w="80" w:type="dxa"/>
              <w:start w:w="100" w:type="dxa"/>
              <w:end w:w="100" w:type="dxa"/>
            </w:tcMar>
          </w:tcPr>
          <w:p>
            <w:r>
              <w:rPr>
                <w:b/>
              </w:rPr>
              <w:t>Example</w:t>
            </w:r>
          </w:p>
        </w:tc>
        <w:tc>
          <w:tcPr>
            <w:tcW w:type="dxa" w:w="4032"/>
            <w:shd w:fill="D9EAF7"/>
            <w:tcMar>
              <w:top w:w="80" w:type="dxa"/>
              <w:bottom w:w="80" w:type="dxa"/>
              <w:start w:w="100" w:type="dxa"/>
              <w:end w:w="100" w:type="dxa"/>
            </w:tcMar>
          </w:tcPr>
          <w:p>
            <w:r>
              <w:rPr>
                <w:b/>
              </w:rPr>
              <w:t>Resolution owner</w:t>
            </w:r>
          </w:p>
        </w:tc>
      </w:tr>
      <w:tr>
        <w:tc>
          <w:tcPr>
            <w:tcW w:type="dxa" w:w="2160"/>
            <w:vAlign w:val="top"/>
            <w:tcMar>
              <w:top w:w="80" w:type="dxa"/>
              <w:bottom w:w="80" w:type="dxa"/>
              <w:start w:w="100" w:type="dxa"/>
              <w:end w:w="100" w:type="dxa"/>
            </w:tcMar>
          </w:tcPr>
          <w:p>
            <w:r>
              <w:t>ENTITY</w:t>
            </w:r>
          </w:p>
        </w:tc>
        <w:tc>
          <w:tcPr>
            <w:tcW w:type="dxa" w:w="4320"/>
            <w:vAlign w:val="top"/>
            <w:tcMar>
              <w:top w:w="80" w:type="dxa"/>
              <w:bottom w:w="80" w:type="dxa"/>
              <w:start w:w="100" w:type="dxa"/>
              <w:end w:w="100" w:type="dxa"/>
            </w:tcMar>
          </w:tcPr>
          <w:p>
            <w:r>
              <w:t>Signal belongs to similarly named company.</w:t>
            </w:r>
          </w:p>
        </w:tc>
        <w:tc>
          <w:tcPr>
            <w:tcW w:type="dxa" w:w="4032"/>
            <w:vAlign w:val="top"/>
            <w:tcMar>
              <w:top w:w="80" w:type="dxa"/>
              <w:bottom w:w="80" w:type="dxa"/>
              <w:start w:w="100" w:type="dxa"/>
              <w:end w:w="100" w:type="dxa"/>
            </w:tcMar>
          </w:tcPr>
          <w:p>
            <w:r>
              <w:t>Evidence Validation.</w:t>
            </w:r>
          </w:p>
        </w:tc>
      </w:tr>
      <w:tr>
        <w:tc>
          <w:tcPr>
            <w:tcW w:type="dxa" w:w="2160"/>
            <w:vAlign w:val="top"/>
            <w:tcMar>
              <w:top w:w="80" w:type="dxa"/>
              <w:bottom w:w="80" w:type="dxa"/>
              <w:start w:w="100" w:type="dxa"/>
              <w:end w:w="100" w:type="dxa"/>
            </w:tcMar>
          </w:tcPr>
          <w:p>
            <w:r>
              <w:t>TEMPORAL</w:t>
            </w:r>
          </w:p>
        </w:tc>
        <w:tc>
          <w:tcPr>
            <w:tcW w:type="dxa" w:w="4320"/>
            <w:vAlign w:val="top"/>
            <w:tcMar>
              <w:top w:w="80" w:type="dxa"/>
              <w:bottom w:w="80" w:type="dxa"/>
              <w:start w:w="100" w:type="dxa"/>
              <w:end w:w="100" w:type="dxa"/>
            </w:tcMar>
          </w:tcPr>
          <w:p>
            <w:r>
              <w:t>Old event treated as current.</w:t>
            </w:r>
          </w:p>
        </w:tc>
        <w:tc>
          <w:tcPr>
            <w:tcW w:type="dxa" w:w="4032"/>
            <w:vAlign w:val="top"/>
            <w:tcMar>
              <w:top w:w="80" w:type="dxa"/>
              <w:bottom w:w="80" w:type="dxa"/>
              <w:start w:w="100" w:type="dxa"/>
              <w:end w:w="100" w:type="dxa"/>
            </w:tcMar>
          </w:tcPr>
          <w:p>
            <w:r>
              <w:t>Signal / Evidence Validation.</w:t>
            </w:r>
          </w:p>
        </w:tc>
      </w:tr>
      <w:tr>
        <w:tc>
          <w:tcPr>
            <w:tcW w:type="dxa" w:w="2160"/>
            <w:vAlign w:val="top"/>
            <w:tcMar>
              <w:top w:w="80" w:type="dxa"/>
              <w:bottom w:w="80" w:type="dxa"/>
              <w:start w:w="100" w:type="dxa"/>
              <w:end w:w="100" w:type="dxa"/>
            </w:tcMar>
          </w:tcPr>
          <w:p>
            <w:r>
              <w:t>SOURCE</w:t>
            </w:r>
          </w:p>
        </w:tc>
        <w:tc>
          <w:tcPr>
            <w:tcW w:type="dxa" w:w="4320"/>
            <w:vAlign w:val="top"/>
            <w:tcMar>
              <w:top w:w="80" w:type="dxa"/>
              <w:bottom w:w="80" w:type="dxa"/>
              <w:start w:w="100" w:type="dxa"/>
              <w:end w:w="100" w:type="dxa"/>
            </w:tcMar>
          </w:tcPr>
          <w:p>
            <w:r>
              <w:t>Two sources materially disagree.</w:t>
            </w:r>
          </w:p>
        </w:tc>
        <w:tc>
          <w:tcPr>
            <w:tcW w:type="dxa" w:w="4032"/>
            <w:vAlign w:val="top"/>
            <w:tcMar>
              <w:top w:w="80" w:type="dxa"/>
              <w:bottom w:w="80" w:type="dxa"/>
              <w:start w:w="100" w:type="dxa"/>
              <w:end w:w="100" w:type="dxa"/>
            </w:tcMar>
          </w:tcPr>
          <w:p>
            <w:r>
              <w:t>Evidence Validation; escalate if unresolved.</w:t>
            </w:r>
          </w:p>
        </w:tc>
      </w:tr>
      <w:tr>
        <w:tc>
          <w:tcPr>
            <w:tcW w:type="dxa" w:w="2160"/>
            <w:vAlign w:val="top"/>
            <w:tcMar>
              <w:top w:w="80" w:type="dxa"/>
              <w:bottom w:w="80" w:type="dxa"/>
              <w:start w:w="100" w:type="dxa"/>
              <w:end w:w="100" w:type="dxa"/>
            </w:tcMar>
          </w:tcPr>
          <w:p>
            <w:r>
              <w:t>RESEARCH COVERAGE</w:t>
            </w:r>
          </w:p>
        </w:tc>
        <w:tc>
          <w:tcPr>
            <w:tcW w:type="dxa" w:w="4320"/>
            <w:vAlign w:val="top"/>
            <w:tcMar>
              <w:top w:w="80" w:type="dxa"/>
              <w:bottom w:w="80" w:type="dxa"/>
              <w:start w:w="100" w:type="dxa"/>
              <w:end w:w="100" w:type="dxa"/>
            </w:tcMar>
          </w:tcPr>
          <w:p>
            <w:r>
              <w:t>Agent implies a source was reviewed but it was inaccessible.</w:t>
            </w:r>
          </w:p>
        </w:tc>
        <w:tc>
          <w:tcPr>
            <w:tcW w:type="dxa" w:w="4032"/>
            <w:vAlign w:val="top"/>
            <w:tcMar>
              <w:top w:w="80" w:type="dxa"/>
              <w:bottom w:w="80" w:type="dxa"/>
              <w:start w:w="100" w:type="dxa"/>
              <w:end w:w="100" w:type="dxa"/>
            </w:tcMar>
          </w:tcPr>
          <w:p>
            <w:r>
              <w:t>Company Intelligence; correct record and confidence.</w:t>
            </w:r>
          </w:p>
        </w:tc>
      </w:tr>
      <w:tr>
        <w:tc>
          <w:tcPr>
            <w:tcW w:type="dxa" w:w="2160"/>
            <w:vAlign w:val="top"/>
            <w:tcMar>
              <w:top w:w="80" w:type="dxa"/>
              <w:bottom w:w="80" w:type="dxa"/>
              <w:start w:w="100" w:type="dxa"/>
              <w:end w:w="100" w:type="dxa"/>
            </w:tcMar>
          </w:tcPr>
          <w:p>
            <w:r>
              <w:t>DIAGNOSTIC vs CURRENT</w:t>
            </w:r>
          </w:p>
        </w:tc>
        <w:tc>
          <w:tcPr>
            <w:tcW w:type="dxa" w:w="4320"/>
            <w:vAlign w:val="top"/>
            <w:tcMar>
              <w:top w:w="80" w:type="dxa"/>
              <w:bottom w:w="80" w:type="dxa"/>
              <w:start w:w="100" w:type="dxa"/>
              <w:end w:w="100" w:type="dxa"/>
            </w:tcMar>
          </w:tcPr>
          <w:p>
            <w:r>
              <w:t>Old diagnosis conflicts with current internal evidence.</w:t>
            </w:r>
          </w:p>
        </w:tc>
        <w:tc>
          <w:tcPr>
            <w:tcW w:type="dxa" w:w="4032"/>
            <w:vAlign w:val="top"/>
            <w:tcMar>
              <w:top w:w="80" w:type="dxa"/>
              <w:bottom w:w="80" w:type="dxa"/>
              <w:start w:w="100" w:type="dxa"/>
              <w:end w:w="100" w:type="dxa"/>
            </w:tcMar>
          </w:tcPr>
          <w:p>
            <w:r>
              <w:t>Orchestrator updates context; original diagnosis unchanged.</w:t>
            </w:r>
          </w:p>
        </w:tc>
      </w:tr>
      <w:tr>
        <w:tc>
          <w:tcPr>
            <w:tcW w:type="dxa" w:w="2160"/>
            <w:vAlign w:val="top"/>
            <w:tcMar>
              <w:top w:w="80" w:type="dxa"/>
              <w:bottom w:w="80" w:type="dxa"/>
              <w:start w:w="100" w:type="dxa"/>
              <w:end w:w="100" w:type="dxa"/>
            </w:tcMar>
          </w:tcPr>
          <w:p>
            <w:r>
              <w:t>HUMAN vs PUBLIC EVIDENCE</w:t>
            </w:r>
          </w:p>
        </w:tc>
        <w:tc>
          <w:tcPr>
            <w:tcW w:type="dxa" w:w="4320"/>
            <w:vAlign w:val="top"/>
            <w:tcMar>
              <w:top w:w="80" w:type="dxa"/>
              <w:bottom w:w="80" w:type="dxa"/>
              <w:start w:w="100" w:type="dxa"/>
              <w:end w:w="100" w:type="dxa"/>
            </w:tcMar>
          </w:tcPr>
          <w:p>
            <w:r>
              <w:t>User says not customer; CRM says customer.</w:t>
            </w:r>
          </w:p>
        </w:tc>
        <w:tc>
          <w:tcPr>
            <w:tcW w:type="dxa" w:w="4032"/>
            <w:vAlign w:val="top"/>
            <w:tcMar>
              <w:top w:w="80" w:type="dxa"/>
              <w:bottom w:w="80" w:type="dxa"/>
              <w:start w:w="100" w:type="dxa"/>
              <w:end w:w="100" w:type="dxa"/>
            </w:tcMar>
          </w:tcPr>
          <w:p>
            <w:r>
              <w:t>First-party system evidence wins unless corrected/overridden with rationale.</w:t>
            </w:r>
          </w:p>
        </w:tc>
      </w:tr>
      <w:tr>
        <w:tc>
          <w:tcPr>
            <w:tcW w:type="dxa" w:w="2160"/>
            <w:vAlign w:val="top"/>
            <w:tcMar>
              <w:top w:w="80" w:type="dxa"/>
              <w:bottom w:w="80" w:type="dxa"/>
              <w:start w:w="100" w:type="dxa"/>
              <w:end w:w="100" w:type="dxa"/>
            </w:tcMar>
          </w:tcPr>
          <w:p>
            <w:r>
              <w:t>ENGINE vs ENGINE</w:t>
            </w:r>
          </w:p>
        </w:tc>
        <w:tc>
          <w:tcPr>
            <w:tcW w:type="dxa" w:w="4320"/>
            <w:vAlign w:val="top"/>
            <w:tcMar>
              <w:top w:w="80" w:type="dxa"/>
              <w:bottom w:w="80" w:type="dxa"/>
              <w:start w:w="100" w:type="dxa"/>
              <w:end w:w="100" w:type="dxa"/>
            </w:tcMar>
          </w:tcPr>
          <w:p>
            <w:r>
              <w:t>Prioritization says ATTACK NOW but Evidence Gate LOW/FAIL.</w:t>
            </w:r>
          </w:p>
        </w:tc>
        <w:tc>
          <w:tcPr>
            <w:tcW w:type="dxa" w:w="4032"/>
            <w:vAlign w:val="top"/>
            <w:tcMar>
              <w:top w:w="80" w:type="dxa"/>
              <w:bottom w:w="80" w:type="dxa"/>
              <w:start w:w="100" w:type="dxa"/>
              <w:end w:w="100" w:type="dxa"/>
            </w:tcMar>
          </w:tcPr>
          <w:p>
            <w:r>
              <w:t>Evidence Gate constrains prioritization.</w:t>
            </w:r>
          </w:p>
        </w:tc>
      </w:tr>
      <w:tr>
        <w:tc>
          <w:tcPr>
            <w:tcW w:type="dxa" w:w="2160"/>
            <w:vAlign w:val="top"/>
            <w:tcMar>
              <w:top w:w="80" w:type="dxa"/>
              <w:bottom w:w="80" w:type="dxa"/>
              <w:start w:w="100" w:type="dxa"/>
              <w:end w:w="100" w:type="dxa"/>
            </w:tcMar>
          </w:tcPr>
          <w:p>
            <w:r>
              <w:t>PRESCRIPTION vs DISCOVERY</w:t>
            </w:r>
          </w:p>
        </w:tc>
        <w:tc>
          <w:tcPr>
            <w:tcW w:type="dxa" w:w="4320"/>
            <w:vAlign w:val="top"/>
            <w:tcMar>
              <w:top w:w="80" w:type="dxa"/>
              <w:bottom w:w="80" w:type="dxa"/>
              <w:start w:w="100" w:type="dxa"/>
              <w:end w:w="100" w:type="dxa"/>
            </w:tcMar>
          </w:tcPr>
          <w:p>
            <w:r>
              <w:t>Discovery finds attractive accounts outside approved radars.</w:t>
            </w:r>
          </w:p>
        </w:tc>
        <w:tc>
          <w:tcPr>
            <w:tcW w:type="dxa" w:w="4032"/>
            <w:vAlign w:val="top"/>
            <w:tcMar>
              <w:top w:w="80" w:type="dxa"/>
              <w:bottom w:w="80" w:type="dxa"/>
              <w:start w:w="100" w:type="dxa"/>
              <w:end w:w="100" w:type="dxa"/>
            </w:tcMar>
          </w:tcPr>
          <w:p>
            <w:r>
              <w:t>Return to Prescription or classify separately; do not backfill rationale silently.</w:t>
            </w:r>
          </w:p>
        </w:tc>
      </w:tr>
      <w:tr>
        <w:tc>
          <w:tcPr>
            <w:tcW w:type="dxa" w:w="2160"/>
            <w:vAlign w:val="top"/>
            <w:tcMar>
              <w:top w:w="80" w:type="dxa"/>
              <w:bottom w:w="80" w:type="dxa"/>
              <w:start w:w="100" w:type="dxa"/>
              <w:end w:w="100" w:type="dxa"/>
            </w:tcMar>
          </w:tcPr>
          <w:p>
            <w:r>
              <w:t>BUYER vs CONTACT</w:t>
            </w:r>
          </w:p>
        </w:tc>
        <w:tc>
          <w:tcPr>
            <w:tcW w:type="dxa" w:w="4320"/>
            <w:vAlign w:val="top"/>
            <w:tcMar>
              <w:top w:w="80" w:type="dxa"/>
              <w:bottom w:w="80" w:type="dxa"/>
              <w:start w:w="100" w:type="dxa"/>
              <w:end w:w="100" w:type="dxa"/>
            </w:tcMar>
          </w:tcPr>
          <w:p>
            <w:r>
              <w:t>Role fits but named person/employment is unverified.</w:t>
            </w:r>
          </w:p>
        </w:tc>
        <w:tc>
          <w:tcPr>
            <w:tcW w:type="dxa" w:w="4032"/>
            <w:vAlign w:val="top"/>
            <w:tcMar>
              <w:top w:w="80" w:type="dxa"/>
              <w:bottom w:w="80" w:type="dxa"/>
              <w:start w:w="100" w:type="dxa"/>
              <w:end w:w="100" w:type="dxa"/>
            </w:tcMar>
          </w:tcPr>
          <w:p>
            <w:r>
              <w:t>Buyer Engine blocks nominal personalization.</w:t>
            </w:r>
          </w:p>
        </w:tc>
      </w:tr>
      <w:tr>
        <w:tc>
          <w:tcPr>
            <w:tcW w:type="dxa" w:w="2160"/>
            <w:vAlign w:val="top"/>
            <w:tcMar>
              <w:top w:w="80" w:type="dxa"/>
              <w:bottom w:w="80" w:type="dxa"/>
              <w:start w:w="100" w:type="dxa"/>
              <w:end w:w="100" w:type="dxa"/>
            </w:tcMar>
          </w:tcPr>
          <w:p>
            <w:r>
              <w:t>ROUTING vs OWNERSHIP</w:t>
            </w:r>
          </w:p>
        </w:tc>
        <w:tc>
          <w:tcPr>
            <w:tcW w:type="dxa" w:w="4320"/>
            <w:vAlign w:val="top"/>
            <w:tcMar>
              <w:top w:w="80" w:type="dxa"/>
              <w:bottom w:w="80" w:type="dxa"/>
              <w:start w:w="100" w:type="dxa"/>
              <w:end w:w="100" w:type="dxa"/>
            </w:tcMar>
          </w:tcPr>
          <w:p>
            <w:r>
              <w:t>AI recommends Hunting but account is customer.</w:t>
            </w:r>
          </w:p>
        </w:tc>
        <w:tc>
          <w:tcPr>
            <w:tcW w:type="dxa" w:w="4032"/>
            <w:vAlign w:val="top"/>
            <w:tcMar>
              <w:top w:w="80" w:type="dxa"/>
              <w:bottom w:w="80" w:type="dxa"/>
              <w:start w:w="100" w:type="dxa"/>
              <w:end w:w="100" w:type="dxa"/>
            </w:tcMar>
          </w:tcPr>
          <w:p>
            <w:r>
              <w:t>Ownership fact constrains route; reroute to KAM/AC.</w:t>
            </w:r>
          </w:p>
        </w:tc>
      </w:tr>
      <w:tr>
        <w:tc>
          <w:tcPr>
            <w:tcW w:type="dxa" w:w="2160"/>
            <w:vAlign w:val="top"/>
            <w:tcMar>
              <w:top w:w="80" w:type="dxa"/>
              <w:bottom w:w="80" w:type="dxa"/>
              <w:start w:w="100" w:type="dxa"/>
              <w:end w:w="100" w:type="dxa"/>
            </w:tcMar>
          </w:tcPr>
          <w:p>
            <w:r>
              <w:t>OUTREACH vs EVIDENCE</w:t>
            </w:r>
          </w:p>
        </w:tc>
        <w:tc>
          <w:tcPr>
            <w:tcW w:type="dxa" w:w="4320"/>
            <w:vAlign w:val="top"/>
            <w:tcMar>
              <w:top w:w="80" w:type="dxa"/>
              <w:bottom w:w="80" w:type="dxa"/>
              <w:start w:w="100" w:type="dxa"/>
              <w:end w:w="100" w:type="dxa"/>
            </w:tcMar>
          </w:tcPr>
          <w:p>
            <w:r>
              <w:t>Message states unsupported pain.</w:t>
            </w:r>
          </w:p>
        </w:tc>
        <w:tc>
          <w:tcPr>
            <w:tcW w:type="dxa" w:w="4032"/>
            <w:vAlign w:val="top"/>
            <w:tcMar>
              <w:top w:w="80" w:type="dxa"/>
              <w:bottom w:w="80" w:type="dxa"/>
              <w:start w:w="100" w:type="dxa"/>
              <w:end w:w="100" w:type="dxa"/>
            </w:tcMar>
          </w:tcPr>
          <w:p>
            <w:r>
              <w:t>Outreach rewrites as natural uncertainty/question or removes claim.</w:t>
            </w:r>
          </w:p>
        </w:tc>
      </w:tr>
      <w:tr>
        <w:tc>
          <w:tcPr>
            <w:tcW w:type="dxa" w:w="2160"/>
            <w:vAlign w:val="top"/>
            <w:tcMar>
              <w:top w:w="80" w:type="dxa"/>
              <w:bottom w:w="80" w:type="dxa"/>
              <w:start w:w="100" w:type="dxa"/>
              <w:end w:w="100" w:type="dxa"/>
            </w:tcMar>
          </w:tcPr>
          <w:p>
            <w:r>
              <w:t>OUTREACH vs HUMANITY</w:t>
            </w:r>
          </w:p>
        </w:tc>
        <w:tc>
          <w:tcPr>
            <w:tcW w:type="dxa" w:w="4320"/>
            <w:vAlign w:val="top"/>
            <w:tcMar>
              <w:top w:w="80" w:type="dxa"/>
              <w:bottom w:w="80" w:type="dxa"/>
              <w:start w:w="100" w:type="dxa"/>
              <w:end w:w="100" w:type="dxa"/>
            </w:tcMar>
          </w:tcPr>
          <w:p>
            <w:r>
              <w:t>Message is compliant but verbose/consultant-like.</w:t>
            </w:r>
          </w:p>
        </w:tc>
        <w:tc>
          <w:tcPr>
            <w:tcW w:type="dxa" w:w="4032"/>
            <w:vAlign w:val="top"/>
            <w:tcMar>
              <w:top w:w="80" w:type="dxa"/>
              <w:bottom w:w="80" w:type="dxa"/>
              <w:start w:w="100" w:type="dxa"/>
              <w:end w:w="100" w:type="dxa"/>
            </w:tcMar>
          </w:tcPr>
          <w:p>
            <w:r>
              <w:t>Outreach Compression Gate requires rewrite.</w:t>
            </w:r>
          </w:p>
        </w:tc>
      </w:tr>
      <w:tr>
        <w:tc>
          <w:tcPr>
            <w:tcW w:type="dxa" w:w="2160"/>
            <w:vAlign w:val="top"/>
            <w:tcMar>
              <w:top w:w="80" w:type="dxa"/>
              <w:bottom w:w="80" w:type="dxa"/>
              <w:start w:w="100" w:type="dxa"/>
              <w:end w:w="100" w:type="dxa"/>
            </w:tcMar>
          </w:tcPr>
          <w:p>
            <w:r>
              <w:t>RELEASE vs STATE</w:t>
            </w:r>
          </w:p>
        </w:tc>
        <w:tc>
          <w:tcPr>
            <w:tcW w:type="dxa" w:w="4320"/>
            <w:vAlign w:val="top"/>
            <w:tcMar>
              <w:top w:w="80" w:type="dxa"/>
              <w:bottom w:w="80" w:type="dxa"/>
              <w:start w:w="100" w:type="dxa"/>
              <w:end w:w="100" w:type="dxa"/>
            </w:tcMar>
          </w:tcPr>
          <w:p>
            <w:r>
              <w:t>All gates passed but Agent stops at status recap.</w:t>
            </w:r>
          </w:p>
        </w:tc>
        <w:tc>
          <w:tcPr>
            <w:tcW w:type="dxa" w:w="4032"/>
            <w:vAlign w:val="top"/>
            <w:tcMar>
              <w:top w:w="80" w:type="dxa"/>
              <w:bottom w:w="80" w:type="dxa"/>
              <w:start w:w="100" w:type="dxa"/>
              <w:end w:w="100" w:type="dxa"/>
            </w:tcMar>
          </w:tcPr>
          <w:p>
            <w:r>
              <w:t>Orchestrator must auto-transition to Weekly GOLD Pack.</w:t>
            </w:r>
          </w:p>
        </w:tc>
      </w:tr>
      <w:tr>
        <w:tc>
          <w:tcPr>
            <w:tcW w:type="dxa" w:w="2160"/>
            <w:vAlign w:val="top"/>
            <w:tcMar>
              <w:top w:w="80" w:type="dxa"/>
              <w:bottom w:w="80" w:type="dxa"/>
              <w:start w:w="100" w:type="dxa"/>
              <w:end w:w="100" w:type="dxa"/>
            </w:tcMar>
          </w:tcPr>
          <w:p>
            <w:r>
              <w:t>LEARNING vs CORE RULE</w:t>
            </w:r>
          </w:p>
        </w:tc>
        <w:tc>
          <w:tcPr>
            <w:tcW w:type="dxa" w:w="4320"/>
            <w:vAlign w:val="top"/>
            <w:tcMar>
              <w:top w:w="80" w:type="dxa"/>
              <w:bottom w:w="80" w:type="dxa"/>
              <w:start w:w="100" w:type="dxa"/>
              <w:end w:w="100" w:type="dxa"/>
            </w:tcMar>
          </w:tcPr>
          <w:p>
            <w:r>
              <w:t>Recent responses suggest pattern contradicting methodology.</w:t>
            </w:r>
          </w:p>
        </w:tc>
        <w:tc>
          <w:tcPr>
            <w:tcW w:type="dxa" w:w="4032"/>
            <w:vAlign w:val="top"/>
            <w:tcMar>
              <w:top w:w="80" w:type="dxa"/>
              <w:bottom w:w="80" w:type="dxa"/>
              <w:start w:w="100" w:type="dxa"/>
              <w:end w:w="100" w:type="dxa"/>
            </w:tcMar>
          </w:tcPr>
          <w:p>
            <w:r>
              <w:t>Learning candidate only until validated.</w:t>
            </w:r>
          </w:p>
        </w:tc>
      </w:tr>
      <w:tr>
        <w:tc>
          <w:tcPr>
            <w:tcW w:type="dxa" w:w="3331"/>
          </w:tcPr>
          <w:p>
            <w:r>
              <w:t>PARTICIPANT / CREATOR COLLISION</w:t>
            </w:r>
          </w:p>
        </w:tc>
        <w:tc>
          <w:tcPr>
            <w:tcW w:type="dxa" w:w="3331"/>
          </w:tcPr>
          <w:p>
            <w:r>
              <w:t>Salesbumm, GPT creator, Knowledge example, prior test company or another user's context is treated as current participant.</w:t>
            </w:r>
          </w:p>
        </w:tc>
        <w:tc>
          <w:tcPr>
            <w:tcW w:type="dxa" w:w="3331"/>
          </w:tcPr>
          <w:p>
            <w:r>
              <w:t>Orchestrator: discard inherited default and return to Participant Identity &amp; Battlefield Gate.</w:t>
            </w:r>
          </w:p>
        </w:tc>
      </w:tr>
      <w:tr>
        <w:tc>
          <w:tcPr>
            <w:tcW w:type="dxa" w:w="3331"/>
          </w:tcPr>
          <w:p>
            <w:r>
              <w:t>FALSE CONTINUATION / PREMATURE TURN END</w:t>
            </w:r>
          </w:p>
        </w:tc>
        <w:tc>
          <w:tcPr>
            <w:tcW w:type="dxa" w:w="3331"/>
          </w:tcPr>
          <w:p>
            <w:r>
              <w:t>Agent announces future work or gives a progress recap while executable pipeline stages remain.</w:t>
            </w:r>
          </w:p>
        </w:tc>
        <w:tc>
          <w:tcPr>
            <w:tcW w:type="dxa" w:w="3331"/>
          </w:tcPr>
          <w:p>
            <w:r>
              <w:t>Orchestrator. Resume from current valid state and execute through Weekly GOLD Pack; only genuine human blocker or actual tool/runtime limit may stop.</w:t>
            </w:r>
          </w:p>
        </w:tc>
      </w:tr>
    </w:tbl>
    <w:p/>
    <w:p>
      <w:pPr>
        <w:pStyle w:val="Heading1"/>
      </w:pPr>
      <w:r>
        <w:t>11. Conflict Resolution Protocol</w:t>
      </w:r>
    </w:p>
    <w:p>
      <w:pPr>
        <w:pStyle w:val="ListNumber"/>
        <w:spacing w:after="40"/>
      </w:pPr>
      <w:r>
        <w:t>Detect and label the conflict.</w:t>
      </w:r>
    </w:p>
    <w:p>
      <w:pPr>
        <w:pStyle w:val="ListNumber"/>
        <w:spacing w:after="40"/>
      </w:pPr>
      <w:r>
        <w:t>Freeze the affected downstream decision if material.</w:t>
      </w:r>
    </w:p>
    <w:p>
      <w:pPr>
        <w:pStyle w:val="ListNumber"/>
        <w:spacing w:after="40"/>
      </w:pPr>
      <w:r>
        <w:t>Identify authoritative sources using the Authority Hierarchy.</w:t>
      </w:r>
    </w:p>
    <w:p>
      <w:pPr>
        <w:pStyle w:val="ListNumber"/>
        <w:spacing w:after="40"/>
      </w:pPr>
      <w:r>
        <w:t>Seek additional evidence automatically where feasible.</w:t>
      </w:r>
    </w:p>
    <w:p>
      <w:pPr>
        <w:pStyle w:val="ListNumber"/>
        <w:spacing w:after="40"/>
      </w:pPr>
      <w:r>
        <w:t>If unresolved and material, ask one compact human validation question.</w:t>
      </w:r>
    </w:p>
    <w:p>
      <w:pPr>
        <w:pStyle w:val="ListNumber"/>
        <w:spacing w:after="40"/>
      </w:pPr>
      <w:r>
        <w:t>Record resolution and rationale.</w:t>
      </w:r>
    </w:p>
    <w:p>
      <w:pPr>
        <w:pStyle w:val="ListNumber"/>
        <w:spacing w:after="40"/>
      </w:pPr>
      <w:r>
        <w:t>Create a new version if resolution changes a governed interpretation.</w:t>
      </w:r>
    </w:p>
    <w:p>
      <w:pPr>
        <w:pStyle w:val="ListNumber"/>
        <w:spacing w:after="40"/>
      </w:pPr>
      <w:r>
        <w:t>Resume only from the earliest state materially affected.</w:t>
      </w:r>
    </w:p>
    <w:p>
      <w:pPr>
        <w:pStyle w:val="ListNumber"/>
        <w:spacing w:after="40"/>
      </w:pPr>
      <w:r>
        <w:t>Do not restart the entire weekly workflow when only one account is affected.</w:t>
      </w:r>
    </w:p>
    <w:p>
      <w:pPr>
        <w:pStyle w:val="Heading1"/>
      </w:pPr>
      <w:r>
        <w:t>12. Confidence Contract</w:t>
      </w:r>
    </w:p>
    <w:tbl>
      <w:tblPr>
        <w:tblStyle w:val="TableGrid"/>
        <w:tblW w:type="auto" w:w="0"/>
        <w:jc w:val="center"/>
        <w:tblLook w:firstColumn="1" w:firstRow="1" w:lastColumn="0" w:lastRow="0" w:noHBand="0" w:noVBand="1" w:val="04A0"/>
      </w:tblPr>
      <w:tblGrid>
        <w:gridCol w:w="3331"/>
        <w:gridCol w:w="3331"/>
        <w:gridCol w:w="3331"/>
      </w:tblGrid>
      <w:tr>
        <w:tc>
          <w:tcPr>
            <w:tcW w:type="dxa" w:w="1440"/>
            <w:shd w:fill="D9EAF7"/>
            <w:tcMar>
              <w:top w:w="80" w:type="dxa"/>
              <w:bottom w:w="80" w:type="dxa"/>
              <w:start w:w="100" w:type="dxa"/>
              <w:end w:w="100" w:type="dxa"/>
            </w:tcMar>
          </w:tcPr>
          <w:p>
            <w:r>
              <w:rPr>
                <w:b/>
              </w:rPr>
              <w:t>Confidence</w:t>
            </w:r>
          </w:p>
        </w:tc>
        <w:tc>
          <w:tcPr>
            <w:tcW w:type="dxa" w:w="4320"/>
            <w:shd w:fill="D9EAF7"/>
            <w:tcMar>
              <w:top w:w="80" w:type="dxa"/>
              <w:bottom w:w="80" w:type="dxa"/>
              <w:start w:w="100" w:type="dxa"/>
              <w:end w:w="100" w:type="dxa"/>
            </w:tcMar>
          </w:tcPr>
          <w:p>
            <w:r>
              <w:rPr>
                <w:b/>
              </w:rPr>
              <w:t>Meaning</w:t>
            </w:r>
          </w:p>
        </w:tc>
        <w:tc>
          <w:tcPr>
            <w:tcW w:type="dxa" w:w="4608"/>
            <w:shd w:fill="D9EAF7"/>
            <w:tcMar>
              <w:top w:w="80" w:type="dxa"/>
              <w:bottom w:w="80" w:type="dxa"/>
              <w:start w:w="100" w:type="dxa"/>
              <w:end w:w="100" w:type="dxa"/>
            </w:tcMar>
          </w:tcPr>
          <w:p>
            <w:r>
              <w:rPr>
                <w:b/>
              </w:rPr>
              <w:t>Permitted behavior</w:t>
            </w:r>
          </w:p>
        </w:tc>
      </w:tr>
      <w:tr>
        <w:tc>
          <w:tcPr>
            <w:tcW w:type="dxa" w:w="1440"/>
            <w:vAlign w:val="top"/>
            <w:tcMar>
              <w:top w:w="80" w:type="dxa"/>
              <w:bottom w:w="80" w:type="dxa"/>
              <w:start w:w="100" w:type="dxa"/>
              <w:end w:w="100" w:type="dxa"/>
            </w:tcMar>
          </w:tcPr>
          <w:p>
            <w:r>
              <w:t>HIGH</w:t>
            </w:r>
          </w:p>
        </w:tc>
        <w:tc>
          <w:tcPr>
            <w:tcW w:type="dxa" w:w="4320"/>
            <w:vAlign w:val="top"/>
            <w:tcMar>
              <w:top w:w="80" w:type="dxa"/>
              <w:bottom w:w="80" w:type="dxa"/>
              <w:start w:w="100" w:type="dxa"/>
              <w:end w:w="100" w:type="dxa"/>
            </w:tcMar>
          </w:tcPr>
          <w:p>
            <w:r>
              <w:t>Multiple strong/direct evidence points; low material ambiguity.</w:t>
            </w:r>
          </w:p>
        </w:tc>
        <w:tc>
          <w:tcPr>
            <w:tcW w:type="dxa" w:w="4608"/>
            <w:vAlign w:val="top"/>
            <w:tcMar>
              <w:top w:w="80" w:type="dxa"/>
              <w:bottom w:w="80" w:type="dxa"/>
              <w:start w:w="100" w:type="dxa"/>
              <w:end w:w="100" w:type="dxa"/>
            </w:tcMar>
          </w:tcPr>
          <w:p>
            <w:r>
              <w:t>May support priority and direct outreach if all gates pass.</w:t>
            </w:r>
          </w:p>
        </w:tc>
      </w:tr>
      <w:tr>
        <w:tc>
          <w:tcPr>
            <w:tcW w:type="dxa" w:w="1440"/>
            <w:vAlign w:val="top"/>
            <w:tcMar>
              <w:top w:w="80" w:type="dxa"/>
              <w:bottom w:w="80" w:type="dxa"/>
              <w:start w:w="100" w:type="dxa"/>
              <w:end w:w="100" w:type="dxa"/>
            </w:tcMar>
          </w:tcPr>
          <w:p>
            <w:r>
              <w:t>MEDIUM</w:t>
            </w:r>
          </w:p>
        </w:tc>
        <w:tc>
          <w:tcPr>
            <w:tcW w:type="dxa" w:w="4320"/>
            <w:vAlign w:val="top"/>
            <w:tcMar>
              <w:top w:w="80" w:type="dxa"/>
              <w:bottom w:w="80" w:type="dxa"/>
              <w:start w:w="100" w:type="dxa"/>
              <w:end w:w="100" w:type="dxa"/>
            </w:tcMar>
          </w:tcPr>
          <w:p>
            <w:r>
              <w:t>Reasonably supported; one material uncertainty remains.</w:t>
            </w:r>
          </w:p>
        </w:tc>
        <w:tc>
          <w:tcPr>
            <w:tcW w:type="dxa" w:w="4608"/>
            <w:vAlign w:val="top"/>
            <w:tcMar>
              <w:top w:w="80" w:type="dxa"/>
              <w:bottom w:w="80" w:type="dxa"/>
              <w:start w:w="100" w:type="dxa"/>
              <w:end w:w="100" w:type="dxa"/>
            </w:tcMar>
          </w:tcPr>
          <w:p>
            <w:r>
              <w:t>May support action with bounded hypothesis and explicit validation objective.</w:t>
            </w:r>
          </w:p>
        </w:tc>
      </w:tr>
      <w:tr>
        <w:tc>
          <w:tcPr>
            <w:tcW w:type="dxa" w:w="1440"/>
            <w:vAlign w:val="top"/>
            <w:tcMar>
              <w:top w:w="80" w:type="dxa"/>
              <w:bottom w:w="80" w:type="dxa"/>
              <w:start w:w="100" w:type="dxa"/>
              <w:end w:w="100" w:type="dxa"/>
            </w:tcMar>
          </w:tcPr>
          <w:p>
            <w:r>
              <w:t>LOW</w:t>
            </w:r>
          </w:p>
        </w:tc>
        <w:tc>
          <w:tcPr>
            <w:tcW w:type="dxa" w:w="4320"/>
            <w:vAlign w:val="top"/>
            <w:tcMar>
              <w:top w:w="80" w:type="dxa"/>
              <w:bottom w:w="80" w:type="dxa"/>
              <w:start w:w="100" w:type="dxa"/>
              <w:end w:w="100" w:type="dxa"/>
            </w:tcMar>
          </w:tcPr>
          <w:p>
            <w:r>
              <w:t>Weak, indirect, stale or incomplete support.</w:t>
            </w:r>
          </w:p>
        </w:tc>
        <w:tc>
          <w:tcPr>
            <w:tcW w:type="dxa" w:w="4608"/>
            <w:vAlign w:val="top"/>
            <w:tcMar>
              <w:top w:w="80" w:type="dxa"/>
              <w:bottom w:w="80" w:type="dxa"/>
              <w:start w:w="100" w:type="dxa"/>
              <w:end w:w="100" w:type="dxa"/>
            </w:tcMar>
          </w:tcPr>
          <w:p>
            <w:r>
              <w:t>Nurture/deeper research/HOLD; normally not direct Hunting.</w:t>
            </w:r>
          </w:p>
        </w:tc>
      </w:tr>
      <w:tr>
        <w:tc>
          <w:tcPr>
            <w:tcW w:type="dxa" w:w="1440"/>
            <w:vAlign w:val="top"/>
            <w:tcMar>
              <w:top w:w="80" w:type="dxa"/>
              <w:bottom w:w="80" w:type="dxa"/>
              <w:start w:w="100" w:type="dxa"/>
              <w:end w:w="100" w:type="dxa"/>
            </w:tcMar>
          </w:tcPr>
          <w:p>
            <w:r>
              <w:t>UNVERIFIED</w:t>
            </w:r>
          </w:p>
        </w:tc>
        <w:tc>
          <w:tcPr>
            <w:tcW w:type="dxa" w:w="4320"/>
            <w:vAlign w:val="top"/>
            <w:tcMar>
              <w:top w:w="80" w:type="dxa"/>
              <w:bottom w:w="80" w:type="dxa"/>
              <w:start w:w="100" w:type="dxa"/>
              <w:end w:w="100" w:type="dxa"/>
            </w:tcMar>
          </w:tcPr>
          <w:p>
            <w:r>
              <w:t>Claim has not passed required evidence check.</w:t>
            </w:r>
          </w:p>
        </w:tc>
        <w:tc>
          <w:tcPr>
            <w:tcW w:type="dxa" w:w="4608"/>
            <w:vAlign w:val="top"/>
            <w:tcMar>
              <w:top w:w="80" w:type="dxa"/>
              <w:bottom w:w="80" w:type="dxa"/>
              <w:start w:w="100" w:type="dxa"/>
              <w:end w:w="100" w:type="dxa"/>
            </w:tcMar>
          </w:tcPr>
          <w:p>
            <w:r>
              <w:t>Cannot be presented as fact.</w:t>
            </w:r>
          </w:p>
        </w:tc>
      </w:tr>
    </w:tbl>
    <w:p/>
    <w:p>
      <w:pPr>
        <w:spacing w:after="100"/>
      </w:pPr>
      <w:r>
        <w:rPr>
          <w:b w:val="0"/>
        </w:rPr>
        <w:t>Confidence cannot repair a failed hard gate. A HIGH-confidence inference is still an inference. A precise score cannot compensate for unresolved contradictory evidence.</w:t>
      </w:r>
    </w:p>
    <w:p>
      <w:pPr>
        <w:pStyle w:val="Heading1"/>
      </w:pPr>
      <w:r>
        <w:t>13. Human Override Contract</w:t>
      </w:r>
    </w:p>
    <w:tbl>
      <w:tblPr>
        <w:tblStyle w:val="TableGrid"/>
        <w:tblW w:type="auto" w:w="0"/>
        <w:jc w:val="center"/>
        <w:tblLook w:firstColumn="1" w:firstRow="1" w:lastColumn="0" w:lastRow="0" w:noHBand="0" w:noVBand="1" w:val="04A0"/>
      </w:tblPr>
      <w:tblGrid>
        <w:gridCol w:w="3331"/>
        <w:gridCol w:w="3331"/>
        <w:gridCol w:w="3331"/>
      </w:tblGrid>
      <w:tr>
        <w:tc>
          <w:tcPr>
            <w:tcW w:type="dxa" w:w="3168"/>
            <w:shd w:fill="D9EAF7"/>
            <w:tcMar>
              <w:top w:w="80" w:type="dxa"/>
              <w:bottom w:w="80" w:type="dxa"/>
              <w:start w:w="100" w:type="dxa"/>
              <w:end w:w="100" w:type="dxa"/>
            </w:tcMar>
          </w:tcPr>
          <w:p>
            <w:r>
              <w:rPr>
                <w:b/>
              </w:rPr>
              <w:t>Override</w:t>
            </w:r>
          </w:p>
        </w:tc>
        <w:tc>
          <w:tcPr>
            <w:tcW w:type="dxa" w:w="1440"/>
            <w:shd w:fill="D9EAF7"/>
            <w:tcMar>
              <w:top w:w="80" w:type="dxa"/>
              <w:bottom w:w="80" w:type="dxa"/>
              <w:start w:w="100" w:type="dxa"/>
              <w:end w:w="100" w:type="dxa"/>
            </w:tcMar>
          </w:tcPr>
          <w:p>
            <w:r>
              <w:rPr>
                <w:b/>
              </w:rPr>
              <w:t>Allowed?</w:t>
            </w:r>
          </w:p>
        </w:tc>
        <w:tc>
          <w:tcPr>
            <w:tcW w:type="dxa" w:w="5616"/>
            <w:shd w:fill="D9EAF7"/>
            <w:tcMar>
              <w:top w:w="80" w:type="dxa"/>
              <w:bottom w:w="80" w:type="dxa"/>
              <w:start w:w="100" w:type="dxa"/>
              <w:end w:w="100" w:type="dxa"/>
            </w:tcMar>
          </w:tcPr>
          <w:p>
            <w:r>
              <w:rPr>
                <w:b/>
              </w:rPr>
              <w:t>Requirement</w:t>
            </w:r>
          </w:p>
        </w:tc>
      </w:tr>
      <w:tr>
        <w:tc>
          <w:tcPr>
            <w:tcW w:type="dxa" w:w="3168"/>
            <w:vAlign w:val="top"/>
            <w:tcMar>
              <w:top w:w="80" w:type="dxa"/>
              <w:bottom w:w="80" w:type="dxa"/>
              <w:start w:w="100" w:type="dxa"/>
              <w:end w:w="100" w:type="dxa"/>
            </w:tcMar>
          </w:tcPr>
          <w:p>
            <w:r>
              <w:t>Change weekly territory</w:t>
            </w:r>
          </w:p>
        </w:tc>
        <w:tc>
          <w:tcPr>
            <w:tcW w:type="dxa" w:w="1440"/>
            <w:vAlign w:val="top"/>
            <w:tcMar>
              <w:top w:w="80" w:type="dxa"/>
              <w:bottom w:w="80" w:type="dxa"/>
              <w:start w:w="100" w:type="dxa"/>
              <w:end w:w="100" w:type="dxa"/>
            </w:tcMar>
          </w:tcPr>
          <w:p>
            <w:r>
              <w:t>Yes</w:t>
            </w:r>
          </w:p>
        </w:tc>
        <w:tc>
          <w:tcPr>
            <w:tcW w:type="dxa" w:w="5616"/>
            <w:vAlign w:val="top"/>
            <w:tcMar>
              <w:top w:w="80" w:type="dxa"/>
              <w:bottom w:w="80" w:type="dxa"/>
              <w:start w:w="100" w:type="dxa"/>
              <w:end w:w="100" w:type="dxa"/>
            </w:tcMar>
          </w:tcPr>
          <w:p>
            <w:r>
              <w:t>No special rationale required.</w:t>
            </w:r>
          </w:p>
        </w:tc>
      </w:tr>
      <w:tr>
        <w:tc>
          <w:tcPr>
            <w:tcW w:type="dxa" w:w="3168"/>
            <w:vAlign w:val="top"/>
            <w:tcMar>
              <w:top w:w="80" w:type="dxa"/>
              <w:bottom w:w="80" w:type="dxa"/>
              <w:start w:w="100" w:type="dxa"/>
              <w:end w:w="100" w:type="dxa"/>
            </w:tcMar>
          </w:tcPr>
          <w:p>
            <w:r>
              <w:t>Change Commercial Bet / capacity mix</w:t>
            </w:r>
          </w:p>
        </w:tc>
        <w:tc>
          <w:tcPr>
            <w:tcW w:type="dxa" w:w="1440"/>
            <w:vAlign w:val="top"/>
            <w:tcMar>
              <w:top w:w="80" w:type="dxa"/>
              <w:bottom w:w="80" w:type="dxa"/>
              <w:start w:w="100" w:type="dxa"/>
              <w:end w:w="100" w:type="dxa"/>
            </w:tcMar>
          </w:tcPr>
          <w:p>
            <w:r>
              <w:t>Yes</w:t>
            </w:r>
          </w:p>
        </w:tc>
        <w:tc>
          <w:tcPr>
            <w:tcW w:type="dxa" w:w="5616"/>
            <w:vAlign w:val="top"/>
            <w:tcMar>
              <w:top w:w="80" w:type="dxa"/>
              <w:bottom w:w="80" w:type="dxa"/>
              <w:start w:w="100" w:type="dxa"/>
              <w:end w:w="100" w:type="dxa"/>
            </w:tcMar>
          </w:tcPr>
          <w:p>
            <w:r>
              <w:t>Capture strategic preference/rationale when material.</w:t>
            </w:r>
          </w:p>
        </w:tc>
      </w:tr>
      <w:tr>
        <w:tc>
          <w:tcPr>
            <w:tcW w:type="dxa" w:w="3168"/>
            <w:vAlign w:val="top"/>
            <w:tcMar>
              <w:top w:w="80" w:type="dxa"/>
              <w:bottom w:w="80" w:type="dxa"/>
              <w:start w:w="100" w:type="dxa"/>
              <w:end w:w="100" w:type="dxa"/>
            </w:tcMar>
          </w:tcPr>
          <w:p>
            <w:r>
              <w:t>Change recommended route</w:t>
            </w:r>
          </w:p>
        </w:tc>
        <w:tc>
          <w:tcPr>
            <w:tcW w:type="dxa" w:w="1440"/>
            <w:vAlign w:val="top"/>
            <w:tcMar>
              <w:top w:w="80" w:type="dxa"/>
              <w:bottom w:w="80" w:type="dxa"/>
              <w:start w:w="100" w:type="dxa"/>
              <w:end w:w="100" w:type="dxa"/>
            </w:tcMar>
          </w:tcPr>
          <w:p>
            <w:r>
              <w:t>Yes</w:t>
            </w:r>
          </w:p>
        </w:tc>
        <w:tc>
          <w:tcPr>
            <w:tcW w:type="dxa" w:w="5616"/>
            <w:vAlign w:val="top"/>
            <w:tcMar>
              <w:top w:w="80" w:type="dxa"/>
              <w:bottom w:w="80" w:type="dxa"/>
              <w:start w:w="100" w:type="dxa"/>
              <w:end w:w="100" w:type="dxa"/>
            </w:tcMar>
          </w:tcPr>
          <w:p>
            <w:r>
              <w:t>Capture short rationale.</w:t>
            </w:r>
          </w:p>
        </w:tc>
      </w:tr>
      <w:tr>
        <w:tc>
          <w:tcPr>
            <w:tcW w:type="dxa" w:w="3168"/>
            <w:vAlign w:val="top"/>
            <w:tcMar>
              <w:top w:w="80" w:type="dxa"/>
              <w:bottom w:w="80" w:type="dxa"/>
              <w:start w:w="100" w:type="dxa"/>
              <w:end w:w="100" w:type="dxa"/>
            </w:tcMar>
          </w:tcPr>
          <w:p>
            <w:r>
              <w:t>Assign different owner</w:t>
            </w:r>
          </w:p>
        </w:tc>
        <w:tc>
          <w:tcPr>
            <w:tcW w:type="dxa" w:w="1440"/>
            <w:vAlign w:val="top"/>
            <w:tcMar>
              <w:top w:w="80" w:type="dxa"/>
              <w:bottom w:w="80" w:type="dxa"/>
              <w:start w:w="100" w:type="dxa"/>
              <w:end w:w="100" w:type="dxa"/>
            </w:tcMar>
          </w:tcPr>
          <w:p>
            <w:r>
              <w:t>Yes</w:t>
            </w:r>
          </w:p>
        </w:tc>
        <w:tc>
          <w:tcPr>
            <w:tcW w:type="dxa" w:w="5616"/>
            <w:vAlign w:val="top"/>
            <w:tcMar>
              <w:top w:w="80" w:type="dxa"/>
              <w:bottom w:w="80" w:type="dxa"/>
              <w:start w:w="100" w:type="dxa"/>
              <w:end w:w="100" w:type="dxa"/>
            </w:tcMar>
          </w:tcPr>
          <w:p>
            <w:r>
              <w:t>Respect CRM/territory governance.</w:t>
            </w:r>
          </w:p>
        </w:tc>
      </w:tr>
      <w:tr>
        <w:tc>
          <w:tcPr>
            <w:tcW w:type="dxa" w:w="3168"/>
            <w:vAlign w:val="top"/>
            <w:tcMar>
              <w:top w:w="80" w:type="dxa"/>
              <w:bottom w:w="80" w:type="dxa"/>
              <w:start w:w="100" w:type="dxa"/>
              <w:end w:w="100" w:type="dxa"/>
            </w:tcMar>
          </w:tcPr>
          <w:p>
            <w:r>
              <w:t>Promote LOW evidence to direct Hunting</w:t>
            </w:r>
          </w:p>
        </w:tc>
        <w:tc>
          <w:tcPr>
            <w:tcW w:type="dxa" w:w="1440"/>
            <w:vAlign w:val="top"/>
            <w:tcMar>
              <w:top w:w="80" w:type="dxa"/>
              <w:bottom w:w="80" w:type="dxa"/>
              <w:start w:w="100" w:type="dxa"/>
              <w:end w:w="100" w:type="dxa"/>
            </w:tcMar>
          </w:tcPr>
          <w:p>
            <w:r>
              <w:t>Restricted</w:t>
            </w:r>
          </w:p>
        </w:tc>
        <w:tc>
          <w:tcPr>
            <w:tcW w:type="dxa" w:w="5616"/>
            <w:vAlign w:val="top"/>
            <w:tcMar>
              <w:top w:w="80" w:type="dxa"/>
              <w:bottom w:w="80" w:type="dxa"/>
              <w:start w:w="100" w:type="dxa"/>
              <w:end w:w="100" w:type="dxa"/>
            </w:tcMar>
          </w:tcPr>
          <w:p>
            <w:r>
              <w:t>Explicit acknowledgment of weak evidence; prospect message remains bounded; hard fails still cannot be overridden.</w:t>
            </w:r>
          </w:p>
        </w:tc>
      </w:tr>
      <w:tr>
        <w:tc>
          <w:tcPr>
            <w:tcW w:type="dxa" w:w="3168"/>
            <w:vAlign w:val="top"/>
            <w:tcMar>
              <w:top w:w="80" w:type="dxa"/>
              <w:bottom w:w="80" w:type="dxa"/>
              <w:start w:w="100" w:type="dxa"/>
              <w:end w:w="100" w:type="dxa"/>
            </w:tcMar>
          </w:tcPr>
          <w:p>
            <w:r>
              <w:t>Declare external signal true without evidence</w:t>
            </w:r>
          </w:p>
        </w:tc>
        <w:tc>
          <w:tcPr>
            <w:tcW w:type="dxa" w:w="1440"/>
            <w:vAlign w:val="top"/>
            <w:tcMar>
              <w:top w:w="80" w:type="dxa"/>
              <w:bottom w:w="80" w:type="dxa"/>
              <w:start w:w="100" w:type="dxa"/>
              <w:end w:w="100" w:type="dxa"/>
            </w:tcMar>
          </w:tcPr>
          <w:p>
            <w:r>
              <w:t>No</w:t>
            </w:r>
          </w:p>
        </w:tc>
        <w:tc>
          <w:tcPr>
            <w:tcW w:type="dxa" w:w="5616"/>
            <w:vAlign w:val="top"/>
            <w:tcMar>
              <w:top w:w="80" w:type="dxa"/>
              <w:bottom w:w="80" w:type="dxa"/>
              <w:start w:w="100" w:type="dxa"/>
              <w:end w:w="100" w:type="dxa"/>
            </w:tcMar>
          </w:tcPr>
          <w:p>
            <w:r>
              <w:t>Record as user-provided context, not verified public fact.</w:t>
            </w:r>
          </w:p>
        </w:tc>
      </w:tr>
      <w:tr>
        <w:tc>
          <w:tcPr>
            <w:tcW w:type="dxa" w:w="3168"/>
            <w:vAlign w:val="top"/>
            <w:tcMar>
              <w:top w:w="80" w:type="dxa"/>
              <w:bottom w:w="80" w:type="dxa"/>
              <w:start w:w="100" w:type="dxa"/>
              <w:end w:w="100" w:type="dxa"/>
            </w:tcMar>
          </w:tcPr>
          <w:p>
            <w:r>
              <w:t>Declare Buyer employment verified without evidence</w:t>
            </w:r>
          </w:p>
        </w:tc>
        <w:tc>
          <w:tcPr>
            <w:tcW w:type="dxa" w:w="1440"/>
            <w:vAlign w:val="top"/>
            <w:tcMar>
              <w:top w:w="80" w:type="dxa"/>
              <w:bottom w:w="80" w:type="dxa"/>
              <w:start w:w="100" w:type="dxa"/>
              <w:end w:w="100" w:type="dxa"/>
            </w:tcMar>
          </w:tcPr>
          <w:p>
            <w:r>
              <w:t>No</w:t>
            </w:r>
          </w:p>
        </w:tc>
        <w:tc>
          <w:tcPr>
            <w:tcW w:type="dxa" w:w="5616"/>
            <w:vAlign w:val="top"/>
            <w:tcMar>
              <w:top w:w="80" w:type="dxa"/>
              <w:bottom w:w="80" w:type="dxa"/>
              <w:start w:w="100" w:type="dxa"/>
              <w:end w:w="100" w:type="dxa"/>
            </w:tcMar>
          </w:tcPr>
          <w:p>
            <w:r>
              <w:t>Record as user-provided context unless first-party/internal authority supports it.</w:t>
            </w:r>
          </w:p>
        </w:tc>
      </w:tr>
      <w:tr>
        <w:tc>
          <w:tcPr>
            <w:tcW w:type="dxa" w:w="3168"/>
            <w:vAlign w:val="top"/>
            <w:tcMar>
              <w:top w:w="80" w:type="dxa"/>
              <w:bottom w:w="80" w:type="dxa"/>
              <w:start w:w="100" w:type="dxa"/>
              <w:end w:w="100" w:type="dxa"/>
            </w:tcMar>
          </w:tcPr>
          <w:p>
            <w:r>
              <w:t>Rewrite locked rationale</w:t>
            </w:r>
          </w:p>
        </w:tc>
        <w:tc>
          <w:tcPr>
            <w:tcW w:type="dxa" w:w="1440"/>
            <w:vAlign w:val="top"/>
            <w:tcMar>
              <w:top w:w="80" w:type="dxa"/>
              <w:bottom w:w="80" w:type="dxa"/>
              <w:start w:w="100" w:type="dxa"/>
              <w:end w:w="100" w:type="dxa"/>
            </w:tcMar>
          </w:tcPr>
          <w:p>
            <w:r>
              <w:t>No</w:t>
            </w:r>
          </w:p>
        </w:tc>
        <w:tc>
          <w:tcPr>
            <w:tcW w:type="dxa" w:w="5616"/>
            <w:vAlign w:val="top"/>
            <w:tcMar>
              <w:top w:w="80" w:type="dxa"/>
              <w:bottom w:w="80" w:type="dxa"/>
              <w:start w:w="100" w:type="dxa"/>
              <w:end w:w="100" w:type="dxa"/>
            </w:tcMar>
          </w:tcPr>
          <w:p>
            <w:r>
              <w:t>Append note/new version.</w:t>
            </w:r>
          </w:p>
        </w:tc>
      </w:tr>
      <w:tr>
        <w:tc>
          <w:tcPr>
            <w:tcW w:type="dxa" w:w="3168"/>
            <w:vAlign w:val="top"/>
            <w:tcMar>
              <w:top w:w="80" w:type="dxa"/>
              <w:bottom w:w="80" w:type="dxa"/>
              <w:start w:w="100" w:type="dxa"/>
              <w:end w:w="100" w:type="dxa"/>
            </w:tcMar>
          </w:tcPr>
          <w:p>
            <w:r>
              <w:t>Invent proof/case result</w:t>
            </w:r>
          </w:p>
        </w:tc>
        <w:tc>
          <w:tcPr>
            <w:tcW w:type="dxa" w:w="1440"/>
            <w:vAlign w:val="top"/>
            <w:tcMar>
              <w:top w:w="80" w:type="dxa"/>
              <w:bottom w:w="80" w:type="dxa"/>
              <w:start w:w="100" w:type="dxa"/>
              <w:end w:w="100" w:type="dxa"/>
            </w:tcMar>
          </w:tcPr>
          <w:p>
            <w:r>
              <w:t>No</w:t>
            </w:r>
          </w:p>
        </w:tc>
        <w:tc>
          <w:tcPr>
            <w:tcW w:type="dxa" w:w="5616"/>
            <w:vAlign w:val="top"/>
            <w:tcMar>
              <w:top w:w="80" w:type="dxa"/>
              <w:bottom w:w="80" w:type="dxa"/>
              <w:start w:w="100" w:type="dxa"/>
              <w:end w:w="100" w:type="dxa"/>
            </w:tcMar>
          </w:tcPr>
          <w:p>
            <w:r>
              <w:t>Hard prohibition.</w:t>
            </w:r>
          </w:p>
        </w:tc>
      </w:tr>
      <w:tr>
        <w:tc>
          <w:tcPr>
            <w:tcW w:type="dxa" w:w="3331"/>
          </w:tcPr>
          <w:p>
            <w:r>
              <w:t>Assume participant company / battlefield from creator or Knowledge defaults</w:t>
            </w:r>
          </w:p>
        </w:tc>
        <w:tc>
          <w:tcPr>
            <w:tcW w:type="dxa" w:w="3331"/>
          </w:tcPr>
          <w:p>
            <w:r>
              <w:t>No</w:t>
            </w:r>
          </w:p>
        </w:tc>
        <w:tc>
          <w:tcPr>
            <w:tcW w:type="dxa" w:w="3331"/>
          </w:tcPr>
          <w:p>
            <w:r>
              <w:t>Require explicit/unambiguous current-session basis or minimal validation.</w:t>
            </w:r>
          </w:p>
        </w:tc>
      </w:tr>
      <w:tr>
        <w:tc>
          <w:tcPr>
            <w:tcW w:type="dxa" w:w="3331"/>
          </w:tcPr>
          <w:p>
            <w:r>
              <w:t>Require repeated 'Adelante' after final material input</w:t>
            </w:r>
          </w:p>
        </w:tc>
        <w:tc>
          <w:tcPr>
            <w:tcW w:type="dxa" w:w="3331"/>
          </w:tcPr>
          <w:p>
            <w:r>
              <w:t>No</w:t>
            </w:r>
          </w:p>
        </w:tc>
        <w:tc>
          <w:tcPr>
            <w:tcW w:type="dxa" w:w="3331"/>
          </w:tcPr>
          <w:p>
            <w:r>
              <w:t>Continue automatically in same response through all executable stages.</w:t>
            </w:r>
          </w:p>
        </w:tc>
      </w:tr>
    </w:tbl>
    <w:p/>
    <w:p>
      <w:pPr>
        <w:pStyle w:val="Heading1"/>
      </w:pPr>
      <w:r>
        <w:t>14. Diagnostic Independence Contract</w:t>
      </w:r>
    </w:p>
    <w:p>
      <w:pPr>
        <w:pStyle w:val="ListBullet"/>
        <w:spacing w:after="40"/>
      </w:pPr>
      <w:r>
        <w:t>Never recalculate diagnostic scores unless an explicitly authorized Diagnostic Engine is invoked.</w:t>
      </w:r>
    </w:p>
    <w:p>
      <w:pPr>
        <w:pStyle w:val="ListBullet"/>
        <w:spacing w:after="40"/>
      </w:pPr>
      <w:r>
        <w:t>Use diagnostic evidence to personalize weekly opportunity creation.</w:t>
      </w:r>
    </w:p>
    <w:p>
      <w:pPr>
        <w:pStyle w:val="ListBullet"/>
        <w:spacing w:after="40"/>
      </w:pPr>
      <w:r>
        <w:t>Treat old diagnostic findings as context, not permanent truth.</w:t>
      </w:r>
    </w:p>
    <w:p>
      <w:pPr>
        <w:pStyle w:val="ListBullet"/>
        <w:spacing w:after="40"/>
      </w:pPr>
      <w:r>
        <w:t>When current evidence materially differs, record 'diagnostic context changed' rather than editing the old diagnosis.</w:t>
      </w:r>
    </w:p>
    <w:p>
      <w:pPr>
        <w:pStyle w:val="ListBullet"/>
        <w:spacing w:after="40"/>
      </w:pPr>
      <w:r>
        <w:t>The prospecting system must still function when no diagnosis is available.</w:t>
      </w:r>
    </w:p>
    <w:p>
      <w:pPr>
        <w:pStyle w:val="Heading1"/>
      </w:pPr>
      <w:r>
        <w:t>15. Participant Identity &amp; Battlefield Control Contract</w:t>
      </w:r>
    </w:p>
    <w:p>
      <w:pPr>
        <w:pStyle w:val="ListBullet"/>
      </w:pPr>
      <w:r>
        <w:t>Participant identity and battlefield are governed prerequisites, not convenient defaults.</w:t>
      </w:r>
    </w:p>
    <w:p>
      <w:pPr>
        <w:pStyle w:val="ListBullet"/>
      </w:pPr>
      <w:r>
        <w:t>PARTICIPANT COMPANY IDENTITY = VERIFIED / KNOWN / UNKNOWN.</w:t>
      </w:r>
    </w:p>
    <w:p>
      <w:pPr>
        <w:pStyle w:val="ListBullet"/>
      </w:pPr>
      <w:r>
        <w:t>BATTLEFIELD = VERIFIED / KNOWN / UNKNOWN.</w:t>
      </w:r>
    </w:p>
    <w:p>
      <w:pPr>
        <w:pStyle w:val="ListBullet"/>
      </w:pPr>
      <w:r>
        <w:t>KNOWN → reuse only when the same participant boundary is clear and current. RESEARCHABLE → resolve from reliable current-session evidence. UNKNOWN + MATERIAL → ask the minimum question.</w:t>
      </w:r>
    </w:p>
    <w:p>
      <w:pPr>
        <w:pStyle w:val="ListBullet"/>
      </w:pPr>
      <w:r>
        <w:t>For a first-time participant when both are unknown, ask only for (1) company name or preferably website and (2) country/region/territory for the mission. Do not request ICP, pains, Buyers, products or account lists when they can be researched downstream.</w:t>
      </w:r>
    </w:p>
    <w:p>
      <w:pPr>
        <w:pStyle w:val="ListBullet"/>
      </w:pPr>
      <w:r>
        <w:t>Never infer the participant from Salesbumm as methodology creator/provider, Knowledge examples, case studies, prior stress tests, default project context, another participant, or unrelated historical conversations.</w:t>
      </w:r>
    </w:p>
    <w:p>
      <w:pPr>
        <w:pStyle w:val="ListBullet"/>
      </w:pPr>
      <w:r>
        <w:t>Never infer battlefield from México or any other frequently occurring territory in Knowledge/examples/tests. Territory must belong to the current participant/mission.</w:t>
      </w:r>
    </w:p>
    <w:p>
      <w:pPr>
        <w:pStyle w:val="ListBullet"/>
      </w:pPr>
      <w:r>
        <w:t>If participant company remains UNKNOWN, participant-specific Company Intelligence and Account Discovery are blocked. If battlefield remains UNKNOWN, Company Intelligence may be prepared once company identity is known, but Prescription, Account Discovery and release remain blocked.</w:t>
      </w:r>
    </w:p>
    <w:p>
      <w:pPr>
        <w:pStyle w:val="ListBullet"/>
      </w:pPr>
      <w:r>
        <w:t>Returning participants: reuse previously validated company and battlefield only when provenance clearly belongs to the same participant and remains applicable. A user-indicated change supersedes the prior battlefield prospectively.</w:t>
      </w:r>
    </w:p>
    <w:p>
      <w:pPr>
        <w:pStyle w:val="ListBullet"/>
      </w:pPr>
      <w:r>
        <w:t>Any downstream output created under an invalid participant/creator collision is tainted and must return to the earliest affected state; it cannot be repaired by relabeling the final pack.</w:t>
      </w:r>
    </w:p>
    <w:p>
      <w:pPr>
        <w:pStyle w:val="Heading1"/>
      </w:pPr>
      <w:r>
        <w:t>16. Same-Turn Mission Completion Control Contract</w:t>
      </w:r>
    </w:p>
    <w:p>
      <w:pPr>
        <w:pStyle w:val="ListBullet"/>
      </w:pPr>
      <w:r>
        <w:t>Trigger: the final material human input needed for the mission is supplied, or no material human input remains unresolved.</w:t>
      </w:r>
    </w:p>
    <w:p>
      <w:pPr>
        <w:pStyle w:val="ListBullet"/>
      </w:pPr>
      <w:r>
        <w:t>Obligation: execute every remaining researchable state in the same assistant response until the Weekly GOLD Pack is produced.</w:t>
      </w:r>
    </w:p>
    <w:p>
      <w:pPr>
        <w:pStyle w:val="ListBullet"/>
      </w:pPr>
      <w:r>
        <w:t>Do not ask for or depend on repeated “Adelante”, “Continúa”, “Sigue”, “Dame el GOLD Pack” or equivalent nudges after initialization is complete.</w:t>
      </w:r>
    </w:p>
    <w:p>
      <w:pPr>
        <w:pStyle w:val="ListBullet"/>
      </w:pPr>
      <w:r>
        <w:t>Progress reports, sample accounts, preliminary candidates, research teasers and future-tense statements are non-terminal when further work is executable.</w:t>
      </w:r>
    </w:p>
    <w:p>
      <w:pPr>
        <w:pStyle w:val="ListBullet"/>
      </w:pPr>
      <w:r>
        <w:t>Valid terminal state A: Weekly GOLD Pack produced, including a legitimate ZERO-GOLD result.</w:t>
      </w:r>
    </w:p>
    <w:p>
      <w:pPr>
        <w:pStyle w:val="ListBullet"/>
      </w:pPr>
      <w:r>
        <w:t>Valid terminal state B: genuine human-only blocker materially prevents further valid work; ask only the minimum unresolved decision.</w:t>
      </w:r>
    </w:p>
    <w:p>
      <w:pPr>
        <w:pStyle w:val="ListBullet"/>
      </w:pPr>
      <w:r>
        <w:t>Valid terminal state C: actual tool/runtime limit; disclose the concrete limitation and distinguish completed from pending work. Never fabricate a tool/runtime limit.</w:t>
      </w:r>
    </w:p>
    <w:p>
      <w:pPr>
        <w:pStyle w:val="ListBullet"/>
      </w:pPr>
      <w:r>
        <w:t>Unavailable CRM, DNC, ownership or suppression checks do not stop public research. Complete evidence, scoring, Buyer, Red Team, routing and outreach preparation and mark affected accounts CHECK REQUIRED/HOLD.</w:t>
      </w:r>
    </w:p>
    <w:p>
      <w:pPr>
        <w:pStyle w:val="ListBullet"/>
      </w:pPr>
      <w:r>
        <w:t>If the assistant prematurely ends with false continuation, the run is incomplete and cannot be counted as Weekly Mission PASS.</w:t>
      </w:r>
    </w:p>
    <w:p>
      <w:pPr>
        <w:pStyle w:val="Heading1"/>
      </w:pPr>
      <w:r>
        <w:t>17. Deep Company Intelligence &amp; Validation Contract</w:t>
      </w:r>
    </w:p>
    <w:p>
      <w:pPr>
        <w:pStyle w:val="ListBullet"/>
        <w:spacing w:after="40"/>
      </w:pPr>
      <w:r>
        <w:t>Research first; ask the student to validate a compact proposed model.</w:t>
      </w:r>
    </w:p>
    <w:p>
      <w:pPr>
        <w:pStyle w:val="ListBullet"/>
        <w:spacing w:after="40"/>
      </w:pPr>
      <w:r>
        <w:t>Deep research must precede first Account Discovery unless a current validated Company Intelligence handoff is reused.</w:t>
      </w:r>
    </w:p>
    <w:p>
      <w:pPr>
        <w:pStyle w:val="ListBullet"/>
        <w:spacing w:after="40"/>
      </w:pPr>
      <w:r>
        <w:t>Research must cover the relevant accessible public ecosystem, not merely the homepage.</w:t>
      </w:r>
    </w:p>
    <w:p>
      <w:pPr>
        <w:pStyle w:val="ListBullet"/>
        <w:spacing w:after="40"/>
      </w:pPr>
      <w:r>
        <w:t>Source categories reviewed and inaccessible must be disclosed.</w:t>
      </w:r>
    </w:p>
    <w:p>
      <w:pPr>
        <w:pStyle w:val="ListBullet"/>
        <w:spacing w:after="40"/>
      </w:pPr>
      <w:r>
        <w:t>A proposed ICP is not validated ICP until accepted or supported by sufficient first-party context.</w:t>
      </w:r>
    </w:p>
    <w:p>
      <w:pPr>
        <w:pStyle w:val="ListBullet"/>
        <w:spacing w:after="40"/>
      </w:pPr>
      <w:r>
        <w:t>Buyer Persona is a role hypothesis until validated.</w:t>
      </w:r>
    </w:p>
    <w:p>
      <w:pPr>
        <w:pStyle w:val="ListBullet"/>
        <w:spacing w:after="40"/>
      </w:pPr>
      <w:r>
        <w:t>Pain/problem statements inferred from offer and market evidence remain hypotheses.</w:t>
      </w:r>
    </w:p>
    <w:p>
      <w:pPr>
        <w:pStyle w:val="ListBullet"/>
        <w:spacing w:after="40"/>
      </w:pPr>
      <w:r>
        <w:t>Exclusions become high-impact business controls once approved.</w:t>
      </w:r>
    </w:p>
    <w:p>
      <w:pPr>
        <w:pStyle w:val="ListBullet"/>
        <w:spacing w:after="40"/>
      </w:pPr>
      <w:r>
        <w:t>Proof may only include real, supportable evidence. No invented metrics, logos, cases or outcomes.</w:t>
      </w:r>
    </w:p>
    <w:p>
      <w:pPr>
        <w:pStyle w:val="Heading1"/>
      </w:pPr>
      <w:r>
        <w:t>18. Capability &amp; Targeting Foundation Contract</w:t>
      </w:r>
    </w:p>
    <w:p>
      <w:pPr>
        <w:spacing w:after="100"/>
      </w:pPr>
      <w:r>
        <w:rPr>
          <w:b w:val="0"/>
        </w:rPr>
        <w:t>Company Intelligence must be converted into a Capability &amp; Proof Map and then into ICP/Buyer/GAP Families before weekly market search.</w:t>
      </w:r>
    </w:p>
    <w:p>
      <w:pPr>
        <w:pStyle w:val="ListBullet"/>
        <w:spacing w:after="40"/>
      </w:pPr>
      <w:r>
        <w:t>Capability = what the participant can credibly help change.</w:t>
      </w:r>
    </w:p>
    <w:p>
      <w:pPr>
        <w:pStyle w:val="ListBullet"/>
        <w:spacing w:after="40"/>
      </w:pPr>
      <w:r>
        <w:t>Proof = supportable evidence that makes the capability believable.</w:t>
      </w:r>
    </w:p>
    <w:p>
      <w:pPr>
        <w:pStyle w:val="ListBullet"/>
        <w:spacing w:after="40"/>
      </w:pPr>
      <w:r>
        <w:t>Boundary = what the participant must not claim.</w:t>
      </w:r>
    </w:p>
    <w:p>
      <w:pPr>
        <w:pStyle w:val="ListBullet"/>
        <w:spacing w:after="40"/>
      </w:pPr>
      <w:r>
        <w:t>GAP family = problem pattern worth investigating, not account-level fact.</w:t>
      </w:r>
    </w:p>
    <w:p>
      <w:pPr>
        <w:pStyle w:val="ListBullet"/>
        <w:spacing w:after="40"/>
      </w:pPr>
      <w:r>
        <w:t>Buyer map = who lives, operates, economically owns or sponsors the possible GAP.</w:t>
      </w:r>
    </w:p>
    <w:p>
      <w:pPr>
        <w:pStyle w:val="ListBullet"/>
        <w:spacing w:after="40"/>
      </w:pPr>
      <w:r>
        <w:t>Observable relevance condition = public change that could make the capability timely.</w:t>
      </w:r>
    </w:p>
    <w:p>
      <w:pPr>
        <w:spacing w:after="100"/>
      </w:pPr>
      <w:r>
        <w:rPr>
          <w:b w:val="0"/>
        </w:rPr>
        <w:t>Account Discovery may not infer a capability simply because a target signal looks attractive.</w:t>
      </w:r>
    </w:p>
    <w:p>
      <w:pPr>
        <w:pStyle w:val="Heading1"/>
      </w:pPr>
      <w:r>
        <w:t>19. Prospecting Prescription Control Contract</w:t>
      </w:r>
    </w:p>
    <w:p>
      <w:pPr>
        <w:spacing w:after="100"/>
      </w:pPr>
      <w:r>
        <w:rPr>
          <w:b w:val="0"/>
        </w:rPr>
        <w:t>The Prospecting Prescription is a governed upstream decision, not a descriptive preface.</w:t>
      </w:r>
    </w:p>
    <w:p>
      <w:pPr>
        <w:pStyle w:val="ListBullet"/>
        <w:spacing w:after="40"/>
      </w:pPr>
      <w:r>
        <w:t>Define a Commercial Bet of the Week.</w:t>
      </w:r>
    </w:p>
    <w:p>
      <w:pPr>
        <w:pStyle w:val="ListBullet"/>
        <w:spacing w:after="40"/>
      </w:pPr>
      <w:r>
        <w:t>Rank opportunity radars by expected actionability.</w:t>
      </w:r>
    </w:p>
    <w:p>
      <w:pPr>
        <w:pStyle w:val="ListBullet"/>
        <w:spacing w:after="40"/>
      </w:pPr>
      <w:r>
        <w:t>For each radar define target pattern, signals, bounded GAP, probable Buyer, relevant capability and initial route tendency.</w:t>
      </w:r>
    </w:p>
    <w:p>
      <w:pPr>
        <w:pStyle w:val="ListBullet"/>
        <w:spacing w:after="40"/>
      </w:pPr>
      <w:r>
        <w:t>Allocate capacity across routes without manufacturing capacity facts.</w:t>
      </w:r>
    </w:p>
    <w:p>
      <w:pPr>
        <w:pStyle w:val="ListBullet"/>
        <w:spacing w:after="40"/>
      </w:pPr>
      <w:r>
        <w:t>Define attractive signals that should NOT trigger prospecting by themselves.</w:t>
      </w:r>
    </w:p>
    <w:p>
      <w:pPr>
        <w:pStyle w:val="ListBullet"/>
        <w:spacing w:after="40"/>
      </w:pPr>
      <w:r>
        <w:t>Account Discovery must consume this Prescription.</w:t>
      </w:r>
    </w:p>
    <w:p>
      <w:pPr>
        <w:spacing w:after="100"/>
      </w:pPr>
      <w:r>
        <w:rPr>
          <w:b w:val="0"/>
        </w:rPr>
        <w:t>If Discovery reveals a materially superior pattern outside the Prescription, the system must version/recompute the Prescription rather than silently pretending the pattern was planned.</w:t>
      </w:r>
    </w:p>
    <w:p>
      <w:pPr>
        <w:pStyle w:val="Heading1"/>
      </w:pPr>
      <w:r>
        <w:t>20. Signal-to-GAP &amp; Red Team Contract</w:t>
      </w:r>
    </w:p>
    <w:p>
      <w:pPr>
        <w:spacing w:after="100"/>
      </w:pPr>
      <w:r>
        <w:rPr>
          <w:b w:val="0"/>
        </w:rPr>
        <w:t>Preserve the causal chain: OBSERVABLE SIGNAL → INTERPRETATION → POTENTIAL PROBLEM → BUSINESS IMPACT → DESIRED FUTURE STATE → GAP → BUYER → RELEVANT CAPABILITY.</w:t>
      </w:r>
    </w:p>
    <w:p>
      <w:pPr>
        <w:pStyle w:val="ListBullet"/>
        <w:spacing w:after="40"/>
      </w:pPr>
      <w:r>
        <w:t>Never use job posting, expansion, funding or executive change as proof of pain by itself.</w:t>
      </w:r>
    </w:p>
    <w:p>
      <w:pPr>
        <w:pStyle w:val="ListBullet"/>
        <w:spacing w:after="40"/>
      </w:pPr>
      <w:r>
        <w:t>Never claim the prospect 'has' the GAP unless direct evidence supports it.</w:t>
      </w:r>
    </w:p>
    <w:p>
      <w:pPr>
        <w:pStyle w:val="ListBullet"/>
        <w:spacing w:after="40"/>
      </w:pPr>
      <w:r>
        <w:t>Use outreach to validate the hypothesis, not to pretend it is known truth.</w:t>
      </w:r>
    </w:p>
    <w:p>
      <w:pPr>
        <w:pStyle w:val="ListBullet"/>
        <w:spacing w:after="40"/>
      </w:pPr>
      <w:r>
        <w:t>If no current signal exists, use fit logic for ABM/Nurture rather than manufacturing urgency.</w:t>
      </w:r>
    </w:p>
    <w:p>
      <w:pPr>
        <w:pStyle w:val="ListBullet"/>
        <w:spacing w:after="40"/>
      </w:pPr>
      <w:r>
        <w:t>Red Team must test alternative explanations, internal-solution possibility, contradictory evidence and the weakest material assumption.</w:t>
      </w:r>
    </w:p>
    <w:p>
      <w:pPr>
        <w:pStyle w:val="ListBullet"/>
        <w:spacing w:after="40"/>
      </w:pPr>
      <w:r>
        <w:t>Material contradiction can force HOLD even when mathematical scoring would otherwise be high.</w:t>
      </w:r>
    </w:p>
    <w:p>
      <w:pPr>
        <w:pStyle w:val="Heading1"/>
      </w:pPr>
      <w:r>
        <w:t>21. Prioritization Constraint Contract</w:t>
      </w:r>
    </w:p>
    <w:p>
      <w:pPr>
        <w:pStyle w:val="ListBullet"/>
        <w:spacing w:after="40"/>
      </w:pPr>
      <w:r>
        <w:t>Prioritization consumes validated evidence; it does not create evidence.</w:t>
      </w:r>
    </w:p>
    <w:p>
      <w:pPr>
        <w:pStyle w:val="ListBullet"/>
        <w:spacing w:after="40"/>
      </w:pPr>
      <w:r>
        <w:t>Hard evidence failures constrain maximum priority.</w:t>
      </w:r>
    </w:p>
    <w:p>
      <w:pPr>
        <w:pStyle w:val="ListBullet"/>
        <w:spacing w:after="40"/>
      </w:pPr>
      <w:r>
        <w:t>Duplicate/ownership conflict constrains route and assignment.</w:t>
      </w:r>
    </w:p>
    <w:p>
      <w:pPr>
        <w:pStyle w:val="ListBullet"/>
        <w:spacing w:after="40"/>
      </w:pPr>
      <w:r>
        <w:t>Capacity constrains immediate-action volume.</w:t>
      </w:r>
    </w:p>
    <w:p>
      <w:pPr>
        <w:pStyle w:val="ListBullet"/>
        <w:spacing w:after="40"/>
      </w:pPr>
      <w:r>
        <w:t>Priority rationale must be understandable by a Director in seconds.</w:t>
      </w:r>
    </w:p>
    <w:p>
      <w:pPr>
        <w:pStyle w:val="ListBullet"/>
        <w:spacing w:after="40"/>
      </w:pPr>
      <w:r>
        <w:t>Do not manufacture exact numerical precision when material evidence remains unresolved.</w:t>
      </w:r>
    </w:p>
    <w:p>
      <w:pPr>
        <w:pStyle w:val="ListBullet"/>
        <w:spacing w:after="40"/>
      </w:pPr>
      <w:r>
        <w:t>Detailed scoring components/weights remain owned by the dedicated Scoring/Prioritization Engine.</w:t>
      </w:r>
    </w:p>
    <w:p>
      <w:pPr>
        <w:pStyle w:val="Heading1"/>
      </w:pPr>
      <w:r>
        <w:t>22. Buyer &amp; Contact Verification Contract</w:t>
      </w:r>
    </w:p>
    <w:p>
      <w:pPr>
        <w:pStyle w:val="ListBullet"/>
        <w:spacing w:after="40"/>
      </w:pPr>
      <w:r>
        <w:t>Buyer selection follows GAP ownership/relevance, not seniority by default.</w:t>
      </w:r>
    </w:p>
    <w:p>
      <w:pPr>
        <w:pStyle w:val="ListBullet"/>
        <w:spacing w:after="40"/>
      </w:pPr>
      <w:r>
        <w:t>A verified role is not the same as a verified person.</w:t>
      </w:r>
    </w:p>
    <w:p>
      <w:pPr>
        <w:pStyle w:val="ListBullet"/>
        <w:spacing w:after="40"/>
      </w:pPr>
      <w:r>
        <w:t>Before nominal personalization verify current employment, role, scope and recency to a reasonable evidence standard.</w:t>
      </w:r>
    </w:p>
    <w:p>
      <w:pPr>
        <w:pStyle w:val="ListBullet"/>
        <w:spacing w:after="40"/>
      </w:pPr>
      <w:r>
        <w:t>If person verification fails, retain the account and Buyer role but block nominal direct outreach.</w:t>
      </w:r>
    </w:p>
    <w:p>
      <w:pPr>
        <w:pStyle w:val="ListBullet"/>
        <w:spacing w:after="40"/>
      </w:pPr>
      <w:r>
        <w:t>Never invent contact details or present inferred emails/phones as verified.</w:t>
      </w:r>
    </w:p>
    <w:p>
      <w:pPr>
        <w:pStyle w:val="ListBullet"/>
        <w:spacing w:after="40"/>
      </w:pPr>
      <w:r>
        <w:t>Account-level ABM or Nurture may proceed when direct-person outreach is blocked.</w:t>
      </w:r>
    </w:p>
    <w:p>
      <w:pPr>
        <w:pStyle w:val="Heading1"/>
      </w:pPr>
      <w:r>
        <w:t>23. Routing Authority Contract</w:t>
      </w:r>
    </w:p>
    <w:tbl>
      <w:tblPr>
        <w:tblStyle w:val="TableGrid"/>
        <w:tblW w:type="auto" w:w="0"/>
        <w:jc w:val="center"/>
        <w:tblLook w:firstColumn="1" w:firstRow="1" w:lastColumn="0" w:lastRow="0" w:noHBand="0" w:noVBand="1" w:val="04A0"/>
      </w:tblPr>
      <w:tblGrid>
        <w:gridCol w:w="4997"/>
        <w:gridCol w:w="4997"/>
      </w:tblGrid>
      <w:tr>
        <w:tc>
          <w:tcPr>
            <w:tcW w:type="dxa" w:w="6768"/>
            <w:shd w:fill="D9EAF7"/>
            <w:tcMar>
              <w:top w:w="80" w:type="dxa"/>
              <w:bottom w:w="80" w:type="dxa"/>
              <w:start w:w="100" w:type="dxa"/>
              <w:end w:w="100" w:type="dxa"/>
            </w:tcMar>
          </w:tcPr>
          <w:p>
            <w:r>
              <w:rPr>
                <w:b/>
              </w:rPr>
              <w:t>Condition</w:t>
            </w:r>
          </w:p>
        </w:tc>
        <w:tc>
          <w:tcPr>
            <w:tcW w:type="dxa" w:w="2880"/>
            <w:shd w:fill="D9EAF7"/>
            <w:tcMar>
              <w:top w:w="80" w:type="dxa"/>
              <w:bottom w:w="80" w:type="dxa"/>
              <w:start w:w="100" w:type="dxa"/>
              <w:end w:w="100" w:type="dxa"/>
            </w:tcMar>
          </w:tcPr>
          <w:p>
            <w:r>
              <w:rPr>
                <w:b/>
              </w:rPr>
              <w:t>Default route tendency</w:t>
            </w:r>
          </w:p>
        </w:tc>
      </w:tr>
      <w:tr>
        <w:tc>
          <w:tcPr>
            <w:tcW w:type="dxa" w:w="6768"/>
            <w:vAlign w:val="top"/>
            <w:tcMar>
              <w:top w:w="80" w:type="dxa"/>
              <w:bottom w:w="80" w:type="dxa"/>
              <w:start w:w="100" w:type="dxa"/>
              <w:end w:w="100" w:type="dxa"/>
            </w:tcMar>
          </w:tcPr>
          <w:p>
            <w:r>
              <w:t>Fresh signal + strong ICP + defensible GAP + verified/accessible Buyer</w:t>
            </w:r>
          </w:p>
        </w:tc>
        <w:tc>
          <w:tcPr>
            <w:tcW w:type="dxa" w:w="2880"/>
            <w:vAlign w:val="top"/>
            <w:tcMar>
              <w:top w:w="80" w:type="dxa"/>
              <w:bottom w:w="80" w:type="dxa"/>
              <w:start w:w="100" w:type="dxa"/>
              <w:end w:w="100" w:type="dxa"/>
            </w:tcMar>
          </w:tcPr>
          <w:p>
            <w:r>
              <w:t>HUNTING</w:t>
            </w:r>
          </w:p>
        </w:tc>
      </w:tr>
      <w:tr>
        <w:tc>
          <w:tcPr>
            <w:tcW w:type="dxa" w:w="6768"/>
            <w:vAlign w:val="top"/>
            <w:tcMar>
              <w:top w:w="80" w:type="dxa"/>
              <w:bottom w:w="80" w:type="dxa"/>
              <w:start w:w="100" w:type="dxa"/>
              <w:end w:w="100" w:type="dxa"/>
            </w:tcMar>
          </w:tcPr>
          <w:p>
            <w:r>
              <w:t>Strong ICP + weak/no current signal</w:t>
            </w:r>
          </w:p>
        </w:tc>
        <w:tc>
          <w:tcPr>
            <w:tcW w:type="dxa" w:w="2880"/>
            <w:vAlign w:val="top"/>
            <w:tcMar>
              <w:top w:w="80" w:type="dxa"/>
              <w:bottom w:w="80" w:type="dxa"/>
              <w:start w:w="100" w:type="dxa"/>
              <w:end w:w="100" w:type="dxa"/>
            </w:tcMar>
          </w:tcPr>
          <w:p>
            <w:r>
              <w:t>MARKETING / ABM or NURTURE</w:t>
            </w:r>
          </w:p>
        </w:tc>
      </w:tr>
      <w:tr>
        <w:tc>
          <w:tcPr>
            <w:tcW w:type="dxa" w:w="6768"/>
            <w:vAlign w:val="top"/>
            <w:tcMar>
              <w:top w:w="80" w:type="dxa"/>
              <w:bottom w:w="80" w:type="dxa"/>
              <w:start w:w="100" w:type="dxa"/>
              <w:end w:w="100" w:type="dxa"/>
            </w:tcMar>
          </w:tcPr>
          <w:p>
            <w:r>
              <w:t>Strong account thesis + Buyer not yet verified</w:t>
            </w:r>
          </w:p>
        </w:tc>
        <w:tc>
          <w:tcPr>
            <w:tcW w:type="dxa" w:w="2880"/>
            <w:vAlign w:val="top"/>
            <w:tcMar>
              <w:top w:w="80" w:type="dxa"/>
              <w:bottom w:w="80" w:type="dxa"/>
              <w:start w:w="100" w:type="dxa"/>
              <w:end w:w="100" w:type="dxa"/>
            </w:tcMar>
          </w:tcPr>
          <w:p>
            <w:r>
              <w:t>ABM / HOLD-RESEARCH / role-based research</w:t>
            </w:r>
          </w:p>
        </w:tc>
      </w:tr>
      <w:tr>
        <w:tc>
          <w:tcPr>
            <w:tcW w:type="dxa" w:w="6768"/>
            <w:vAlign w:val="top"/>
            <w:tcMar>
              <w:top w:w="80" w:type="dxa"/>
              <w:bottom w:w="80" w:type="dxa"/>
              <w:start w:w="100" w:type="dxa"/>
              <w:end w:w="100" w:type="dxa"/>
            </w:tcMar>
          </w:tcPr>
          <w:p>
            <w:r>
              <w:t>Existing customer + expansion/defense GAP</w:t>
            </w:r>
          </w:p>
        </w:tc>
        <w:tc>
          <w:tcPr>
            <w:tcW w:type="dxa" w:w="2880"/>
            <w:vAlign w:val="top"/>
            <w:tcMar>
              <w:top w:w="80" w:type="dxa"/>
              <w:bottom w:w="80" w:type="dxa"/>
              <w:start w:w="100" w:type="dxa"/>
              <w:end w:w="100" w:type="dxa"/>
            </w:tcMar>
          </w:tcPr>
          <w:p>
            <w:r>
              <w:t>KAM / ACCOUNT GROWTH</w:t>
            </w:r>
          </w:p>
        </w:tc>
      </w:tr>
      <w:tr>
        <w:tc>
          <w:tcPr>
            <w:tcW w:type="dxa" w:w="6768"/>
            <w:vAlign w:val="top"/>
            <w:tcMar>
              <w:top w:w="80" w:type="dxa"/>
              <w:bottom w:w="80" w:type="dxa"/>
              <w:start w:w="100" w:type="dxa"/>
              <w:end w:w="100" w:type="dxa"/>
            </w:tcMar>
          </w:tcPr>
          <w:p>
            <w:r>
              <w:t>Channel economics/market access favor indirect motion</w:t>
            </w:r>
          </w:p>
        </w:tc>
        <w:tc>
          <w:tcPr>
            <w:tcW w:type="dxa" w:w="2880"/>
            <w:vAlign w:val="top"/>
            <w:tcMar>
              <w:top w:w="80" w:type="dxa"/>
              <w:bottom w:w="80" w:type="dxa"/>
              <w:start w:w="100" w:type="dxa"/>
              <w:end w:w="100" w:type="dxa"/>
            </w:tcMar>
          </w:tcPr>
          <w:p>
            <w:r>
              <w:t>PARTNER / CHANNEL</w:t>
            </w:r>
          </w:p>
        </w:tc>
      </w:tr>
      <w:tr>
        <w:tc>
          <w:tcPr>
            <w:tcW w:type="dxa" w:w="6768"/>
            <w:vAlign w:val="top"/>
            <w:tcMar>
              <w:top w:w="80" w:type="dxa"/>
              <w:bottom w:w="80" w:type="dxa"/>
              <w:start w:w="100" w:type="dxa"/>
              <w:end w:w="100" w:type="dxa"/>
            </w:tcMar>
          </w:tcPr>
          <w:p>
            <w:r>
              <w:t>Critical evidence conflict unresolved</w:t>
            </w:r>
          </w:p>
        </w:tc>
        <w:tc>
          <w:tcPr>
            <w:tcW w:type="dxa" w:w="2880"/>
            <w:vAlign w:val="top"/>
            <w:tcMar>
              <w:top w:w="80" w:type="dxa"/>
              <w:bottom w:w="80" w:type="dxa"/>
              <w:start w:w="100" w:type="dxa"/>
              <w:end w:w="100" w:type="dxa"/>
            </w:tcMar>
          </w:tcPr>
          <w:p>
            <w:r>
              <w:t>HOLD-RESEARCH</w:t>
            </w:r>
          </w:p>
        </w:tc>
      </w:tr>
      <w:tr>
        <w:tc>
          <w:tcPr>
            <w:tcW w:type="dxa" w:w="6768"/>
            <w:vAlign w:val="top"/>
            <w:tcMar>
              <w:top w:w="80" w:type="dxa"/>
              <w:bottom w:w="80" w:type="dxa"/>
              <w:start w:w="100" w:type="dxa"/>
              <w:end w:w="100" w:type="dxa"/>
            </w:tcMar>
          </w:tcPr>
          <w:p>
            <w:r>
              <w:t>Weak fit or exclusion</w:t>
            </w:r>
          </w:p>
        </w:tc>
        <w:tc>
          <w:tcPr>
            <w:tcW w:type="dxa" w:w="2880"/>
            <w:vAlign w:val="top"/>
            <w:tcMar>
              <w:top w:w="80" w:type="dxa"/>
              <w:bottom w:w="80" w:type="dxa"/>
              <w:start w:w="100" w:type="dxa"/>
              <w:end w:w="100" w:type="dxa"/>
            </w:tcMar>
          </w:tcPr>
          <w:p>
            <w:r>
              <w:t>DISCARD</w:t>
            </w:r>
          </w:p>
        </w:tc>
      </w:tr>
    </w:tbl>
    <w:p/>
    <w:p>
      <w:pPr>
        <w:spacing w:after="100"/>
      </w:pPr>
      <w:r>
        <w:rPr>
          <w:b w:val="0"/>
        </w:rPr>
        <w:t>The Director may override routing with rationale. Original AI recommendation remains in history.</w:t>
      </w:r>
    </w:p>
    <w:p>
      <w:pPr>
        <w:pStyle w:val="Heading1"/>
      </w:pPr>
      <w:r>
        <w:t>24. Outreach Governance &amp; Compression Contract</w:t>
      </w:r>
    </w:p>
    <w:p>
      <w:pPr>
        <w:spacing w:after="100"/>
      </w:pPr>
      <w:r>
        <w:rPr>
          <w:b w:val="0"/>
        </w:rPr>
        <w:t>Outreach is downstream of evidence. It cannot become a creative-writing escape hatch from weak research.</w:t>
      </w:r>
    </w:p>
    <w:p>
      <w:pPr>
        <w:pStyle w:val="ListBullet"/>
        <w:spacing w:after="40"/>
      </w:pPr>
      <w:r>
        <w:t>No generic product pitch disguised as personalization.</w:t>
      </w:r>
    </w:p>
    <w:p>
      <w:pPr>
        <w:pStyle w:val="ListBullet"/>
        <w:spacing w:after="40"/>
      </w:pPr>
      <w:r>
        <w:t>No false familiarity, fabricated observation or invented urgency.</w:t>
      </w:r>
    </w:p>
    <w:p>
      <w:pPr>
        <w:pStyle w:val="ListBullet"/>
        <w:spacing w:after="40"/>
      </w:pPr>
      <w:r>
        <w:t>No unsupported neuroscience claims presented to the prospect.</w:t>
      </w:r>
    </w:p>
    <w:p>
      <w:pPr>
        <w:pStyle w:val="ListBullet"/>
        <w:spacing w:after="40"/>
      </w:pPr>
      <w:r>
        <w:t>Use observable context to reduce cognitive load and perceived threat: relevance, brevity, clarity, autonomy and low-friction next step.</w:t>
      </w:r>
    </w:p>
    <w:p>
      <w:pPr>
        <w:pStyle w:val="ListBullet"/>
        <w:spacing w:after="40"/>
      </w:pPr>
      <w:r>
        <w:t>OFC/ACC-inspired design is a communication heuristic, not a license to claim deterministic brain responses.</w:t>
      </w:r>
    </w:p>
    <w:p>
      <w:pPr>
        <w:pStyle w:val="ListBullet"/>
        <w:spacing w:after="40"/>
      </w:pPr>
      <w:r>
        <w:t>First CTA should normally be low friction: truth, permission, resource, relevance check or brief question.</w:t>
      </w:r>
    </w:p>
    <w:p>
      <w:pPr>
        <w:pStyle w:val="ListBullet"/>
        <w:spacing w:after="40"/>
      </w:pPr>
      <w:r>
        <w:t>Channel legality, appropriateness and consent expectations remain binding.</w:t>
      </w:r>
    </w:p>
    <w:p>
      <w:pPr>
        <w:pStyle w:val="Heading2"/>
      </w:pPr>
      <w:r>
        <w:t>Internal Intelligence / External Outreach Firewall</w:t>
      </w:r>
    </w:p>
    <w:p>
      <w:pPr>
        <w:pStyle w:val="ListBullet"/>
        <w:spacing w:after="40"/>
      </w:pPr>
      <w:r>
        <w:t>Internal records may contain full evidence chains, confidence, Red Team objections and explicit hypothesis labels.</w:t>
      </w:r>
    </w:p>
    <w:p>
      <w:pPr>
        <w:pStyle w:val="ListBullet"/>
        <w:spacing w:after="40"/>
      </w:pPr>
      <w:r>
        <w:t>External copy must not expose compliance scaffolding merely to prove methodological caution.</w:t>
      </w:r>
    </w:p>
    <w:p>
      <w:pPr>
        <w:pStyle w:val="ListBullet"/>
        <w:spacing w:after="40"/>
      </w:pPr>
      <w:r>
        <w:t>Do not mechanically write 'No asumo que tengan ese problema' when natural uncertainty can be expressed through a concise question.</w:t>
      </w:r>
    </w:p>
    <w:p>
      <w:pPr>
        <w:pStyle w:val="ListBullet"/>
        <w:spacing w:after="40"/>
      </w:pPr>
      <w:r>
        <w:t>External copy should preserve truth while removing unnecessary reasoning detail.</w:t>
      </w:r>
    </w:p>
    <w:p>
      <w:pPr>
        <w:pStyle w:val="Heading2"/>
      </w:pPr>
      <w:r>
        <w:t>Compression Gate</w:t>
      </w:r>
    </w:p>
    <w:p>
      <w:pPr>
        <w:pStyle w:val="ListBullet"/>
        <w:spacing w:after="40"/>
      </w:pPr>
      <w:r>
        <w:t>One observable trigger.</w:t>
      </w:r>
    </w:p>
    <w:p>
      <w:pPr>
        <w:pStyle w:val="ListBullet"/>
        <w:spacing w:after="40"/>
      </w:pPr>
      <w:r>
        <w:t>One useful tension or contrast.</w:t>
      </w:r>
    </w:p>
    <w:p>
      <w:pPr>
        <w:pStyle w:val="ListBullet"/>
        <w:spacing w:after="40"/>
      </w:pPr>
      <w:r>
        <w:t>One low-friction question/CTA.</w:t>
      </w:r>
    </w:p>
    <w:p>
      <w:pPr>
        <w:pStyle w:val="ListBullet"/>
        <w:spacing w:after="40"/>
      </w:pPr>
      <w:r>
        <w:t>Mobile-readable.</w:t>
      </w:r>
    </w:p>
    <w:p>
      <w:pPr>
        <w:pStyle w:val="ListBullet"/>
        <w:spacing w:after="40"/>
      </w:pPr>
      <w:r>
        <w:t>Human, concrete language.</w:t>
      </w:r>
    </w:p>
    <w:p>
      <w:pPr>
        <w:pStyle w:val="ListBullet"/>
        <w:spacing w:after="40"/>
      </w:pPr>
      <w:r>
        <w:t>No consultant-speak, methodology jargon or research dump.</w:t>
      </w:r>
    </w:p>
    <w:p>
      <w:pPr>
        <w:pStyle w:val="ListBullet"/>
        <w:spacing w:after="40"/>
      </w:pPr>
      <w:r>
        <w:t>If a shorter message preserves relevance and truth, prefer the shorter message.</w:t>
      </w:r>
    </w:p>
    <w:p>
      <w:pPr>
        <w:pStyle w:val="Heading1"/>
      </w:pPr>
      <w:r>
        <w:t>25. Weekly GOLD Pack Release Contract v1.3</w:t>
      </w:r>
    </w:p>
    <w:p>
      <w:pPr>
        <w:spacing w:after="100"/>
      </w:pPr>
      <w:r>
        <w:rPr>
          <w:b w:val="0"/>
        </w:rPr>
        <w:t>The Weekly GOLD Pack is the governed automatic release artifact. A validated weekly mission should not remain indefinitely in an intermediate status.</w:t>
      </w:r>
    </w:p>
    <w:tbl>
      <w:tblPr>
        <w:tblStyle w:val="TableGrid"/>
        <w:tblW w:type="auto" w:w="0"/>
        <w:jc w:val="center"/>
        <w:tblLook w:firstColumn="1" w:firstRow="1" w:lastColumn="0" w:lastRow="0" w:noHBand="0" w:noVBand="1" w:val="04A0"/>
      </w:tblPr>
      <w:tblGrid>
        <w:gridCol w:w="4997"/>
        <w:gridCol w:w="4997"/>
      </w:tblGrid>
      <w:tr>
        <w:tc>
          <w:tcPr>
            <w:tcW w:type="dxa" w:w="2448"/>
            <w:shd w:fill="D9EAF7"/>
            <w:tcMar>
              <w:top w:w="80" w:type="dxa"/>
              <w:bottom w:w="80" w:type="dxa"/>
              <w:start w:w="100" w:type="dxa"/>
              <w:end w:w="100" w:type="dxa"/>
            </w:tcMar>
          </w:tcPr>
          <w:p>
            <w:r>
              <w:rPr>
                <w:b/>
              </w:rPr>
              <w:t>Release status</w:t>
            </w:r>
          </w:p>
        </w:tc>
        <w:tc>
          <w:tcPr>
            <w:tcW w:type="dxa" w:w="7200"/>
            <w:shd w:fill="D9EAF7"/>
            <w:tcMar>
              <w:top w:w="80" w:type="dxa"/>
              <w:bottom w:w="80" w:type="dxa"/>
              <w:start w:w="100" w:type="dxa"/>
              <w:end w:w="100" w:type="dxa"/>
            </w:tcMar>
          </w:tcPr>
          <w:p>
            <w:r>
              <w:rPr>
                <w:b/>
              </w:rPr>
              <w:t>Meaning</w:t>
            </w:r>
          </w:p>
        </w:tc>
      </w:tr>
      <w:tr>
        <w:tc>
          <w:tcPr>
            <w:tcW w:type="dxa" w:w="2448"/>
            <w:vAlign w:val="top"/>
            <w:tcMar>
              <w:top w:w="80" w:type="dxa"/>
              <w:bottom w:w="80" w:type="dxa"/>
              <w:start w:w="100" w:type="dxa"/>
              <w:end w:w="100" w:type="dxa"/>
            </w:tcMar>
          </w:tcPr>
          <w:p>
            <w:r>
              <w:t>PASS</w:t>
            </w:r>
          </w:p>
        </w:tc>
        <w:tc>
          <w:tcPr>
            <w:tcW w:type="dxa" w:w="7200"/>
            <w:vAlign w:val="top"/>
            <w:tcMar>
              <w:top w:w="80" w:type="dxa"/>
              <w:bottom w:w="80" w:type="dxa"/>
              <w:start w:w="100" w:type="dxa"/>
              <w:end w:w="100" w:type="dxa"/>
            </w:tcMar>
          </w:tcPr>
          <w:p>
            <w:r>
              <w:t>Required stages and critical gates completed; pack auto-releases.</w:t>
            </w:r>
          </w:p>
        </w:tc>
      </w:tr>
      <w:tr>
        <w:tc>
          <w:tcPr>
            <w:tcW w:type="dxa" w:w="2448"/>
            <w:vAlign w:val="top"/>
            <w:tcMar>
              <w:top w:w="80" w:type="dxa"/>
              <w:bottom w:w="80" w:type="dxa"/>
              <w:start w:w="100" w:type="dxa"/>
              <w:end w:w="100" w:type="dxa"/>
            </w:tcMar>
          </w:tcPr>
          <w:p>
            <w:r>
              <w:t>PASS WITH EXCEPTIONS</w:t>
            </w:r>
          </w:p>
        </w:tc>
        <w:tc>
          <w:tcPr>
            <w:tcW w:type="dxa" w:w="7200"/>
            <w:vAlign w:val="top"/>
            <w:tcMar>
              <w:top w:w="80" w:type="dxa"/>
              <w:bottom w:w="80" w:type="dxa"/>
              <w:start w:w="100" w:type="dxa"/>
              <w:end w:w="100" w:type="dxa"/>
            </w:tcMar>
          </w:tcPr>
          <w:p>
            <w:r>
              <w:t>Pack releases, but specific accounts/routes are visibly downgraded, withheld or blocked.</w:t>
            </w:r>
          </w:p>
        </w:tc>
      </w:tr>
      <w:tr>
        <w:tc>
          <w:tcPr>
            <w:tcW w:type="dxa" w:w="2448"/>
            <w:vAlign w:val="top"/>
            <w:tcMar>
              <w:top w:w="80" w:type="dxa"/>
              <w:bottom w:w="80" w:type="dxa"/>
              <w:start w:w="100" w:type="dxa"/>
              <w:end w:w="100" w:type="dxa"/>
            </w:tcMar>
          </w:tcPr>
          <w:p>
            <w:r>
              <w:t>FAIL</w:t>
            </w:r>
          </w:p>
        </w:tc>
        <w:tc>
          <w:tcPr>
            <w:tcW w:type="dxa" w:w="7200"/>
            <w:vAlign w:val="top"/>
            <w:tcMar>
              <w:top w:w="80" w:type="dxa"/>
              <w:bottom w:w="80" w:type="dxa"/>
              <w:start w:w="100" w:type="dxa"/>
              <w:end w:w="100" w:type="dxa"/>
            </w:tcMar>
          </w:tcPr>
          <w:p>
            <w:r>
              <w:t>Critical systemic workflow integrity missing; no complete pack may be represented as validated.</w:t>
            </w:r>
          </w:p>
        </w:tc>
      </w:tr>
    </w:tbl>
    <w:p/>
    <w:p>
      <w:pPr>
        <w:pStyle w:val="Heading2"/>
      </w:pPr>
      <w:r>
        <w:t>Required Pack Sections</w:t>
      </w:r>
    </w:p>
    <w:p>
      <w:pPr>
        <w:pStyle w:val="ListBullet"/>
        <w:spacing w:after="40"/>
      </w:pPr>
      <w:r>
        <w:t>Commercial Bet of the Week.</w:t>
      </w:r>
    </w:p>
    <w:p>
      <w:pPr>
        <w:pStyle w:val="ListBullet"/>
        <w:spacing w:after="40"/>
      </w:pPr>
      <w:r>
        <w:t>Executive routing/capacity summary.</w:t>
      </w:r>
    </w:p>
    <w:p>
      <w:pPr>
        <w:pStyle w:val="ListBullet"/>
        <w:spacing w:after="40"/>
      </w:pPr>
      <w:r>
        <w:t>Released opportunities by route.</w:t>
      </w:r>
    </w:p>
    <w:p>
      <w:pPr>
        <w:pStyle w:val="ListBullet"/>
        <w:spacing w:after="40"/>
      </w:pPr>
      <w:r>
        <w:t>For each action: who does what, Why Now, Buyer, GAP hypothesis, evidence, confidence, what NOT to assert, channel, outreach/ABM/nurture action, next step and learning outcome to capture.</w:t>
      </w:r>
    </w:p>
    <w:p>
      <w:pPr>
        <w:pStyle w:val="ListBullet"/>
        <w:spacing w:after="40"/>
      </w:pPr>
      <w:r>
        <w:t>Accounts/routes intentionally withheld and why.</w:t>
      </w:r>
    </w:p>
    <w:p>
      <w:pPr>
        <w:pStyle w:val="ListBullet"/>
        <w:spacing w:after="40"/>
      </w:pPr>
      <w:r>
        <w:t>CRM/ownership, Buyer verification or research limitations.</w:t>
      </w:r>
    </w:p>
    <w:p>
      <w:pPr>
        <w:pStyle w:val="ListBullet"/>
        <w:spacing w:after="40"/>
      </w:pPr>
      <w:r>
        <w:t>KAM/Account Growth explicitly marked non-executable when customer/whitespace data is absent.</w:t>
      </w:r>
    </w:p>
    <w:p>
      <w:pPr>
        <w:pStyle w:val="Heading2"/>
      </w:pPr>
      <w:r>
        <w:t>Automatic Closure Rule</w:t>
      </w:r>
    </w:p>
    <w:p>
      <w:pPr>
        <w:spacing w:after="100"/>
      </w:pPr>
      <w:r>
        <w:rPr>
          <w:b w:val="0"/>
        </w:rPr>
        <w:t>When upstream prerequisites and release gates pass, the Orchestrator MUST transition to Weekly GOLD Pack and close the mission. It must not stop at 'ready for the next step' or require another generic 'Adelante' merely to trigger packaging.</w:t>
      </w:r>
    </w:p>
    <w:p>
      <w:pPr>
        <w:pStyle w:val="Heading1"/>
      </w:pPr>
      <w:r>
        <w:t>26. Assignment Lock Contract</w:t>
      </w:r>
    </w:p>
    <w:tbl>
      <w:tblPr>
        <w:tblStyle w:val="TableGrid"/>
        <w:tblW w:type="auto" w:w="0"/>
        <w:jc w:val="center"/>
        <w:tblLook w:firstColumn="1" w:firstRow="1" w:lastColumn="0" w:lastRow="0" w:noHBand="0" w:noVBand="1" w:val="04A0"/>
      </w:tblPr>
      <w:tblGrid>
        <w:gridCol w:w="4997"/>
        <w:gridCol w:w="4997"/>
      </w:tblGrid>
      <w:tr>
        <w:tc>
          <w:tcPr>
            <w:tcW w:type="dxa" w:w="4896"/>
            <w:shd w:fill="D9EAF7"/>
            <w:tcMar>
              <w:top w:w="80" w:type="dxa"/>
              <w:bottom w:w="80" w:type="dxa"/>
              <w:start w:w="100" w:type="dxa"/>
              <w:end w:w="100" w:type="dxa"/>
            </w:tcMar>
          </w:tcPr>
          <w:p>
            <w:r>
              <w:rPr>
                <w:b/>
              </w:rPr>
              <w:t>Locked at assignment</w:t>
            </w:r>
          </w:p>
        </w:tc>
        <w:tc>
          <w:tcPr>
            <w:tcW w:type="dxa" w:w="4896"/>
            <w:shd w:fill="D9EAF7"/>
            <w:tcMar>
              <w:top w:w="80" w:type="dxa"/>
              <w:bottom w:w="80" w:type="dxa"/>
              <w:start w:w="100" w:type="dxa"/>
              <w:end w:w="100" w:type="dxa"/>
            </w:tcMar>
          </w:tcPr>
          <w:p>
            <w:r>
              <w:rPr>
                <w:b/>
              </w:rPr>
              <w:t>May be appended later</w:t>
            </w:r>
          </w:p>
        </w:tc>
      </w:tr>
      <w:tr>
        <w:tc>
          <w:tcPr>
            <w:tcW w:type="dxa" w:w="4896"/>
            <w:vAlign w:val="top"/>
            <w:tcMar>
              <w:top w:w="80" w:type="dxa"/>
              <w:bottom w:w="80" w:type="dxa"/>
              <w:start w:w="100" w:type="dxa"/>
              <w:end w:w="100" w:type="dxa"/>
            </w:tcMar>
          </w:tcPr>
          <w:p>
            <w:r>
              <w:t>Account identity</w:t>
            </w:r>
          </w:p>
        </w:tc>
        <w:tc>
          <w:tcPr>
            <w:tcW w:type="dxa" w:w="4896"/>
            <w:vAlign w:val="top"/>
            <w:tcMar>
              <w:top w:w="80" w:type="dxa"/>
              <w:bottom w:w="80" w:type="dxa"/>
              <w:start w:w="100" w:type="dxa"/>
              <w:end w:w="100" w:type="dxa"/>
            </w:tcMar>
          </w:tcPr>
          <w:p>
            <w:r>
              <w:t>New evidence</w:t>
            </w:r>
          </w:p>
        </w:tc>
      </w:tr>
      <w:tr>
        <w:tc>
          <w:tcPr>
            <w:tcW w:type="dxa" w:w="4896"/>
            <w:vAlign w:val="top"/>
            <w:tcMar>
              <w:top w:w="80" w:type="dxa"/>
              <w:bottom w:w="80" w:type="dxa"/>
              <w:start w:w="100" w:type="dxa"/>
              <w:end w:w="100" w:type="dxa"/>
            </w:tcMar>
          </w:tcPr>
          <w:p>
            <w:r>
              <w:t>Evidence known at assignment</w:t>
            </w:r>
          </w:p>
        </w:tc>
        <w:tc>
          <w:tcPr>
            <w:tcW w:type="dxa" w:w="4896"/>
            <w:vAlign w:val="top"/>
            <w:tcMar>
              <w:top w:w="80" w:type="dxa"/>
              <w:bottom w:w="80" w:type="dxa"/>
              <w:start w:w="100" w:type="dxa"/>
              <w:end w:w="100" w:type="dxa"/>
            </w:tcMar>
          </w:tcPr>
          <w:p>
            <w:r>
              <w:t>New contacts</w:t>
            </w:r>
          </w:p>
        </w:tc>
      </w:tr>
      <w:tr>
        <w:tc>
          <w:tcPr>
            <w:tcW w:type="dxa" w:w="4896"/>
            <w:vAlign w:val="top"/>
            <w:tcMar>
              <w:top w:w="80" w:type="dxa"/>
              <w:bottom w:w="80" w:type="dxa"/>
              <w:start w:w="100" w:type="dxa"/>
              <w:end w:w="100" w:type="dxa"/>
            </w:tcMar>
          </w:tcPr>
          <w:p>
            <w:r>
              <w:t>Why Now</w:t>
            </w:r>
          </w:p>
        </w:tc>
        <w:tc>
          <w:tcPr>
            <w:tcW w:type="dxa" w:w="4896"/>
            <w:vAlign w:val="top"/>
            <w:tcMar>
              <w:top w:w="80" w:type="dxa"/>
              <w:bottom w:w="80" w:type="dxa"/>
              <w:start w:w="100" w:type="dxa"/>
              <w:end w:w="100" w:type="dxa"/>
            </w:tcMar>
          </w:tcPr>
          <w:p>
            <w:r>
              <w:t>Execution activity</w:t>
            </w:r>
          </w:p>
        </w:tc>
      </w:tr>
      <w:tr>
        <w:tc>
          <w:tcPr>
            <w:tcW w:type="dxa" w:w="4896"/>
            <w:vAlign w:val="top"/>
            <w:tcMar>
              <w:top w:w="80" w:type="dxa"/>
              <w:bottom w:w="80" w:type="dxa"/>
              <w:start w:w="100" w:type="dxa"/>
              <w:end w:w="100" w:type="dxa"/>
            </w:tcMar>
          </w:tcPr>
          <w:p>
            <w:r>
              <w:t>GAP hypothesis</w:t>
            </w:r>
          </w:p>
        </w:tc>
        <w:tc>
          <w:tcPr>
            <w:tcW w:type="dxa" w:w="4896"/>
            <w:vAlign w:val="top"/>
            <w:tcMar>
              <w:top w:w="80" w:type="dxa"/>
              <w:bottom w:w="80" w:type="dxa"/>
              <w:start w:w="100" w:type="dxa"/>
              <w:end w:w="100" w:type="dxa"/>
            </w:tcMar>
          </w:tcPr>
          <w:p>
            <w:r>
              <w:t>Outcome</w:t>
            </w:r>
          </w:p>
        </w:tc>
      </w:tr>
      <w:tr>
        <w:tc>
          <w:tcPr>
            <w:tcW w:type="dxa" w:w="4896"/>
            <w:vAlign w:val="top"/>
            <w:tcMar>
              <w:top w:w="80" w:type="dxa"/>
              <w:bottom w:w="80" w:type="dxa"/>
              <w:start w:w="100" w:type="dxa"/>
              <w:end w:w="100" w:type="dxa"/>
            </w:tcMar>
          </w:tcPr>
          <w:p>
            <w:r>
              <w:t>Buyer role/person if verified</w:t>
            </w:r>
          </w:p>
        </w:tc>
        <w:tc>
          <w:tcPr>
            <w:tcW w:type="dxa" w:w="4896"/>
            <w:vAlign w:val="top"/>
            <w:tcMar>
              <w:top w:w="80" w:type="dxa"/>
              <w:bottom w:w="80" w:type="dxa"/>
              <w:start w:w="100" w:type="dxa"/>
              <w:end w:w="100" w:type="dxa"/>
            </w:tcMar>
          </w:tcPr>
          <w:p>
            <w:r>
              <w:t>Changed conditions</w:t>
            </w:r>
          </w:p>
        </w:tc>
      </w:tr>
      <w:tr>
        <w:tc>
          <w:tcPr>
            <w:tcW w:type="dxa" w:w="4896"/>
            <w:vAlign w:val="top"/>
            <w:tcMar>
              <w:top w:w="80" w:type="dxa"/>
              <w:bottom w:w="80" w:type="dxa"/>
              <w:start w:w="100" w:type="dxa"/>
              <w:end w:w="100" w:type="dxa"/>
            </w:tcMar>
          </w:tcPr>
          <w:p>
            <w:r>
              <w:t>Confidence</w:t>
            </w:r>
          </w:p>
        </w:tc>
        <w:tc>
          <w:tcPr>
            <w:tcW w:type="dxa" w:w="4896"/>
            <w:vAlign w:val="top"/>
            <w:tcMar>
              <w:top w:w="80" w:type="dxa"/>
              <w:bottom w:w="80" w:type="dxa"/>
              <w:start w:w="100" w:type="dxa"/>
              <w:end w:w="100" w:type="dxa"/>
            </w:tcMar>
          </w:tcPr>
          <w:p>
            <w:r>
              <w:t>Director notes</w:t>
            </w:r>
          </w:p>
        </w:tc>
      </w:tr>
      <w:tr>
        <w:tc>
          <w:tcPr>
            <w:tcW w:type="dxa" w:w="4896"/>
            <w:vAlign w:val="top"/>
            <w:tcMar>
              <w:top w:w="80" w:type="dxa"/>
              <w:bottom w:w="80" w:type="dxa"/>
              <w:start w:w="100" w:type="dxa"/>
              <w:end w:w="100" w:type="dxa"/>
            </w:tcMar>
          </w:tcPr>
          <w:p>
            <w:r>
              <w:t>Recommended route</w:t>
            </w:r>
          </w:p>
        </w:tc>
        <w:tc>
          <w:tcPr>
            <w:tcW w:type="dxa" w:w="4896"/>
            <w:vAlign w:val="top"/>
            <w:tcMar>
              <w:top w:w="80" w:type="dxa"/>
              <w:bottom w:w="80" w:type="dxa"/>
              <w:start w:w="100" w:type="dxa"/>
              <w:end w:w="100" w:type="dxa"/>
            </w:tcMar>
          </w:tcPr>
          <w:p>
            <w:r>
              <w:t>Learning tags</w:t>
            </w:r>
          </w:p>
        </w:tc>
      </w:tr>
      <w:tr>
        <w:tc>
          <w:tcPr>
            <w:tcW w:type="dxa" w:w="4896"/>
            <w:vAlign w:val="top"/>
            <w:tcMar>
              <w:top w:w="80" w:type="dxa"/>
              <w:bottom w:w="80" w:type="dxa"/>
              <w:start w:w="100" w:type="dxa"/>
              <w:end w:w="100" w:type="dxa"/>
            </w:tcMar>
          </w:tcPr>
          <w:p>
            <w:r>
              <w:t>Recommended next action</w:t>
            </w:r>
          </w:p>
        </w:tc>
        <w:tc>
          <w:tcPr>
            <w:tcW w:type="dxa" w:w="4896"/>
            <w:vAlign w:val="top"/>
            <w:tcMar>
              <w:top w:w="80" w:type="dxa"/>
              <w:bottom w:w="80" w:type="dxa"/>
              <w:start w:w="100" w:type="dxa"/>
              <w:end w:w="100" w:type="dxa"/>
            </w:tcMar>
          </w:tcPr>
          <w:p>
            <w:r>
              <w:t>New version if strategy materially changes</w:t>
            </w:r>
          </w:p>
        </w:tc>
      </w:tr>
      <w:tr>
        <w:tc>
          <w:tcPr>
            <w:tcW w:type="dxa" w:w="4896"/>
            <w:vAlign w:val="top"/>
            <w:tcMar>
              <w:top w:w="80" w:type="dxa"/>
              <w:bottom w:w="80" w:type="dxa"/>
              <w:start w:w="100" w:type="dxa"/>
              <w:end w:w="100" w:type="dxa"/>
            </w:tcMar>
          </w:tcPr>
          <w:p>
            <w:r>
              <w:t>AI rationale</w:t>
            </w:r>
          </w:p>
        </w:tc>
        <w:tc>
          <w:tcPr>
            <w:tcW w:type="dxa" w:w="4896"/>
            <w:vAlign w:val="top"/>
            <w:tcMar>
              <w:top w:w="80" w:type="dxa"/>
              <w:bottom w:w="80" w:type="dxa"/>
              <w:start w:w="100" w:type="dxa"/>
              <w:end w:w="100" w:type="dxa"/>
            </w:tcMar>
          </w:tcPr>
          <w:p>
            <w:r/>
          </w:p>
        </w:tc>
      </w:tr>
      <w:tr>
        <w:tc>
          <w:tcPr>
            <w:tcW w:type="dxa" w:w="4997"/>
          </w:tcPr>
          <w:p>
            <w:r>
              <w:t>Participant company UNKNOWN</w:t>
            </w:r>
          </w:p>
        </w:tc>
        <w:tc>
          <w:tcPr>
            <w:tcW w:type="dxa" w:w="4997"/>
          </w:tcPr>
          <w:p>
            <w:r>
              <w:t>Return to Participant Identity &amp; Battlefield Gate; ask company name or website only if current-session evidence cannot resolve it. Account Discovery blocked.</w:t>
            </w:r>
          </w:p>
        </w:tc>
      </w:tr>
      <w:tr>
        <w:tc>
          <w:tcPr>
            <w:tcW w:type="dxa" w:w="4997"/>
          </w:tcPr>
          <w:p>
            <w:r>
              <w:t>Battlefield UNKNOWN</w:t>
            </w:r>
          </w:p>
        </w:tc>
        <w:tc>
          <w:tcPr>
            <w:tcW w:type="dxa" w:w="4997"/>
          </w:tcPr>
          <w:p>
            <w:r>
              <w:t>Ask/resolve country, region or territory. Prescription, Account Discovery and weekly release blocked until established.</w:t>
            </w:r>
          </w:p>
        </w:tc>
      </w:tr>
      <w:tr>
        <w:tc>
          <w:tcPr>
            <w:tcW w:type="dxa" w:w="4997"/>
          </w:tcPr>
          <w:p>
            <w:r>
              <w:t>Creator/participant collision detected</w:t>
            </w:r>
          </w:p>
        </w:tc>
        <w:tc>
          <w:tcPr>
            <w:tcW w:type="dxa" w:w="4997"/>
          </w:tcPr>
          <w:p>
            <w:r>
              <w:t>Discard inherited creator/default/test identity and downstream outputs derived from it; return to Participant Identity &amp; Battlefield Gate.</w:t>
            </w:r>
          </w:p>
        </w:tc>
      </w:tr>
      <w:tr>
        <w:tc>
          <w:tcPr>
            <w:tcW w:type="dxa" w:w="4997"/>
          </w:tcPr>
          <w:p>
            <w:r>
              <w:t>False continuation / premature turn end</w:t>
            </w:r>
          </w:p>
        </w:tc>
        <w:tc>
          <w:tcPr>
            <w:tcW w:type="dxa" w:w="4997"/>
          </w:tcPr>
          <w:p>
            <w:r>
              <w:t>Resume immediately from the current valid state and execute all remaining researchable stages through Weekly GOLD Pack. Do not ask for another 'Adelante'.</w:t>
            </w:r>
          </w:p>
        </w:tc>
      </w:tr>
      <w:tr>
        <w:tc>
          <w:tcPr>
            <w:tcW w:type="dxa" w:w="4997"/>
          </w:tcPr>
          <w:p>
            <w:r>
              <w:t>Internal CRM/DNC/ownership unavailable</w:t>
            </w:r>
          </w:p>
        </w:tc>
        <w:tc>
          <w:tcPr>
            <w:tcW w:type="dxa" w:w="4997"/>
          </w:tcPr>
          <w:p>
            <w:r>
              <w:t>Continue all public/researchable work; mark affected accounts CHECK REQUIRED/HOLD. Do not terminate the entire weekly mission.</w:t>
            </w:r>
          </w:p>
        </w:tc>
      </w:tr>
      <w:tr>
        <w:tc>
          <w:tcPr>
            <w:tcW w:type="dxa" w:w="4997"/>
          </w:tcPr>
          <w:p>
            <w:r>
              <w:t>Actual tool/runtime limit</w:t>
            </w:r>
          </w:p>
        </w:tc>
        <w:tc>
          <w:tcPr>
            <w:tcW w:type="dxa" w:w="4997"/>
          </w:tcPr>
          <w:p>
            <w:r>
              <w:t>State the concrete limitation, completed states and pending states. This is the only non-human technical reason to stop before Weekly GOLD Pack.</w:t>
            </w:r>
          </w:p>
        </w:tc>
      </w:tr>
    </w:tbl>
    <w:p/>
    <w:p>
      <w:pPr>
        <w:spacing w:after="100"/>
      </w:pPr>
      <w:r>
        <w:rPr>
          <w:b w:val="0"/>
        </w:rPr>
        <w:t>This separation is essential for evaluating whether the AI selected the right account and whether the team executed well.</w:t>
      </w:r>
    </w:p>
    <w:p>
      <w:pPr>
        <w:pStyle w:val="Heading1"/>
      </w:pPr>
      <w:r>
        <w:t>27. Outcome Attribution Contract</w:t>
      </w:r>
    </w:p>
    <w:tbl>
      <w:tblPr>
        <w:tblStyle w:val="TableGrid"/>
        <w:tblW w:type="auto" w:w="0"/>
        <w:jc w:val="center"/>
        <w:tblLook w:firstColumn="1" w:firstRow="1" w:lastColumn="0" w:lastRow="0" w:noHBand="0" w:noVBand="1" w:val="04A0"/>
      </w:tblPr>
      <w:tblGrid>
        <w:gridCol w:w="4997"/>
        <w:gridCol w:w="4997"/>
      </w:tblGrid>
      <w:tr>
        <w:tc>
          <w:tcPr>
            <w:tcW w:type="dxa" w:w="2160"/>
            <w:shd w:fill="D9EAF7"/>
            <w:tcMar>
              <w:top w:w="80" w:type="dxa"/>
              <w:bottom w:w="80" w:type="dxa"/>
              <w:start w:w="100" w:type="dxa"/>
              <w:end w:w="100" w:type="dxa"/>
            </w:tcMar>
          </w:tcPr>
          <w:p>
            <w:r>
              <w:rPr>
                <w:b/>
              </w:rPr>
              <w:t>Dimension</w:t>
            </w:r>
          </w:p>
        </w:tc>
        <w:tc>
          <w:tcPr>
            <w:tcW w:type="dxa" w:w="7632"/>
            <w:shd w:fill="D9EAF7"/>
            <w:tcMar>
              <w:top w:w="80" w:type="dxa"/>
              <w:bottom w:w="80" w:type="dxa"/>
              <w:start w:w="100" w:type="dxa"/>
              <w:end w:w="100" w:type="dxa"/>
            </w:tcMar>
          </w:tcPr>
          <w:p>
            <w:r>
              <w:rPr>
                <w:b/>
              </w:rPr>
              <w:t>Example signals</w:t>
            </w:r>
          </w:p>
        </w:tc>
      </w:tr>
      <w:tr>
        <w:tc>
          <w:tcPr>
            <w:tcW w:type="dxa" w:w="2160"/>
            <w:vAlign w:val="top"/>
            <w:tcMar>
              <w:top w:w="80" w:type="dxa"/>
              <w:bottom w:w="80" w:type="dxa"/>
              <w:start w:w="100" w:type="dxa"/>
              <w:end w:w="100" w:type="dxa"/>
            </w:tcMar>
          </w:tcPr>
          <w:p>
            <w:r>
              <w:t>Account Quality</w:t>
            </w:r>
          </w:p>
        </w:tc>
        <w:tc>
          <w:tcPr>
            <w:tcW w:type="dxa" w:w="7632"/>
            <w:vAlign w:val="top"/>
            <w:tcMar>
              <w:top w:w="80" w:type="dxa"/>
              <w:bottom w:w="80" w:type="dxa"/>
              <w:start w:w="100" w:type="dxa"/>
              <w:end w:w="100" w:type="dxa"/>
            </w:tcMar>
          </w:tcPr>
          <w:p>
            <w:r>
              <w:t>ICP fit, signal quality, GAP plausibility, Buyer relevance, timing.</w:t>
            </w:r>
          </w:p>
        </w:tc>
      </w:tr>
      <w:tr>
        <w:tc>
          <w:tcPr>
            <w:tcW w:type="dxa" w:w="2160"/>
            <w:vAlign w:val="top"/>
            <w:tcMar>
              <w:top w:w="80" w:type="dxa"/>
              <w:bottom w:w="80" w:type="dxa"/>
              <w:start w:w="100" w:type="dxa"/>
              <w:end w:w="100" w:type="dxa"/>
            </w:tcMar>
          </w:tcPr>
          <w:p>
            <w:r>
              <w:t>Execution Quality</w:t>
            </w:r>
          </w:p>
        </w:tc>
        <w:tc>
          <w:tcPr>
            <w:tcW w:type="dxa" w:w="7632"/>
            <w:vAlign w:val="top"/>
            <w:tcMar>
              <w:top w:w="80" w:type="dxa"/>
              <w:bottom w:w="80" w:type="dxa"/>
              <w:start w:w="100" w:type="dxa"/>
              <w:end w:w="100" w:type="dxa"/>
            </w:tcMar>
          </w:tcPr>
          <w:p>
            <w:r>
              <w:t>Was contacted, speed, cadence, channel, message adherence, discovery quality, follow-up.</w:t>
            </w:r>
          </w:p>
        </w:tc>
      </w:tr>
      <w:tr>
        <w:tc>
          <w:tcPr>
            <w:tcW w:type="dxa" w:w="2160"/>
            <w:vAlign w:val="top"/>
            <w:tcMar>
              <w:top w:w="80" w:type="dxa"/>
              <w:bottom w:w="80" w:type="dxa"/>
              <w:start w:w="100" w:type="dxa"/>
              <w:end w:w="100" w:type="dxa"/>
            </w:tcMar>
          </w:tcPr>
          <w:p>
            <w:r>
              <w:t>Outcome</w:t>
            </w:r>
          </w:p>
        </w:tc>
        <w:tc>
          <w:tcPr>
            <w:tcW w:type="dxa" w:w="7632"/>
            <w:vAlign w:val="top"/>
            <w:tcMar>
              <w:top w:w="80" w:type="dxa"/>
              <w:bottom w:w="80" w:type="dxa"/>
              <w:start w:w="100" w:type="dxa"/>
              <w:end w:w="100" w:type="dxa"/>
            </w:tcMar>
          </w:tcPr>
          <w:p>
            <w:r>
              <w:t>Response, referral, conversation, meeting, SQL, opportunity, won/lost/disqualified.</w:t>
            </w:r>
          </w:p>
        </w:tc>
      </w:tr>
      <w:tr>
        <w:tc>
          <w:tcPr>
            <w:tcW w:type="dxa" w:w="2160"/>
            <w:vAlign w:val="top"/>
            <w:tcMar>
              <w:top w:w="80" w:type="dxa"/>
              <w:bottom w:w="80" w:type="dxa"/>
              <w:start w:w="100" w:type="dxa"/>
              <w:end w:w="100" w:type="dxa"/>
            </w:tcMar>
          </w:tcPr>
          <w:p>
            <w:r>
              <w:t>Truth Outcome</w:t>
            </w:r>
          </w:p>
        </w:tc>
        <w:tc>
          <w:tcPr>
            <w:tcW w:type="dxa" w:w="7632"/>
            <w:vAlign w:val="top"/>
            <w:tcMar>
              <w:top w:w="80" w:type="dxa"/>
              <w:bottom w:w="80" w:type="dxa"/>
              <w:start w:w="100" w:type="dxa"/>
              <w:end w:w="100" w:type="dxa"/>
            </w:tcMar>
          </w:tcPr>
          <w:p>
            <w:r>
              <w:t>GAP confirmed, reframed, rejected, already solved, wrong Buyer.</w:t>
            </w:r>
          </w:p>
        </w:tc>
      </w:tr>
      <w:tr>
        <w:tc>
          <w:tcPr>
            <w:tcW w:type="dxa" w:w="2160"/>
            <w:vAlign w:val="top"/>
            <w:tcMar>
              <w:top w:w="80" w:type="dxa"/>
              <w:bottom w:w="80" w:type="dxa"/>
              <w:start w:w="100" w:type="dxa"/>
              <w:end w:w="100" w:type="dxa"/>
            </w:tcMar>
          </w:tcPr>
          <w:p>
            <w:r>
              <w:t>External Condition</w:t>
            </w:r>
          </w:p>
        </w:tc>
        <w:tc>
          <w:tcPr>
            <w:tcW w:type="dxa" w:w="7632"/>
            <w:vAlign w:val="top"/>
            <w:tcMar>
              <w:top w:w="80" w:type="dxa"/>
              <w:bottom w:w="80" w:type="dxa"/>
              <w:start w:w="100" w:type="dxa"/>
              <w:end w:w="100" w:type="dxa"/>
            </w:tcMar>
          </w:tcPr>
          <w:p>
            <w:r>
              <w:t>Budget freeze, leadership change, procurement delay, market shock.</w:t>
            </w:r>
          </w:p>
        </w:tc>
      </w:tr>
    </w:tbl>
    <w:p/>
    <w:p>
      <w:pPr>
        <w:spacing w:after="100"/>
      </w:pPr>
      <w:r>
        <w:rPr>
          <w:b w:val="0"/>
        </w:rPr>
        <w:t>No response is not automatically GAP rejection. A positive response is not proof that the full hypothesis was correct.</w:t>
      </w:r>
    </w:p>
    <w:p>
      <w:pPr>
        <w:pStyle w:val="Heading1"/>
      </w:pPr>
      <w:r>
        <w:t>28. Learning Governance Contract</w:t>
      </w:r>
    </w:p>
    <w:p>
      <w:pPr>
        <w:pStyle w:val="ListNumber"/>
        <w:spacing w:after="40"/>
      </w:pPr>
      <w:r>
        <w:t>Capture structured outcomes.</w:t>
      </w:r>
    </w:p>
    <w:p>
      <w:pPr>
        <w:pStyle w:val="ListNumber"/>
        <w:spacing w:after="40"/>
      </w:pPr>
      <w:r>
        <w:t>Separate account quality from execution quality.</w:t>
      </w:r>
    </w:p>
    <w:p>
      <w:pPr>
        <w:pStyle w:val="ListNumber"/>
        <w:spacing w:after="40"/>
      </w:pPr>
      <w:r>
        <w:t>Aggregate comparable observations.</w:t>
      </w:r>
    </w:p>
    <w:p>
      <w:pPr>
        <w:pStyle w:val="ListNumber"/>
        <w:spacing w:after="40"/>
      </w:pPr>
      <w:r>
        <w:t>Generate a Learning Candidate.</w:t>
      </w:r>
    </w:p>
    <w:p>
      <w:pPr>
        <w:pStyle w:val="ListNumber"/>
        <w:spacing w:after="40"/>
      </w:pPr>
      <w:r>
        <w:t>Test whether pattern is sufficiently repeated and causally plausible.</w:t>
      </w:r>
    </w:p>
    <w:p>
      <w:pPr>
        <w:pStyle w:val="ListNumber"/>
        <w:spacing w:after="40"/>
      </w:pPr>
      <w:r>
        <w:t>Flag conflicts with existing methodology.</w:t>
      </w:r>
    </w:p>
    <w:p>
      <w:pPr>
        <w:pStyle w:val="ListNumber"/>
        <w:spacing w:after="40"/>
      </w:pPr>
      <w:r>
        <w:t>Require Learning Engine validation threshold.</w:t>
      </w:r>
    </w:p>
    <w:p>
      <w:pPr>
        <w:pStyle w:val="ListNumber"/>
        <w:spacing w:after="40"/>
      </w:pPr>
      <w:r>
        <w:t>Only then create an Approved Learning version for future runs.</w:t>
      </w:r>
    </w:p>
    <w:p>
      <w:pPr>
        <w:spacing w:after="100"/>
      </w:pPr>
      <w:r>
        <w:rPr>
          <w:b w:val="0"/>
        </w:rPr>
        <w:t>One win, one loss or one reply never justifies changing the core system.</w:t>
      </w:r>
    </w:p>
    <w:p>
      <w:pPr>
        <w:pStyle w:val="Heading1"/>
      </w:pPr>
      <w:r>
        <w:t>29. Versioning Contract</w:t>
      </w:r>
    </w:p>
    <w:tbl>
      <w:tblPr>
        <w:tblStyle w:val="TableGrid"/>
        <w:tblW w:type="auto" w:w="0"/>
        <w:jc w:val="center"/>
        <w:tblLook w:firstColumn="1" w:firstRow="1" w:lastColumn="0" w:lastRow="0" w:noHBand="0" w:noVBand="1" w:val="04A0"/>
      </w:tblPr>
      <w:tblGrid>
        <w:gridCol w:w="4997"/>
        <w:gridCol w:w="4997"/>
      </w:tblGrid>
      <w:tr>
        <w:tc>
          <w:tcPr>
            <w:tcW w:type="dxa" w:w="3168"/>
            <w:shd w:fill="D9EAF7"/>
            <w:tcMar>
              <w:top w:w="80" w:type="dxa"/>
              <w:bottom w:w="80" w:type="dxa"/>
              <w:start w:w="100" w:type="dxa"/>
              <w:end w:w="100" w:type="dxa"/>
            </w:tcMar>
          </w:tcPr>
          <w:p>
            <w:r>
              <w:rPr>
                <w:b/>
              </w:rPr>
              <w:t>Artifact</w:t>
            </w:r>
          </w:p>
        </w:tc>
        <w:tc>
          <w:tcPr>
            <w:tcW w:type="dxa" w:w="6768"/>
            <w:shd w:fill="D9EAF7"/>
            <w:tcMar>
              <w:top w:w="80" w:type="dxa"/>
              <w:bottom w:w="80" w:type="dxa"/>
              <w:start w:w="100" w:type="dxa"/>
              <w:end w:w="100" w:type="dxa"/>
            </w:tcMar>
          </w:tcPr>
          <w:p>
            <w:r>
              <w:rPr>
                <w:b/>
              </w:rPr>
              <w:t>Version rule</w:t>
            </w:r>
          </w:p>
        </w:tc>
      </w:tr>
      <w:tr>
        <w:tc>
          <w:tcPr>
            <w:tcW w:type="dxa" w:w="3168"/>
            <w:vAlign w:val="top"/>
            <w:tcMar>
              <w:top w:w="80" w:type="dxa"/>
              <w:bottom w:w="80" w:type="dxa"/>
              <w:start w:w="100" w:type="dxa"/>
              <w:end w:w="100" w:type="dxa"/>
            </w:tcMar>
          </w:tcPr>
          <w:p>
            <w:r>
              <w:t>Orchestrator</w:t>
            </w:r>
          </w:p>
        </w:tc>
        <w:tc>
          <w:tcPr>
            <w:tcW w:type="dxa" w:w="6768"/>
            <w:vAlign w:val="top"/>
            <w:tcMar>
              <w:top w:w="80" w:type="dxa"/>
              <w:bottom w:w="80" w:type="dxa"/>
              <w:start w:w="100" w:type="dxa"/>
              <w:end w:w="100" w:type="dxa"/>
            </w:tcMar>
          </w:tcPr>
          <w:p>
            <w:r>
              <w:t>Version when state logic, gates or release flow changes materially.</w:t>
            </w:r>
          </w:p>
        </w:tc>
      </w:tr>
      <w:tr>
        <w:tc>
          <w:tcPr>
            <w:tcW w:type="dxa" w:w="3168"/>
            <w:vAlign w:val="top"/>
            <w:tcMar>
              <w:top w:w="80" w:type="dxa"/>
              <w:bottom w:w="80" w:type="dxa"/>
              <w:start w:w="100" w:type="dxa"/>
              <w:end w:w="100" w:type="dxa"/>
            </w:tcMar>
          </w:tcPr>
          <w:p>
            <w:r>
              <w:t>Control Contract</w:t>
            </w:r>
          </w:p>
        </w:tc>
        <w:tc>
          <w:tcPr>
            <w:tcW w:type="dxa" w:w="6768"/>
            <w:vAlign w:val="top"/>
            <w:tcMar>
              <w:top w:w="80" w:type="dxa"/>
              <w:bottom w:w="80" w:type="dxa"/>
              <w:start w:w="100" w:type="dxa"/>
              <w:end w:w="100" w:type="dxa"/>
            </w:tcMar>
          </w:tcPr>
          <w:p>
            <w:r>
              <w:t>Version when authority, locking, conflict, handoff or release-control rules change.</w:t>
            </w:r>
          </w:p>
        </w:tc>
      </w:tr>
      <w:tr>
        <w:tc>
          <w:tcPr>
            <w:tcW w:type="dxa" w:w="3168"/>
            <w:vAlign w:val="top"/>
            <w:tcMar>
              <w:top w:w="80" w:type="dxa"/>
              <w:bottom w:w="80" w:type="dxa"/>
              <w:start w:w="100" w:type="dxa"/>
              <w:end w:w="100" w:type="dxa"/>
            </w:tcMar>
          </w:tcPr>
          <w:p>
            <w:r>
              <w:t>Engine</w:t>
            </w:r>
          </w:p>
        </w:tc>
        <w:tc>
          <w:tcPr>
            <w:tcW w:type="dxa" w:w="6768"/>
            <w:vAlign w:val="top"/>
            <w:tcMar>
              <w:top w:w="80" w:type="dxa"/>
              <w:bottom w:w="80" w:type="dxa"/>
              <w:start w:w="100" w:type="dxa"/>
              <w:end w:w="100" w:type="dxa"/>
            </w:tcMar>
          </w:tcPr>
          <w:p>
            <w:r>
              <w:t>Each specialized Engine has its own version.</w:t>
            </w:r>
          </w:p>
        </w:tc>
      </w:tr>
      <w:tr>
        <w:tc>
          <w:tcPr>
            <w:tcW w:type="dxa" w:w="3168"/>
            <w:vAlign w:val="top"/>
            <w:tcMar>
              <w:top w:w="80" w:type="dxa"/>
              <w:bottom w:w="80" w:type="dxa"/>
              <w:start w:w="100" w:type="dxa"/>
              <w:end w:w="100" w:type="dxa"/>
            </w:tcMar>
          </w:tcPr>
          <w:p>
            <w:r>
              <w:t>Company Intelligence Profile</w:t>
            </w:r>
          </w:p>
        </w:tc>
        <w:tc>
          <w:tcPr>
            <w:tcW w:type="dxa" w:w="6768"/>
            <w:vAlign w:val="top"/>
            <w:tcMar>
              <w:top w:w="80" w:type="dxa"/>
              <w:bottom w:w="80" w:type="dxa"/>
              <w:start w:w="100" w:type="dxa"/>
              <w:end w:w="100" w:type="dxa"/>
            </w:tcMar>
          </w:tcPr>
          <w:p>
            <w:r>
              <w:t>Version when validated business context or material research changes.</w:t>
            </w:r>
          </w:p>
        </w:tc>
      </w:tr>
      <w:tr>
        <w:tc>
          <w:tcPr>
            <w:tcW w:type="dxa" w:w="3168"/>
            <w:vAlign w:val="top"/>
            <w:tcMar>
              <w:top w:w="80" w:type="dxa"/>
              <w:bottom w:w="80" w:type="dxa"/>
              <w:start w:w="100" w:type="dxa"/>
              <w:end w:w="100" w:type="dxa"/>
            </w:tcMar>
          </w:tcPr>
          <w:p>
            <w:r>
              <w:t>Capability &amp; Proof Map</w:t>
            </w:r>
          </w:p>
        </w:tc>
        <w:tc>
          <w:tcPr>
            <w:tcW w:type="dxa" w:w="6768"/>
            <w:vAlign w:val="top"/>
            <w:tcMar>
              <w:top w:w="80" w:type="dxa"/>
              <w:bottom w:w="80" w:type="dxa"/>
              <w:start w:w="100" w:type="dxa"/>
              <w:end w:w="100" w:type="dxa"/>
            </w:tcMar>
          </w:tcPr>
          <w:p>
            <w:r>
              <w:t>Version when defendable capability/proof/boundary changes.</w:t>
            </w:r>
          </w:p>
        </w:tc>
      </w:tr>
      <w:tr>
        <w:tc>
          <w:tcPr>
            <w:tcW w:type="dxa" w:w="3168"/>
            <w:vAlign w:val="top"/>
            <w:tcMar>
              <w:top w:w="80" w:type="dxa"/>
              <w:bottom w:w="80" w:type="dxa"/>
              <w:start w:w="100" w:type="dxa"/>
              <w:end w:w="100" w:type="dxa"/>
            </w:tcMar>
          </w:tcPr>
          <w:p>
            <w:r>
              <w:t>Prospecting Prescription</w:t>
            </w:r>
          </w:p>
        </w:tc>
        <w:tc>
          <w:tcPr>
            <w:tcW w:type="dxa" w:w="6768"/>
            <w:vAlign w:val="top"/>
            <w:tcMar>
              <w:top w:w="80" w:type="dxa"/>
              <w:bottom w:w="80" w:type="dxa"/>
              <w:start w:w="100" w:type="dxa"/>
              <w:end w:w="100" w:type="dxa"/>
            </w:tcMar>
          </w:tcPr>
          <w:p>
            <w:r>
              <w:t>New weekly/run version; recompute if material opportunity logic changes.</w:t>
            </w:r>
          </w:p>
        </w:tc>
      </w:tr>
      <w:tr>
        <w:tc>
          <w:tcPr>
            <w:tcW w:type="dxa" w:w="3168"/>
            <w:vAlign w:val="top"/>
            <w:tcMar>
              <w:top w:w="80" w:type="dxa"/>
              <w:bottom w:w="80" w:type="dxa"/>
              <w:start w:w="100" w:type="dxa"/>
              <w:end w:w="100" w:type="dxa"/>
            </w:tcMar>
          </w:tcPr>
          <w:p>
            <w:r>
              <w:t>Weekly GOLD Pack</w:t>
            </w:r>
          </w:p>
        </w:tc>
        <w:tc>
          <w:tcPr>
            <w:tcW w:type="dxa" w:w="6768"/>
            <w:vAlign w:val="top"/>
            <w:tcMar>
              <w:top w:w="80" w:type="dxa"/>
              <w:bottom w:w="80" w:type="dxa"/>
              <w:start w:w="100" w:type="dxa"/>
              <w:end w:w="100" w:type="dxa"/>
            </w:tcMar>
          </w:tcPr>
          <w:p>
            <w:r>
              <w:t>New run/week identifier; never overwrite prior week.</w:t>
            </w:r>
          </w:p>
        </w:tc>
      </w:tr>
      <w:tr>
        <w:tc>
          <w:tcPr>
            <w:tcW w:type="dxa" w:w="3168"/>
            <w:vAlign w:val="top"/>
            <w:tcMar>
              <w:top w:w="80" w:type="dxa"/>
              <w:bottom w:w="80" w:type="dxa"/>
              <w:start w:w="100" w:type="dxa"/>
              <w:end w:w="100" w:type="dxa"/>
            </w:tcMar>
          </w:tcPr>
          <w:p>
            <w:r>
              <w:t>Locked Assignment</w:t>
            </w:r>
          </w:p>
        </w:tc>
        <w:tc>
          <w:tcPr>
            <w:tcW w:type="dxa" w:w="6768"/>
            <w:vAlign w:val="top"/>
            <w:tcMar>
              <w:top w:w="80" w:type="dxa"/>
              <w:bottom w:w="80" w:type="dxa"/>
              <w:start w:w="100" w:type="dxa"/>
              <w:end w:w="100" w:type="dxa"/>
            </w:tcMar>
          </w:tcPr>
          <w:p>
            <w:r>
              <w:t>Immutable ID; changes create appendices/new versions.</w:t>
            </w:r>
          </w:p>
        </w:tc>
      </w:tr>
      <w:tr>
        <w:tc>
          <w:tcPr>
            <w:tcW w:type="dxa" w:w="3168"/>
            <w:vAlign w:val="top"/>
            <w:tcMar>
              <w:top w:w="80" w:type="dxa"/>
              <w:bottom w:w="80" w:type="dxa"/>
              <w:start w:w="100" w:type="dxa"/>
              <w:end w:w="100" w:type="dxa"/>
            </w:tcMar>
          </w:tcPr>
          <w:p>
            <w:r>
              <w:t>Learning Model</w:t>
            </w:r>
          </w:p>
        </w:tc>
        <w:tc>
          <w:tcPr>
            <w:tcW w:type="dxa" w:w="6768"/>
            <w:vAlign w:val="top"/>
            <w:tcMar>
              <w:top w:w="80" w:type="dxa"/>
              <w:bottom w:w="80" w:type="dxa"/>
              <w:start w:w="100" w:type="dxa"/>
              <w:end w:w="100" w:type="dxa"/>
            </w:tcMar>
          </w:tcPr>
          <w:p>
            <w:r>
              <w:t>Version only after approved learning changes.</w:t>
            </w:r>
          </w:p>
        </w:tc>
      </w:tr>
    </w:tbl>
    <w:p/>
    <w:p>
      <w:pPr>
        <w:spacing w:after="100"/>
      </w:pPr>
      <w:r>
        <w:rPr>
          <w:b w:val="0"/>
        </w:rPr>
        <w:t>Every material downstream output should be traceable to the methodology versions that produced it.</w:t>
      </w:r>
    </w:p>
    <w:p>
      <w:pPr>
        <w:pStyle w:val="Heading1"/>
      </w:pPr>
      <w:r>
        <w:t>30. Auditability Requirements</w:t>
      </w:r>
    </w:p>
    <w:p>
      <w:pPr>
        <w:pStyle w:val="ListBullet"/>
        <w:spacing w:after="40"/>
      </w:pPr>
      <w:r>
        <w:t>Why was this opportunity pattern selected this week?</w:t>
      </w:r>
    </w:p>
    <w:p>
      <w:pPr>
        <w:pStyle w:val="ListBullet"/>
        <w:spacing w:after="40"/>
      </w:pPr>
      <w:r>
        <w:t>Which public source categories were actually researched?</w:t>
      </w:r>
    </w:p>
    <w:p>
      <w:pPr>
        <w:pStyle w:val="ListBullet"/>
        <w:spacing w:after="40"/>
      </w:pPr>
      <w:r>
        <w:t>Why was this account selected?</w:t>
      </w:r>
    </w:p>
    <w:p>
      <w:pPr>
        <w:pStyle w:val="ListBullet"/>
        <w:spacing w:after="40"/>
      </w:pPr>
      <w:r>
        <w:t>What evidence existed at the time?</w:t>
      </w:r>
    </w:p>
    <w:p>
      <w:pPr>
        <w:pStyle w:val="ListBullet"/>
        <w:spacing w:after="40"/>
      </w:pPr>
      <w:r>
        <w:t>Which parts were fact vs interpretation vs hypothesis?</w:t>
      </w:r>
    </w:p>
    <w:p>
      <w:pPr>
        <w:pStyle w:val="ListBullet"/>
        <w:spacing w:after="40"/>
      </w:pPr>
      <w:r>
        <w:t>What alternative explanation was considered?</w:t>
      </w:r>
    </w:p>
    <w:p>
      <w:pPr>
        <w:pStyle w:val="ListBullet"/>
        <w:spacing w:after="40"/>
      </w:pPr>
      <w:r>
        <w:t>Which Engine made the decision?</w:t>
      </w:r>
    </w:p>
    <w:p>
      <w:pPr>
        <w:pStyle w:val="ListBullet"/>
        <w:spacing w:after="40"/>
      </w:pPr>
      <w:r>
        <w:t>Which methodology version was active?</w:t>
      </w:r>
    </w:p>
    <w:p>
      <w:pPr>
        <w:pStyle w:val="ListBullet"/>
        <w:spacing w:after="40"/>
      </w:pPr>
      <w:r>
        <w:t>Was the Buyer person verified or only the role?</w:t>
      </w:r>
    </w:p>
    <w:p>
      <w:pPr>
        <w:pStyle w:val="ListBullet"/>
        <w:spacing w:after="40"/>
      </w:pPr>
      <w:r>
        <w:t>Did any human override occur?</w:t>
      </w:r>
    </w:p>
    <w:p>
      <w:pPr>
        <w:pStyle w:val="ListBullet"/>
        <w:spacing w:after="40"/>
      </w:pPr>
      <w:r>
        <w:t>Who owned the account?</w:t>
      </w:r>
    </w:p>
    <w:p>
      <w:pPr>
        <w:pStyle w:val="ListBullet"/>
        <w:spacing w:after="40"/>
      </w:pPr>
      <w:r>
        <w:t>What route/message was recommended?</w:t>
      </w:r>
    </w:p>
    <w:p>
      <w:pPr>
        <w:pStyle w:val="ListBullet"/>
        <w:spacing w:after="40"/>
      </w:pPr>
      <w:r>
        <w:t>Why was an account withheld or downgraded?</w:t>
      </w:r>
    </w:p>
    <w:p>
      <w:pPr>
        <w:pStyle w:val="ListBullet"/>
        <w:spacing w:after="40"/>
      </w:pPr>
      <w:r>
        <w:t>What actually happened?</w:t>
      </w:r>
    </w:p>
    <w:p>
      <w:pPr>
        <w:pStyle w:val="ListBullet"/>
        <w:spacing w:after="40"/>
      </w:pPr>
      <w:r>
        <w:t>What did the system learn, if anything?</w:t>
      </w:r>
    </w:p>
    <w:p>
      <w:pPr>
        <w:spacing w:after="100"/>
      </w:pPr>
      <w:r>
        <w:rPr>
          <w:b w:val="0"/>
        </w:rPr>
        <w:t>If these questions cannot be reconstructed, the system is not sufficiently governed for serious commercial use.</w:t>
      </w:r>
    </w:p>
    <w:p>
      <w:pPr>
        <w:pStyle w:val="Heading1"/>
      </w:pPr>
      <w:r>
        <w:t>31. Failure and Recovery Rules v1.3</w:t>
      </w:r>
    </w:p>
    <w:tbl>
      <w:tblPr>
        <w:tblStyle w:val="TableGrid"/>
        <w:tblW w:type="auto" w:w="0"/>
        <w:jc w:val="center"/>
        <w:tblLook w:firstColumn="1" w:firstRow="1" w:lastColumn="0" w:lastRow="0" w:noHBand="0" w:noVBand="1" w:val="04A0"/>
      </w:tblPr>
      <w:tblGrid>
        <w:gridCol w:w="4997"/>
        <w:gridCol w:w="4997"/>
      </w:tblGrid>
      <w:tr>
        <w:tc>
          <w:tcPr>
            <w:tcW w:type="dxa" w:w="3600"/>
            <w:shd w:fill="D9EAF7"/>
            <w:tcMar>
              <w:top w:w="80" w:type="dxa"/>
              <w:bottom w:w="80" w:type="dxa"/>
              <w:start w:w="100" w:type="dxa"/>
              <w:end w:w="100" w:type="dxa"/>
            </w:tcMar>
          </w:tcPr>
          <w:p>
            <w:r>
              <w:rPr>
                <w:b/>
              </w:rPr>
              <w:t>Failure</w:t>
            </w:r>
          </w:p>
        </w:tc>
        <w:tc>
          <w:tcPr>
            <w:tcW w:type="dxa" w:w="6336"/>
            <w:shd w:fill="D9EAF7"/>
            <w:tcMar>
              <w:top w:w="80" w:type="dxa"/>
              <w:bottom w:w="80" w:type="dxa"/>
              <w:start w:w="100" w:type="dxa"/>
              <w:end w:w="100" w:type="dxa"/>
            </w:tcMar>
          </w:tcPr>
          <w:p>
            <w:r>
              <w:rPr>
                <w:b/>
              </w:rPr>
              <w:t>Recovery</w:t>
            </w:r>
          </w:p>
        </w:tc>
      </w:tr>
      <w:tr>
        <w:tc>
          <w:tcPr>
            <w:tcW w:type="dxa" w:w="3600"/>
            <w:vAlign w:val="top"/>
            <w:tcMar>
              <w:top w:w="80" w:type="dxa"/>
              <w:bottom w:w="80" w:type="dxa"/>
              <w:start w:w="100" w:type="dxa"/>
              <w:end w:w="100" w:type="dxa"/>
            </w:tcMar>
          </w:tcPr>
          <w:p>
            <w:r>
              <w:t>Missing company context</w:t>
            </w:r>
          </w:p>
        </w:tc>
        <w:tc>
          <w:tcPr>
            <w:tcW w:type="dxa" w:w="6336"/>
            <w:vAlign w:val="top"/>
            <w:tcMar>
              <w:top w:w="80" w:type="dxa"/>
              <w:bottom w:w="80" w:type="dxa"/>
              <w:start w:w="100" w:type="dxa"/>
              <w:end w:w="100" w:type="dxa"/>
            </w:tcMar>
          </w:tcPr>
          <w:p>
            <w:r>
              <w:t>Return to Deep Company Intelligence; ask only minimum unresolved validation.</w:t>
            </w:r>
          </w:p>
        </w:tc>
      </w:tr>
      <w:tr>
        <w:tc>
          <w:tcPr>
            <w:tcW w:type="dxa" w:w="3600"/>
            <w:vAlign w:val="top"/>
            <w:tcMar>
              <w:top w:w="80" w:type="dxa"/>
              <w:bottom w:w="80" w:type="dxa"/>
              <w:start w:w="100" w:type="dxa"/>
              <w:end w:w="100" w:type="dxa"/>
            </w:tcMar>
          </w:tcPr>
          <w:p>
            <w:r>
              <w:t>Insufficient research depth</w:t>
            </w:r>
          </w:p>
        </w:tc>
        <w:tc>
          <w:tcPr>
            <w:tcW w:type="dxa" w:w="6336"/>
            <w:vAlign w:val="top"/>
            <w:tcMar>
              <w:top w:w="80" w:type="dxa"/>
              <w:bottom w:w="80" w:type="dxa"/>
              <w:start w:w="100" w:type="dxa"/>
              <w:end w:w="100" w:type="dxa"/>
            </w:tcMar>
          </w:tcPr>
          <w:p>
            <w:r>
              <w:t>Complete relevant public-source research or disclose limitations; Account Discovery remains blocked if material.</w:t>
            </w:r>
          </w:p>
        </w:tc>
      </w:tr>
      <w:tr>
        <w:tc>
          <w:tcPr>
            <w:tcW w:type="dxa" w:w="3600"/>
            <w:vAlign w:val="top"/>
            <w:tcMar>
              <w:top w:w="80" w:type="dxa"/>
              <w:bottom w:w="80" w:type="dxa"/>
              <w:start w:w="100" w:type="dxa"/>
              <w:end w:w="100" w:type="dxa"/>
            </w:tcMar>
          </w:tcPr>
          <w:p>
            <w:r>
              <w:t>Stale diagnosis</w:t>
            </w:r>
          </w:p>
        </w:tc>
        <w:tc>
          <w:tcPr>
            <w:tcW w:type="dxa" w:w="6336"/>
            <w:vAlign w:val="top"/>
            <w:tcMar>
              <w:top w:w="80" w:type="dxa"/>
              <w:bottom w:w="80" w:type="dxa"/>
              <w:start w:w="100" w:type="dxa"/>
              <w:end w:w="100" w:type="dxa"/>
            </w:tcMar>
          </w:tcPr>
          <w:p>
            <w:r>
              <w:t>Use as historical context; seek current evidence.</w:t>
            </w:r>
          </w:p>
        </w:tc>
      </w:tr>
      <w:tr>
        <w:tc>
          <w:tcPr>
            <w:tcW w:type="dxa" w:w="3600"/>
            <w:vAlign w:val="top"/>
            <w:tcMar>
              <w:top w:w="80" w:type="dxa"/>
              <w:bottom w:w="80" w:type="dxa"/>
              <w:start w:w="100" w:type="dxa"/>
              <w:end w:w="100" w:type="dxa"/>
            </w:tcMar>
          </w:tcPr>
          <w:p>
            <w:r>
              <w:t>Prescription missing</w:t>
            </w:r>
          </w:p>
        </w:tc>
        <w:tc>
          <w:tcPr>
            <w:tcW w:type="dxa" w:w="6336"/>
            <w:vAlign w:val="top"/>
            <w:tcMar>
              <w:top w:w="80" w:type="dxa"/>
              <w:bottom w:w="80" w:type="dxa"/>
              <w:start w:w="100" w:type="dxa"/>
              <w:end w:w="100" w:type="dxa"/>
            </w:tcMar>
          </w:tcPr>
          <w:p>
            <w:r>
              <w:t>Build Prescription before Account Discovery.</w:t>
            </w:r>
          </w:p>
        </w:tc>
      </w:tr>
      <w:tr>
        <w:tc>
          <w:tcPr>
            <w:tcW w:type="dxa" w:w="3600"/>
            <w:vAlign w:val="top"/>
            <w:tcMar>
              <w:top w:w="80" w:type="dxa"/>
              <w:bottom w:w="80" w:type="dxa"/>
              <w:start w:w="100" w:type="dxa"/>
              <w:end w:w="100" w:type="dxa"/>
            </w:tcMar>
          </w:tcPr>
          <w:p>
            <w:r>
              <w:t>Discovery outside Prescription</w:t>
            </w:r>
          </w:p>
        </w:tc>
        <w:tc>
          <w:tcPr>
            <w:tcW w:type="dxa" w:w="6336"/>
            <w:vAlign w:val="top"/>
            <w:tcMar>
              <w:top w:w="80" w:type="dxa"/>
              <w:bottom w:w="80" w:type="dxa"/>
              <w:start w:w="100" w:type="dxa"/>
              <w:end w:w="100" w:type="dxa"/>
            </w:tcMar>
          </w:tcPr>
          <w:p>
            <w:r>
              <w:t>Recompute/version Prescription or classify separately; do not backfill silently.</w:t>
            </w:r>
          </w:p>
        </w:tc>
      </w:tr>
      <w:tr>
        <w:tc>
          <w:tcPr>
            <w:tcW w:type="dxa" w:w="3600"/>
            <w:vAlign w:val="top"/>
            <w:tcMar>
              <w:top w:w="80" w:type="dxa"/>
              <w:bottom w:w="80" w:type="dxa"/>
              <w:start w:w="100" w:type="dxa"/>
              <w:end w:w="100" w:type="dxa"/>
            </w:tcMar>
          </w:tcPr>
          <w:p>
            <w:r>
              <w:t>Signal invalid</w:t>
            </w:r>
          </w:p>
        </w:tc>
        <w:tc>
          <w:tcPr>
            <w:tcW w:type="dxa" w:w="6336"/>
            <w:vAlign w:val="top"/>
            <w:tcMar>
              <w:top w:w="80" w:type="dxa"/>
              <w:bottom w:w="80" w:type="dxa"/>
              <w:start w:w="100" w:type="dxa"/>
              <w:end w:w="100" w:type="dxa"/>
            </w:tcMar>
          </w:tcPr>
          <w:p>
            <w:r>
              <w:t>Remove/downgrade affected account; continue weekly run.</w:t>
            </w:r>
          </w:p>
        </w:tc>
      </w:tr>
      <w:tr>
        <w:tc>
          <w:tcPr>
            <w:tcW w:type="dxa" w:w="3600"/>
            <w:vAlign w:val="top"/>
            <w:tcMar>
              <w:top w:w="80" w:type="dxa"/>
              <w:bottom w:w="80" w:type="dxa"/>
              <w:start w:w="100" w:type="dxa"/>
              <w:end w:w="100" w:type="dxa"/>
            </w:tcMar>
          </w:tcPr>
          <w:p>
            <w:r>
              <w:t>GAP fails causality</w:t>
            </w:r>
          </w:p>
        </w:tc>
        <w:tc>
          <w:tcPr>
            <w:tcW w:type="dxa" w:w="6336"/>
            <w:vAlign w:val="top"/>
            <w:tcMar>
              <w:top w:w="80" w:type="dxa"/>
              <w:bottom w:w="80" w:type="dxa"/>
              <w:start w:w="100" w:type="dxa"/>
              <w:end w:w="100" w:type="dxa"/>
            </w:tcMar>
          </w:tcPr>
          <w:p>
            <w:r>
              <w:t>Rebuild hypothesis or route to Nurture/Discard.</w:t>
            </w:r>
          </w:p>
        </w:tc>
      </w:tr>
      <w:tr>
        <w:tc>
          <w:tcPr>
            <w:tcW w:type="dxa" w:w="3600"/>
            <w:vAlign w:val="top"/>
            <w:tcMar>
              <w:top w:w="80" w:type="dxa"/>
              <w:bottom w:w="80" w:type="dxa"/>
              <w:start w:w="100" w:type="dxa"/>
              <w:end w:w="100" w:type="dxa"/>
            </w:tcMar>
          </w:tcPr>
          <w:p>
            <w:r>
              <w:t>Contradictory evidence</w:t>
            </w:r>
          </w:p>
        </w:tc>
        <w:tc>
          <w:tcPr>
            <w:tcW w:type="dxa" w:w="6336"/>
            <w:vAlign w:val="top"/>
            <w:tcMar>
              <w:top w:w="80" w:type="dxa"/>
              <w:bottom w:w="80" w:type="dxa"/>
              <w:start w:w="100" w:type="dxa"/>
              <w:end w:w="100" w:type="dxa"/>
            </w:tcMar>
          </w:tcPr>
          <w:p>
            <w:r>
              <w:t>Seek resolution; HOLD if material and unresolved.</w:t>
            </w:r>
          </w:p>
        </w:tc>
      </w:tr>
      <w:tr>
        <w:tc>
          <w:tcPr>
            <w:tcW w:type="dxa" w:w="3600"/>
            <w:vAlign w:val="top"/>
            <w:tcMar>
              <w:top w:w="80" w:type="dxa"/>
              <w:bottom w:w="80" w:type="dxa"/>
              <w:start w:w="100" w:type="dxa"/>
              <w:end w:w="100" w:type="dxa"/>
            </w:tcMar>
          </w:tcPr>
          <w:p>
            <w:r>
              <w:t>Buyer verification fails</w:t>
            </w:r>
          </w:p>
        </w:tc>
        <w:tc>
          <w:tcPr>
            <w:tcW w:type="dxa" w:w="6336"/>
            <w:vAlign w:val="top"/>
            <w:tcMar>
              <w:top w:w="80" w:type="dxa"/>
              <w:bottom w:w="80" w:type="dxa"/>
              <w:start w:w="100" w:type="dxa"/>
              <w:end w:w="100" w:type="dxa"/>
            </w:tcMar>
          </w:tcPr>
          <w:p>
            <w:r>
              <w:t>Block nominal outreach; retain role-level route/research.</w:t>
            </w:r>
          </w:p>
        </w:tc>
      </w:tr>
      <w:tr>
        <w:tc>
          <w:tcPr>
            <w:tcW w:type="dxa" w:w="3600"/>
            <w:vAlign w:val="top"/>
            <w:tcMar>
              <w:top w:w="80" w:type="dxa"/>
              <w:bottom w:w="80" w:type="dxa"/>
              <w:start w:w="100" w:type="dxa"/>
              <w:end w:w="100" w:type="dxa"/>
            </w:tcMar>
          </w:tcPr>
          <w:p>
            <w:r>
              <w:t>Ownership conflict</w:t>
            </w:r>
          </w:p>
        </w:tc>
        <w:tc>
          <w:tcPr>
            <w:tcW w:type="dxa" w:w="6336"/>
            <w:vAlign w:val="top"/>
            <w:tcMar>
              <w:top w:w="80" w:type="dxa"/>
              <w:bottom w:w="80" w:type="dxa"/>
              <w:start w:w="100" w:type="dxa"/>
              <w:end w:w="100" w:type="dxa"/>
            </w:tcMar>
          </w:tcPr>
          <w:p>
            <w:r>
              <w:t>Freeze assignment until resolved.</w:t>
            </w:r>
          </w:p>
        </w:tc>
      </w:tr>
      <w:tr>
        <w:tc>
          <w:tcPr>
            <w:tcW w:type="dxa" w:w="3600"/>
            <w:vAlign w:val="top"/>
            <w:tcMar>
              <w:top w:w="80" w:type="dxa"/>
              <w:bottom w:w="80" w:type="dxa"/>
              <w:start w:w="100" w:type="dxa"/>
              <w:end w:w="100" w:type="dxa"/>
            </w:tcMar>
          </w:tcPr>
          <w:p>
            <w:r>
              <w:t>Outreach quality/compression fail</w:t>
            </w:r>
          </w:p>
        </w:tc>
        <w:tc>
          <w:tcPr>
            <w:tcW w:type="dxa" w:w="6336"/>
            <w:vAlign w:val="top"/>
            <w:tcMar>
              <w:top w:w="80" w:type="dxa"/>
              <w:bottom w:w="80" w:type="dxa"/>
              <w:start w:w="100" w:type="dxa"/>
              <w:end w:w="100" w:type="dxa"/>
            </w:tcMar>
          </w:tcPr>
          <w:p>
            <w:r>
              <w:t>Rewrite; do not alter evidence to rescue copy.</w:t>
            </w:r>
          </w:p>
        </w:tc>
      </w:tr>
      <w:tr>
        <w:tc>
          <w:tcPr>
            <w:tcW w:type="dxa" w:w="3600"/>
            <w:vAlign w:val="top"/>
            <w:tcMar>
              <w:top w:w="80" w:type="dxa"/>
              <w:bottom w:w="80" w:type="dxa"/>
              <w:start w:w="100" w:type="dxa"/>
              <w:end w:w="100" w:type="dxa"/>
            </w:tcMar>
          </w:tcPr>
          <w:p>
            <w:r>
              <w:t>Weekly release systemic fail</w:t>
            </w:r>
          </w:p>
        </w:tc>
        <w:tc>
          <w:tcPr>
            <w:tcW w:type="dxa" w:w="6336"/>
            <w:vAlign w:val="top"/>
            <w:tcMar>
              <w:top w:w="80" w:type="dxa"/>
              <w:bottom w:w="80" w:type="dxa"/>
              <w:start w:w="100" w:type="dxa"/>
              <w:end w:w="100" w:type="dxa"/>
            </w:tcMar>
          </w:tcPr>
          <w:p>
            <w:r>
              <w:t>Return to earliest failed critical state.</w:t>
            </w:r>
          </w:p>
        </w:tc>
      </w:tr>
      <w:tr>
        <w:tc>
          <w:tcPr>
            <w:tcW w:type="dxa" w:w="3600"/>
            <w:vAlign w:val="top"/>
            <w:tcMar>
              <w:top w:w="80" w:type="dxa"/>
              <w:bottom w:w="80" w:type="dxa"/>
              <w:start w:w="100" w:type="dxa"/>
              <w:end w:w="100" w:type="dxa"/>
            </w:tcMar>
          </w:tcPr>
          <w:p>
            <w:r>
              <w:t>All release gates pass but no pack generated</w:t>
            </w:r>
          </w:p>
        </w:tc>
        <w:tc>
          <w:tcPr>
            <w:tcW w:type="dxa" w:w="6336"/>
            <w:vAlign w:val="top"/>
            <w:tcMar>
              <w:top w:w="80" w:type="dxa"/>
              <w:bottom w:w="80" w:type="dxa"/>
              <w:start w:w="100" w:type="dxa"/>
              <w:end w:w="100" w:type="dxa"/>
            </w:tcMar>
          </w:tcPr>
          <w:p>
            <w:r>
              <w:t>Force automatic transition to Weekly GOLD Pack.</w:t>
            </w:r>
          </w:p>
        </w:tc>
      </w:tr>
      <w:tr>
        <w:tc>
          <w:tcPr>
            <w:tcW w:type="dxa" w:w="3600"/>
            <w:vAlign w:val="top"/>
            <w:tcMar>
              <w:top w:w="80" w:type="dxa"/>
              <w:bottom w:w="80" w:type="dxa"/>
              <w:start w:w="100" w:type="dxa"/>
              <w:end w:w="100" w:type="dxa"/>
            </w:tcMar>
          </w:tcPr>
          <w:p>
            <w:r>
              <w:t>Outcome missing</w:t>
            </w:r>
          </w:p>
        </w:tc>
        <w:tc>
          <w:tcPr>
            <w:tcW w:type="dxa" w:w="6336"/>
            <w:vAlign w:val="top"/>
            <w:tcMar>
              <w:top w:w="80" w:type="dxa"/>
              <w:bottom w:w="80" w:type="dxa"/>
              <w:start w:w="100" w:type="dxa"/>
              <w:end w:w="100" w:type="dxa"/>
            </w:tcMar>
          </w:tcPr>
          <w:p>
            <w:r>
              <w:t>Keep pending; never infer result.</w:t>
            </w:r>
          </w:p>
        </w:tc>
      </w:tr>
      <w:tr>
        <w:tc>
          <w:tcPr>
            <w:tcW w:type="dxa" w:w="3600"/>
            <w:vAlign w:val="top"/>
            <w:tcMar>
              <w:top w:w="80" w:type="dxa"/>
              <w:bottom w:w="80" w:type="dxa"/>
              <w:start w:w="100" w:type="dxa"/>
              <w:end w:w="100" w:type="dxa"/>
            </w:tcMar>
          </w:tcPr>
          <w:p>
            <w:r>
              <w:t>Learning conflict</w:t>
            </w:r>
          </w:p>
        </w:tc>
        <w:tc>
          <w:tcPr>
            <w:tcW w:type="dxa" w:w="6336"/>
            <w:vAlign w:val="top"/>
            <w:tcMar>
              <w:top w:w="80" w:type="dxa"/>
              <w:bottom w:w="80" w:type="dxa"/>
              <w:start w:w="100" w:type="dxa"/>
              <w:end w:w="100" w:type="dxa"/>
            </w:tcMar>
          </w:tcPr>
          <w:p>
            <w:r>
              <w:t>Keep candidate; do not mutate methodology.</w:t>
            </w:r>
          </w:p>
        </w:tc>
      </w:tr>
    </w:tbl>
    <w:p/>
    <w:p>
      <w:pPr>
        <w:pStyle w:val="Heading1"/>
      </w:pPr>
      <w:r>
        <w:t>32. Prohibited Cross-Engine Behaviors v1.3</w:t>
      </w:r>
    </w:p>
    <w:p>
      <w:pPr>
        <w:pStyle w:val="ListBullet"/>
      </w:pPr>
      <w:r>
        <w:t>Presenting a partial candidate teaser or progress recap as if it were Weekly Mission completion.</w:t>
      </w:r>
    </w:p>
    <w:p>
      <w:pPr>
        <w:pStyle w:val="ListBullet"/>
      </w:pPr>
      <w:r>
        <w:t>Using unavailable CRM/DNC/ownership as a reason to stop researchable stages that can still be completed.</w:t>
      </w:r>
    </w:p>
    <w:p>
      <w:pPr>
        <w:pStyle w:val="ListBullet"/>
      </w:pPr>
      <w:r>
        <w:t>Requiring another user nudge after the final material input has already been supplied.</w:t>
      </w:r>
    </w:p>
    <w:p>
      <w:pPr>
        <w:pStyle w:val="ListBullet"/>
      </w:pPr>
      <w:r>
        <w:t>Ending an executable Weekly Advisor mission with “continúo”, “seguiré”, “cerraré la misión”, “next I will” or equivalent future-intent language.</w:t>
      </w:r>
    </w:p>
    <w:p>
      <w:pPr>
        <w:pStyle w:val="ListBullet"/>
      </w:pPr>
      <w:r>
        <w:t>Using prior-user or unrelated historical context to silently populate participant identity or territory.</w:t>
      </w:r>
    </w:p>
    <w:p>
      <w:pPr>
        <w:pStyle w:val="ListBullet"/>
      </w:pPr>
      <w:r>
        <w:t>Starting Prospecting Prescription or Account Discovery while participant company or battlefield is UNKNOWN.</w:t>
      </w:r>
    </w:p>
    <w:p>
      <w:pPr>
        <w:pStyle w:val="ListBullet"/>
      </w:pPr>
      <w:r>
        <w:t>Assuming México or any other territory from creator context, Knowledge, examples or prior tests as the current battlefield.</w:t>
      </w:r>
    </w:p>
    <w:p>
      <w:pPr>
        <w:pStyle w:val="ListBullet"/>
      </w:pPr>
      <w:r>
        <w:t>Assuming Salesbumm, the GPT creator, a Knowledge subject, example company, prior test company or another user's company is the current participant without explicit/unambiguous current-session evidence.</w:t>
      </w:r>
    </w:p>
    <w:p>
      <w:pPr>
        <w:pStyle w:val="ListBullet"/>
        <w:spacing w:after="40"/>
      </w:pPr>
      <w:r>
        <w:t>Searching accounts before required Deep Company Intelligence and Prospecting Prescription are ready.</w:t>
      </w:r>
    </w:p>
    <w:p>
      <w:pPr>
        <w:pStyle w:val="ListBullet"/>
        <w:spacing w:after="40"/>
      </w:pPr>
      <w:r>
        <w:t>Claiming a social/source review that did not occur.</w:t>
      </w:r>
    </w:p>
    <w:p>
      <w:pPr>
        <w:pStyle w:val="ListBullet"/>
        <w:spacing w:after="40"/>
      </w:pPr>
      <w:r>
        <w:t>Backfilling a Prospecting Prescription after seeing attractive accounts and pretending it preceded Discovery.</w:t>
      </w:r>
    </w:p>
    <w:p>
      <w:pPr>
        <w:pStyle w:val="ListBullet"/>
        <w:spacing w:after="40"/>
      </w:pPr>
      <w:r>
        <w:t>Scoring an account before required evidence exists.</w:t>
      </w:r>
    </w:p>
    <w:p>
      <w:pPr>
        <w:pStyle w:val="ListBullet"/>
        <w:spacing w:after="40"/>
      </w:pPr>
      <w:r>
        <w:t>Rewriting a signal to fit a desired GAP.</w:t>
      </w:r>
    </w:p>
    <w:p>
      <w:pPr>
        <w:pStyle w:val="ListBullet"/>
        <w:spacing w:after="40"/>
      </w:pPr>
      <w:r>
        <w:t>Changing a GAP because generated copy sounds better another way.</w:t>
      </w:r>
    </w:p>
    <w:p>
      <w:pPr>
        <w:pStyle w:val="ListBullet"/>
        <w:spacing w:after="40"/>
      </w:pPr>
      <w:r>
        <w:t>Promoting an account because company is famous or large.</w:t>
      </w:r>
    </w:p>
    <w:p>
      <w:pPr>
        <w:pStyle w:val="ListBullet"/>
        <w:spacing w:after="40"/>
      </w:pPr>
      <w:r>
        <w:t>Treating human preference as verified public evidence.</w:t>
      </w:r>
    </w:p>
    <w:p>
      <w:pPr>
        <w:pStyle w:val="ListBullet"/>
        <w:spacing w:after="40"/>
      </w:pPr>
      <w:r>
        <w:t>Treating AI inference as CRM fact.</w:t>
      </w:r>
    </w:p>
    <w:p>
      <w:pPr>
        <w:pStyle w:val="ListBullet"/>
        <w:spacing w:after="40"/>
      </w:pPr>
      <w:r>
        <w:t>Inventing or guessing a named Buyer/contact as verified.</w:t>
      </w:r>
    </w:p>
    <w:p>
      <w:pPr>
        <w:pStyle w:val="ListBullet"/>
        <w:spacing w:after="40"/>
      </w:pPr>
      <w:r>
        <w:t>Using internal evidence labels/compliance language as prospect-facing copy by default.</w:t>
      </w:r>
    </w:p>
    <w:p>
      <w:pPr>
        <w:pStyle w:val="ListBullet"/>
        <w:spacing w:after="40"/>
      </w:pPr>
      <w:r>
        <w:t>Expanding outreach length merely to display research effort.</w:t>
      </w:r>
    </w:p>
    <w:p>
      <w:pPr>
        <w:pStyle w:val="ListBullet"/>
        <w:spacing w:after="40"/>
      </w:pPr>
      <w:r>
        <w:t>Creating KAM/Account Growth tasks without evidence of an existing relationship/whitespace.</w:t>
      </w:r>
    </w:p>
    <w:p>
      <w:pPr>
        <w:pStyle w:val="ListBullet"/>
        <w:spacing w:after="40"/>
      </w:pPr>
      <w:r>
        <w:t>Deleting prior evidence after an opportunity loses.</w:t>
      </w:r>
    </w:p>
    <w:p>
      <w:pPr>
        <w:pStyle w:val="ListBullet"/>
        <w:spacing w:after="40"/>
      </w:pPr>
      <w:r>
        <w:t>Backfilling a missing gate after release and claiming it occurred earlier.</w:t>
      </w:r>
    </w:p>
    <w:p>
      <w:pPr>
        <w:pStyle w:val="ListBullet"/>
        <w:spacing w:after="40"/>
      </w:pPr>
      <w:r>
        <w:t>Using future outcomes to retroactively improve original assignment rationale.</w:t>
      </w:r>
    </w:p>
    <w:p>
      <w:pPr>
        <w:pStyle w:val="ListBullet"/>
        <w:spacing w:after="40"/>
      </w:pPr>
      <w:r>
        <w:t>Allowing Learning to self-modify hard controls without governed approval.</w:t>
      </w:r>
    </w:p>
    <w:p>
      <w:pPr>
        <w:pStyle w:val="ListBullet"/>
        <w:spacing w:after="40"/>
      </w:pPr>
      <w:r>
        <w:t>Stopping at an intermediate status after all Weekly GOLD Pack release gates have passed.</w:t>
      </w:r>
    </w:p>
    <w:p>
      <w:pPr>
        <w:pStyle w:val="Heading1"/>
      </w:pPr>
      <w:r>
        <w:t>33. Pre-Release Control Checklist v1.3</w:t>
      </w:r>
    </w:p>
    <w:p>
      <w:r>
        <w:t>Unavailable internal checks handled by CHECK REQUIRED/HOLD rather than whole-mission termination.</w:t>
      </w:r>
    </w:p>
    <w:p>
      <w:r>
        <w:t>No false-continuation terminal language used while executable work remained.</w:t>
      </w:r>
    </w:p>
    <w:p>
      <w:r>
        <w:t>All remaining researchable stages executed in the same response after that input.</w:t>
      </w:r>
    </w:p>
    <w:p>
      <w:r>
        <w:t>Final material input, if any, resolved before autonomous continuation.</w:t>
      </w:r>
    </w:p>
    <w:p>
      <w:r>
        <w:t>Battlefield established for the current mission; no territory default silently inherited.</w:t>
      </w:r>
    </w:p>
    <w:p>
      <w:r>
        <w:t>Participant identity isolated from creator, Salesbumm methodology, Knowledge examples, tests and other-user context.</w:t>
      </w:r>
    </w:p>
    <w:p>
      <w:r>
        <w:t>Participant company identity established from current participant/session evidence.</w:t>
      </w:r>
    </w:p>
    <w:p>
      <w:pPr>
        <w:pStyle w:val="ListNumber"/>
        <w:spacing w:after="40"/>
      </w:pPr>
      <w:r>
        <w:t>Correct organization and account entities confirmed.</w:t>
      </w:r>
    </w:p>
    <w:p>
      <w:pPr>
        <w:pStyle w:val="ListNumber"/>
        <w:spacing w:after="40"/>
      </w:pPr>
      <w:r>
        <w:t>Deep Company Intelligence available/current.</w:t>
      </w:r>
    </w:p>
    <w:p>
      <w:pPr>
        <w:pStyle w:val="ListNumber"/>
        <w:spacing w:after="40"/>
      </w:pPr>
      <w:r>
        <w:t>Research coverage and material limitations disclosed.</w:t>
      </w:r>
    </w:p>
    <w:p>
      <w:pPr>
        <w:pStyle w:val="ListNumber"/>
        <w:spacing w:after="40"/>
      </w:pPr>
      <w:r>
        <w:t>Capability &amp; Proof Map available.</w:t>
      </w:r>
    </w:p>
    <w:p>
      <w:pPr>
        <w:pStyle w:val="ListNumber"/>
        <w:spacing w:after="40"/>
      </w:pPr>
      <w:r>
        <w:t>ICP/Buyer/GAP Family foundation sufficiently valid.</w:t>
      </w:r>
    </w:p>
    <w:p>
      <w:pPr>
        <w:pStyle w:val="ListNumber"/>
        <w:spacing w:after="40"/>
      </w:pPr>
      <w:r>
        <w:t>Diagnostic evidence used only within its authority.</w:t>
      </w:r>
    </w:p>
    <w:p>
      <w:pPr>
        <w:pStyle w:val="ListNumber"/>
        <w:spacing w:after="40"/>
      </w:pPr>
      <w:r>
        <w:t>Territory and weekly mission defined.</w:t>
      </w:r>
    </w:p>
    <w:p>
      <w:pPr>
        <w:pStyle w:val="ListNumber"/>
        <w:spacing w:after="40"/>
      </w:pPr>
      <w:r>
        <w:t>Prospecting Prescription and Commercial Bet generated before Discovery.</w:t>
      </w:r>
    </w:p>
    <w:p>
      <w:pPr>
        <w:pStyle w:val="ListNumber"/>
        <w:spacing w:after="40"/>
      </w:pPr>
      <w:r>
        <w:t>Candidate accounts filtered against approved radars/ICP/exclusions.</w:t>
      </w:r>
    </w:p>
    <w:p>
      <w:pPr>
        <w:pStyle w:val="ListNumber"/>
        <w:spacing w:after="40"/>
      </w:pPr>
      <w:r>
        <w:t>Signals have source/date where urgency is claimed.</w:t>
      </w:r>
    </w:p>
    <w:p>
      <w:pPr>
        <w:pStyle w:val="ListNumber"/>
        <w:spacing w:after="40"/>
      </w:pPr>
      <w:r>
        <w:t>Fact / interpretation / GAP hypothesis separated.</w:t>
      </w:r>
    </w:p>
    <w:p>
      <w:pPr>
        <w:pStyle w:val="ListNumber"/>
        <w:spacing w:after="40"/>
      </w:pPr>
      <w:r>
        <w:t>Evidence + Red Team Gate executed.</w:t>
      </w:r>
    </w:p>
    <w:p>
      <w:pPr>
        <w:pStyle w:val="ListNumber"/>
        <w:spacing w:after="40"/>
      </w:pPr>
      <w:r>
        <w:t>Material contradictions resolved or surfaced.</w:t>
      </w:r>
    </w:p>
    <w:p>
      <w:pPr>
        <w:pStyle w:val="ListNumber"/>
        <w:spacing w:after="40"/>
      </w:pPr>
      <w:r>
        <w:t>Duplicate/ownership check executed where data is available.</w:t>
      </w:r>
    </w:p>
    <w:p>
      <w:pPr>
        <w:pStyle w:val="ListNumber"/>
        <w:spacing w:after="40"/>
      </w:pPr>
      <w:r>
        <w:t>Priority constrained by evidence and capacity.</w:t>
      </w:r>
    </w:p>
    <w:p>
      <w:pPr>
        <w:pStyle w:val="ListNumber"/>
        <w:spacing w:after="40"/>
      </w:pPr>
      <w:r>
        <w:t>Buyer/contact verification executed where nominal outreach is proposed.</w:t>
      </w:r>
    </w:p>
    <w:p>
      <w:pPr>
        <w:pStyle w:val="ListNumber"/>
        <w:spacing w:after="40"/>
      </w:pPr>
      <w:r>
        <w:t>Route coherent with relationship status/objective.</w:t>
      </w:r>
    </w:p>
    <w:p>
      <w:pPr>
        <w:pStyle w:val="ListNumber"/>
        <w:spacing w:after="40"/>
      </w:pPr>
      <w:r>
        <w:t>Outreach uses only supportable facts/proof.</w:t>
      </w:r>
    </w:p>
    <w:p>
      <w:pPr>
        <w:pStyle w:val="ListNumber"/>
        <w:spacing w:after="40"/>
      </w:pPr>
      <w:r>
        <w:t>Outreach Compression Gate passed.</w:t>
      </w:r>
    </w:p>
    <w:p>
      <w:pPr>
        <w:pStyle w:val="ListNumber"/>
        <w:spacing w:after="40"/>
      </w:pPr>
      <w:r>
        <w:t>Confidence visible.</w:t>
      </w:r>
    </w:p>
    <w:p>
      <w:pPr>
        <w:pStyle w:val="ListNumber"/>
        <w:spacing w:after="40"/>
      </w:pPr>
      <w:r>
        <w:t>KAM route not fabricated without customer/whitespace data.</w:t>
      </w:r>
    </w:p>
    <w:p>
      <w:pPr>
        <w:pStyle w:val="ListNumber"/>
        <w:spacing w:after="40"/>
      </w:pPr>
      <w:r>
        <w:t>Weekly release status explicitly PASS / PASS WITH EXCEPTIONS / FAIL.</w:t>
      </w:r>
    </w:p>
    <w:p>
      <w:pPr>
        <w:pStyle w:val="ListNumber"/>
        <w:spacing w:after="40"/>
      </w:pPr>
      <w:r>
        <w:t>Weekly GOLD Pack auto-generated when release conditions pass.</w:t>
      </w:r>
    </w:p>
    <w:p>
      <w:pPr>
        <w:pStyle w:val="Heading1"/>
      </w:pPr>
      <w:r>
        <w:t>34. Control Contract Handoff to Specialized Engine Documents</w:t>
      </w:r>
    </w:p>
    <w:p>
      <w:pPr>
        <w:spacing w:after="100"/>
      </w:pPr>
      <w:r>
        <w:rPr>
          <w:b w:val="0"/>
        </w:rPr>
        <w:t>This contract intentionally does not define detailed research prompts, scoring weights, enrichment providers, exact signal taxonomy, message templates or learning thresholds. Those belong in specialized documents. Every Engine must declare:</w:t>
      </w:r>
    </w:p>
    <w:p>
      <w:pPr>
        <w:pStyle w:val="ListBullet"/>
        <w:spacing w:after="40"/>
      </w:pPr>
      <w:r>
        <w:t>Purpose and owned decision.</w:t>
      </w:r>
    </w:p>
    <w:p>
      <w:pPr>
        <w:pStyle w:val="ListBullet"/>
        <w:spacing w:after="40"/>
      </w:pPr>
      <w:r>
        <w:t>Required inputs.</w:t>
      </w:r>
    </w:p>
    <w:p>
      <w:pPr>
        <w:pStyle w:val="ListBullet"/>
        <w:spacing w:after="40"/>
      </w:pPr>
      <w:r>
        <w:t>Permitted evidence.</w:t>
      </w:r>
    </w:p>
    <w:p>
      <w:pPr>
        <w:pStyle w:val="ListBullet"/>
        <w:spacing w:after="40"/>
      </w:pPr>
      <w:r>
        <w:t>Output schema.</w:t>
      </w:r>
    </w:p>
    <w:p>
      <w:pPr>
        <w:pStyle w:val="ListBullet"/>
        <w:spacing w:after="40"/>
      </w:pPr>
      <w:r>
        <w:t>Scoring/rules if applicable.</w:t>
      </w:r>
    </w:p>
    <w:p>
      <w:pPr>
        <w:pStyle w:val="ListBullet"/>
        <w:spacing w:after="40"/>
      </w:pPr>
      <w:r>
        <w:t>Confidence logic.</w:t>
      </w:r>
    </w:p>
    <w:p>
      <w:pPr>
        <w:pStyle w:val="ListBullet"/>
        <w:spacing w:after="40"/>
      </w:pPr>
      <w:r>
        <w:t>Hard gates.</w:t>
      </w:r>
    </w:p>
    <w:p>
      <w:pPr>
        <w:pStyle w:val="ListBullet"/>
        <w:spacing w:after="40"/>
      </w:pPr>
      <w:r>
        <w:t>Stop conditions.</w:t>
      </w:r>
    </w:p>
    <w:p>
      <w:pPr>
        <w:pStyle w:val="ListBullet"/>
        <w:spacing w:after="40"/>
      </w:pPr>
      <w:r>
        <w:t>Handoff contract.</w:t>
      </w:r>
    </w:p>
    <w:p>
      <w:pPr>
        <w:pStyle w:val="ListBullet"/>
        <w:spacing w:after="40"/>
      </w:pPr>
      <w:r>
        <w:t>Fields it may update.</w:t>
      </w:r>
    </w:p>
    <w:p>
      <w:pPr>
        <w:pStyle w:val="ListBullet"/>
        <w:spacing w:after="40"/>
      </w:pPr>
      <w:r>
        <w:t>Fields it must never rewrite.</w:t>
      </w:r>
    </w:p>
    <w:p>
      <w:pPr>
        <w:pStyle w:val="ListBullet"/>
        <w:spacing w:after="40"/>
      </w:pPr>
      <w:r>
        <w:t>Version and audit requirements.</w:t>
      </w:r>
    </w:p>
    <w:p>
      <w:pPr>
        <w:spacing w:after="100"/>
      </w:pPr>
      <w:r>
        <w:rPr>
          <w:b w:val="0"/>
        </w:rPr>
        <w:t>Where an existing Engine document predates v1.1, this Control Contract governs cross-engine authority and sequence until that Engine is versioned. It does not silently alter the Engine’s internal rubric; conflicts must be surfaced.</w:t>
      </w:r>
    </w:p>
    <w:p>
      <w:pPr>
        <w:pStyle w:val="Heading1"/>
      </w:pPr>
      <w:r>
        <w:t>35. Architecture Compatibility with Orchestrator v1.3</w:t>
      </w:r>
    </w:p>
    <w:p>
      <w:pPr>
        <w:pStyle w:val="ListBullet"/>
      </w:pPr>
      <w:r>
        <w:t>Same-Turn Mission Completion Contract is explicitly aligned with Orchestrator v1.3 and governs response-level continuation through Weekly GOLD Pack.</w:t>
      </w:r>
    </w:p>
    <w:p>
      <w:pPr>
        <w:spacing w:after="100"/>
      </w:pPr>
      <w:r>
        <w:rPr>
          <w:b w:val="0"/>
        </w:rPr>
        <w:t>Document 02 v1.2 is explicitly aligned to Document 01 — GAP Prospecting AI Orchestrator v1.3.</w:t>
      </w:r>
    </w:p>
    <w:p>
      <w:pPr>
        <w:pStyle w:val="ListBullet"/>
      </w:pPr>
      <w:r>
        <w:t>Participant Identity &amp; Battlefield Gate precedes participant-specific Company Intelligence and all Account Discovery.</w:t>
      </w:r>
    </w:p>
    <w:p>
      <w:pPr>
        <w:pStyle w:val="ListBullet"/>
        <w:spacing w:after="40"/>
      </w:pPr>
      <w:r>
        <w:t>Deep Company Intelligence precedes first Account Discovery.</w:t>
      </w:r>
    </w:p>
    <w:p>
      <w:pPr>
        <w:pStyle w:val="ListBullet"/>
        <w:spacing w:after="40"/>
      </w:pPr>
      <w:r>
        <w:t>Capability &amp; Proof Map and ICP/Buyer/GAP Families are governed upstream foundations.</w:t>
      </w:r>
    </w:p>
    <w:p>
      <w:pPr>
        <w:pStyle w:val="ListBullet"/>
        <w:spacing w:after="40"/>
      </w:pPr>
      <w:r>
        <w:t>Prospecting Prescription precedes Discovery.</w:t>
      </w:r>
    </w:p>
    <w:p>
      <w:pPr>
        <w:pStyle w:val="ListBullet"/>
        <w:spacing w:after="40"/>
      </w:pPr>
      <w:r>
        <w:t>Evidence Validation includes Red Team and contradiction preservation.</w:t>
      </w:r>
    </w:p>
    <w:p>
      <w:pPr>
        <w:pStyle w:val="ListBullet"/>
        <w:spacing w:after="40"/>
      </w:pPr>
      <w:r>
        <w:t>Buyer &amp; Contact Intelligence constrains nominal personalization.</w:t>
      </w:r>
    </w:p>
    <w:p>
      <w:pPr>
        <w:pStyle w:val="ListBullet"/>
        <w:spacing w:after="40"/>
      </w:pPr>
      <w:r>
        <w:t>Routing includes HOLD-RESEARCH and protects KAM from unsupported expansion assumptions.</w:t>
      </w:r>
    </w:p>
    <w:p>
      <w:pPr>
        <w:pStyle w:val="ListBullet"/>
        <w:spacing w:after="40"/>
      </w:pPr>
      <w:r>
        <w:t>Outreach is governed by an Internal/External firewall and Compression Gate.</w:t>
      </w:r>
    </w:p>
    <w:p>
      <w:pPr>
        <w:pStyle w:val="ListBullet"/>
        <w:spacing w:after="40"/>
      </w:pPr>
      <w:r>
        <w:t>Weekly GOLD Pack is the automatic mission-closure artifact.</w:t>
      </w:r>
    </w:p>
    <w:p>
      <w:pPr>
        <w:pStyle w:val="ListBullet"/>
        <w:spacing w:after="40"/>
      </w:pPr>
      <w:r>
        <w:t>Locked evidence and append-only learning principles remain unchanged.</w:t>
      </w:r>
    </w:p>
    <w:p>
      <w:pPr>
        <w:pStyle w:val="Heading1"/>
      </w:pPr>
      <w:r>
        <w:t>36. Definition of Done — Document 02 v1.3</w:t>
      </w:r>
    </w:p>
    <w:p>
      <w:pPr>
        <w:pStyle w:val="ListBullet"/>
        <w:spacing w:after="40"/>
      </w:pPr>
      <w:r>
        <w:t>Authority hierarchy defined.</w:t>
      </w:r>
    </w:p>
    <w:p>
      <w:pPr>
        <w:pStyle w:val="ListBullet"/>
        <w:spacing w:after="40"/>
      </w:pPr>
      <w:r>
        <w:t>Every major v1.2 component has explicit decision rights and prohibitions.</w:t>
      </w:r>
    </w:p>
    <w:p>
      <w:pPr>
        <w:pStyle w:val="ListBullet"/>
        <w:spacing w:after="40"/>
      </w:pPr>
      <w:r>
        <w:t>Data classes and provenance rules defined.</w:t>
      </w:r>
    </w:p>
    <w:p>
      <w:pPr>
        <w:pStyle w:val="ListBullet"/>
        <w:spacing w:after="40"/>
      </w:pPr>
      <w:r>
        <w:t>Research coverage disclosure governed.</w:t>
      </w:r>
    </w:p>
    <w:p>
      <w:pPr>
        <w:pStyle w:val="ListBullet"/>
        <w:spacing w:after="40"/>
      </w:pPr>
      <w:r>
        <w:t>Standard handoff envelope updated.</w:t>
      </w:r>
    </w:p>
    <w:p>
      <w:pPr>
        <w:pStyle w:val="ListBullet"/>
        <w:spacing w:after="40"/>
      </w:pPr>
      <w:r>
        <w:t>Locked handoff and append-only rules preserved.</w:t>
      </w:r>
    </w:p>
    <w:p>
      <w:pPr>
        <w:pStyle w:val="ListBullet"/>
        <w:spacing w:after="40"/>
      </w:pPr>
      <w:r>
        <w:t>Mandatory v1.2 handoffs defined.</w:t>
      </w:r>
    </w:p>
    <w:p>
      <w:pPr>
        <w:pStyle w:val="ListBullet"/>
        <w:spacing w:after="40"/>
      </w:pPr>
      <w:r>
        <w:t>Conflict taxonomy includes research, prescription, Buyer, outreach-humanity and release-state conflicts.</w:t>
      </w:r>
    </w:p>
    <w:p>
      <w:pPr>
        <w:pStyle w:val="ListBullet"/>
        <w:spacing w:after="40"/>
      </w:pPr>
      <w:r>
        <w:t>Confidence and human override rules defined.</w:t>
      </w:r>
    </w:p>
    <w:p>
      <w:pPr>
        <w:pStyle w:val="ListBullet"/>
        <w:spacing w:after="40"/>
      </w:pPr>
      <w:r>
        <w:t>Diagnostic independence preserved.</w:t>
      </w:r>
    </w:p>
    <w:p>
      <w:pPr>
        <w:pStyle w:val="ListBullet"/>
        <w:spacing w:after="40"/>
      </w:pPr>
      <w:r>
        <w:t>Deep Company Intelligence and Capability foundation protected.</w:t>
      </w:r>
    </w:p>
    <w:p>
      <w:pPr>
        <w:pStyle w:val="ListBullet"/>
        <w:spacing w:after="40"/>
      </w:pPr>
      <w:r>
        <w:t>Prescription-before-discovery protected.</w:t>
      </w:r>
    </w:p>
    <w:p>
      <w:pPr>
        <w:pStyle w:val="ListBullet"/>
        <w:spacing w:after="40"/>
      </w:pPr>
      <w:r>
        <w:t>Signal-to-GAP causal integrity and Red Team protected.</w:t>
      </w:r>
    </w:p>
    <w:p>
      <w:pPr>
        <w:pStyle w:val="ListBullet"/>
        <w:spacing w:after="40"/>
      </w:pPr>
      <w:r>
        <w:t>Prioritization, Buyer verification, routing and outreach authority bounded.</w:t>
      </w:r>
    </w:p>
    <w:p>
      <w:pPr>
        <w:pStyle w:val="ListBullet"/>
        <w:spacing w:after="40"/>
      </w:pPr>
      <w:r>
        <w:t>External Outreach Compression governed.</w:t>
      </w:r>
    </w:p>
    <w:p>
      <w:pPr>
        <w:pStyle w:val="ListBullet"/>
        <w:spacing w:after="40"/>
      </w:pPr>
      <w:r>
        <w:t>Weekly GOLD Pack automatic release governed.</w:t>
      </w:r>
    </w:p>
    <w:p>
      <w:pPr>
        <w:pStyle w:val="ListBullet"/>
        <w:spacing w:after="40"/>
      </w:pPr>
      <w:r>
        <w:t>Assignment lock, outcome attribution and learning governance defined.</w:t>
      </w:r>
    </w:p>
    <w:p>
      <w:pPr>
        <w:pStyle w:val="ListBullet"/>
        <w:spacing w:after="40"/>
      </w:pPr>
      <w:r>
        <w:t>Versioning, auditability and recovery rules defined.</w:t>
      </w:r>
    </w:p>
    <w:p>
      <w:pPr>
        <w:pStyle w:val="ListBullet"/>
        <w:spacing w:after="40"/>
      </w:pPr>
      <w:r>
        <w:t>Compatibility with Orchestrator v1.1 explicitly established.</w:t>
      </w:r>
    </w:p>
    <w:p>
      <w:pPr>
        <w:pStyle w:val="ListBullet"/>
      </w:pPr>
      <w:r>
        <w:t>Participant isolation principle defined.</w:t>
      </w:r>
    </w:p>
    <w:p>
      <w:pPr>
        <w:pStyle w:val="ListBullet"/>
      </w:pPr>
      <w:r>
        <w:t>Participant Identity &amp; Battlefield Control Contract established.</w:t>
      </w:r>
    </w:p>
    <w:p>
      <w:pPr>
        <w:pStyle w:val="ListBullet"/>
      </w:pPr>
      <w:r>
        <w:t>Creator/methodology identity explicitly prohibited as a participant default.</w:t>
      </w:r>
    </w:p>
    <w:p>
      <w:pPr>
        <w:pStyle w:val="ListBullet"/>
      </w:pPr>
      <w:r>
        <w:t>Knowledge/example/test/other-user context prohibited from silently supplying participant identity or battlefield.</w:t>
      </w:r>
    </w:p>
    <w:p>
      <w:pPr>
        <w:pStyle w:val="ListBullet"/>
      </w:pPr>
      <w:r>
        <w:t>First-time minimum onboarding constrained to company name/website + battlefield when both are unknown.</w:t>
      </w:r>
    </w:p>
    <w:p>
      <w:pPr>
        <w:pStyle w:val="ListBullet"/>
      </w:pPr>
      <w:r>
        <w:t>Mandatory handoff, conflict, recovery, prohibited-behavior and pre-release controls updated for multi-user isolation.</w:t>
      </w:r>
    </w:p>
    <w:p>
      <w:pPr>
        <w:pStyle w:val="ListBullet"/>
      </w:pPr>
      <w:r>
        <w:t>Compatibility with Orchestrator v1.3 explicitly established.</w:t>
      </w:r>
    </w:p>
    <w:p>
      <w:pPr>
        <w:pStyle w:val="ListBullet"/>
      </w:pPr>
      <w:r>
        <w:t>Same-Turn Mission Completion governance principle defined.</w:t>
      </w:r>
    </w:p>
    <w:p>
      <w:pPr>
        <w:pStyle w:val="ListBullet"/>
      </w:pPr>
      <w:r>
        <w:t>False continuation / premature turn end added to conflict taxonomy.</w:t>
      </w:r>
    </w:p>
    <w:p>
      <w:pPr>
        <w:pStyle w:val="ListBullet"/>
      </w:pPr>
      <w:r>
        <w:t>Repeated 'Adelante' after final material input explicitly prohibited as a workflow dependency.</w:t>
      </w:r>
    </w:p>
    <w:p>
      <w:pPr>
        <w:pStyle w:val="ListBullet"/>
      </w:pPr>
      <w:r>
        <w:t>Unavailable CRM/DNC/ownership cannot terminate otherwise executable research.</w:t>
      </w:r>
    </w:p>
    <w:p>
      <w:pPr>
        <w:pStyle w:val="ListBullet"/>
      </w:pPr>
      <w:r>
        <w:t>Mandatory handoff and recovery rules updated for response-level completion.</w:t>
      </w:r>
    </w:p>
    <w:p>
      <w:pPr>
        <w:pStyle w:val="ListBullet"/>
      </w:pPr>
      <w:r>
        <w:t>Compatibility with Orchestrator v1.3 explicitly established.</w:t>
      </w:r>
    </w:p>
    <w:p>
      <w:pPr>
        <w:spacing w:after="100"/>
        <w:jc w:val="center"/>
      </w:pPr>
      <w:r>
        <w:rPr>
          <w:b/>
        </w:rPr>
        <w:t>DOCUMENT 02 STATUS: READY FOR REGRESSION TESTING</w:t>
      </w:r>
    </w:p>
    <w:sectPr w:rsidR="00FC693F" w:rsidRPr="0006063C" w:rsidSect="00034616">
      <w:footerReference w:type="default" r:id="rId9"/>
      <w:head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Salesbumm · Governance &amp; Control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GAP Prospecting AI · Orchestrator Control Contract v1.3 · Document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w:hAnsi="Aptos"/>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