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06E"/>
          <w:sz w:val="36"/>
        </w:rPr>
        <w:t>قواعد تحديث Codex التلقائي</w:t>
      </w:r>
    </w:p>
    <w:p>
      <w:pPr>
        <w:jc w:val="center"/>
      </w:pPr>
      <w:r>
        <w:rPr>
          <w:color w:val="5A5A5A"/>
          <w:sz w:val="22"/>
        </w:rPr>
        <w:t>القواعد التي تمت إضافتها إلى ملفات البرومبت</w:t>
      </w:r>
    </w:p>
    <w:p/>
    <w:p>
      <w:pPr>
        <w:pStyle w:val="Heading1"/>
      </w:pPr>
      <w:r>
        <w:t>قبل بداية التاسك</w:t>
      </w:r>
    </w:p>
    <w:p>
      <w:r>
        <w:t>يشغّل Codex أمر start برقم النسخة والتاسك.</w:t>
      </w:r>
    </w:p>
    <w:p>
      <w:pPr>
        <w:pStyle w:val="Heading1"/>
      </w:pPr>
      <w:r>
        <w:t>بعد الانتهاء</w:t>
      </w:r>
    </w:p>
    <w:p>
      <w:r>
        <w:t>يشغّل Codex أمر done مع رقم البرومبت ونتيجة الاختبارات وملخص.</w:t>
      </w:r>
    </w:p>
    <w:p>
      <w:pPr>
        <w:pStyle w:val="Heading1"/>
      </w:pPr>
      <w:r>
        <w:t>عند التعطل</w:t>
      </w:r>
    </w:p>
    <w:p>
      <w:r>
        <w:t>يشغّل Codex أمر block مع سبب واضح.</w:t>
      </w:r>
    </w:p>
    <w:p>
      <w:pPr>
        <w:pStyle w:val="Heading1"/>
      </w:pPr>
      <w:r>
        <w:t>ما لا يفعله Codex</w:t>
      </w:r>
    </w:p>
    <w:p>
      <w:r>
        <w:t>لا يعلّم التاسك verified ولا يغيّر نسخ مستقبلية إلا إذا كان البرومبت مخصصًا لها.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