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 w:cs="Arial"/>
          <w:b/>
          <w:sz w:val="40"/>
        </w:rPr>
        <w:t>KABEERI Database File — Notification Center &amp; Unified Inbox Database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قاعدة بيانات الإشعارات والرسائل الموحدة</w:t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KABEERI / Kabeeri — powered by ADMIT</w:t>
      </w:r>
    </w:p>
    <w:p>
      <w:pPr>
        <w:bidi w:val="1"/>
        <w:jc w:val="right"/>
      </w:pPr>
      <w:r>
        <w:rPr>
          <w:rFonts w:ascii="Arial" w:hAnsi="Arial" w:cs="Arial"/>
          <w:b w:val="0"/>
          <w:sz w:val="18"/>
        </w:rPr>
        <w:t>الحالة: Canonical Draft 1.0 | اللغة: العربية | قابل للتنفيذ داخل Laravel Modular Monolith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1. الهدف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Notification Center وUnified Inbox هما طبقتان مركزيتان تخدمان CMS وRabet وCommerce وERP وMall وAI وSecurity. لا يجوز لكل module أن يبني نظام إشعارات منفصل.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2. Notification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الجدول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الدور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notification_templates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قوالب الرسائل حسب النوع والقناة واللغة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notification_preferences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تفضيلات المستخدم والقنوات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notifications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الإشعار الداخلي الأساسي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notification_deliveries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تسليم الإشعار لقناة محددة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notification_delivery_attempts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محاولات الإرسال والفشل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notification_routing_rules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قواعد التوجيه حسب الدور/السياق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notification_digest_jobs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التجميع اليومي/الأسبوعي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notification_suppression_rules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منع الإزعاج أو التكرار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3. Unified Inbox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الجدول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الدور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inbox_conversations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محادثة مرتبطة بسياق أو كيان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inbox_participants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المشاركون وصلاحياتهم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inbox_messages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الرسائل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inbox_message_attachments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مرفقات الرسائل عبر media/documents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inbox_mentions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mentions للمستخدمين أو الفرق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inbox_read_receipts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قراءة الرسائل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inbox_conversation_links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ربط المحادثة بـ order/lead/dispute/verification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inbox_access_logs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تتبع الوصول للرسائل الحساسة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inbox_retention_policies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سياسات الاحتفاظ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4. Conversation Types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service_request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mall_inquiry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order_support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verification_review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legal_partner_review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dispute_case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team_internal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system_alert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ai_assisted_thread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5. Flows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Service request → conversation created → business notified → optional CRM lead.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Verification request assigned → legal partner sees only assigned conversation and documents.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Dispute opened → dispute conversation locks participants and evidence access.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AI suggests reply → preview → user approves before sending.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6. Privacy Rules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Inbox is context-first and permission-aware.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Private employee evaluations do not appear in public/talent inbox.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Legal documents require sensitive access logs.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Portable export includes only tenant conversations allowed by retention policy.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