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KABEERI / powered by ADMIT</w:t>
      </w:r>
    </w:p>
    <w:p>
      <w:pPr>
        <w:jc w:val="center"/>
        <w:bidi w:val="1"/>
      </w:pPr>
      <w:r>
        <w:rPr>
          <w:rFonts w:ascii="Arial" w:hAnsi="Arial" w:cs="Arial"/>
          <w:b/>
          <w:sz w:val="40"/>
          <w:rtl w:val="1"/>
        </w:rPr>
        <w:t>KABEERI Database v1.1.0 Addendum</w:t>
      </w:r>
    </w:p>
    <w:p>
      <w:pPr>
        <w:jc w:val="center"/>
        <w:bidi w:val="1"/>
      </w:pPr>
      <w:r>
        <w:rPr>
          <w:rFonts w:ascii="Arial" w:hAnsi="Arial" w:cs="Arial"/>
          <w:b w:val="0"/>
          <w:sz w:val="22"/>
          <w:rtl w:val="1"/>
        </w:rPr>
        <w:t>تحديث تنفيذي لجداول Work Network وAcademy وAffiliate وTheme/Plugin وMarketing Suite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الإصدار: v1.2.0 — Coding Ready</w:t>
      </w:r>
    </w:p>
    <w:p>
      <w:pPr>
        <w:jc w:val="center"/>
        <w:bidi w:val="1"/>
      </w:pPr>
      <w:r>
        <w:rPr>
          <w:rFonts w:ascii="Arial" w:hAnsi="Arial" w:cs="Arial"/>
          <w:b w:val="0"/>
          <w:sz w:val="18"/>
          <w:rtl w:val="1"/>
        </w:rPr>
        <w:t>تاريخ التحديث: 2026-05-05</w:t>
      </w:r>
    </w:p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1. هدف هذا الملحق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هذا الملحق يحول توسعات v1.1.0 إلى جداول تنفيذية واضحة قبل كتابة migrations. لا يستبدل ملفات الداتابيز السابقة، بل يضيف طبقة Coding-ready فوقها حتى لا تضيع كيانات Work Network وAcademy وAffiliate وTheme Recipes وMarketing Suite أثناء التنفيذ.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جدول جديد يجب أن يكون tenant-scoped عند الحاجة عبر organization_id.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كيان يظهر للعامة يجب أن يحترم visibility وpublication_status.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قدرة مهنية أو شراكة لا تفتح إلا بعد Academy / verification / approval حسب النوع.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كل عمولة أو إحالة يجب أن تمر عبر attribution event قابل للتدقيق.</w:t>
      </w:r>
    </w:p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2. مجموعات الجداول الجديدة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المجموعة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الجداول الأساسية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تعتمد على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 Capabilities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user_capabilities, capability_definitions, capability_levels, capability_status_events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users, user_profiles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academy_courses, academy_learning_paths, academy_enrollments, academy_assessments, academy_certifications, professional_badges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users, media_assets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Work Network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work_network_profiles, app_builder_profiles, growth_partner_profiles, work_network_service_listings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users, professional_profiles, reviews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 Partner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agency_accreditations, agency_team_capabilities, agency_managed_apps, agency_client_access_grants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organizations, sites, users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Legal Partner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legal_partner_accreditations, legal_partner_country_scopes, legal_partner_review_capacity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companies, verification_requests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Affiliate / Partner Commerce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affiliate_programs, affiliate_links, attribution_events, partner_agreements, partner_storefronts, catalog_sharing_rules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users, organizations, products, services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Themes &amp; Plugins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theme_app_recipes, plugin_bundles, theme_plugin_bundle_matrix, package_install_recipes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packages, themes, sites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 Suite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marketing_campaigns, marketing_contacts, marketing_events, marketing_conversions, marketing_segments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forms, crm_leads, orders, customers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3. User Capabilities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الـ capability هي عنوان عملي يمكن إضافته لملف الشخص بعد تعلم واختبار واعتماد. لا يتم إنشاء حساب جديد لكل وظيفة؛ نفس user يمكن أن يحمل أكثر من capability.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الجدول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أهم الحقول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capability_definitions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تعريف كل وظيفة قابلة للتفعيل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id, key, name, category, requires_academy, requires_review, status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capability_levels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مستويات كل وظيفة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id, capability_key, level_number, label, requirements_json, unlocked_features_json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user_capabilities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قدرات المستخدم الفعلية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id, user_id, capability_key, level_number, status, approved_at, revoked_at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capability_status_events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تاريخ تغييرات القدرة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id, user_capability_id, event_type, actor_user_id, reason, created_at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4. Academy &amp; Badges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Kabeeri Academy هي بوابة فتح القدرات المهنية. أي App Builder أو Growth Partner أو Migration Specialist لا يظهر كمعتمد إلا بعد learning path واختبار.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</w:tblGrid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الجدول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ملاحظات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academy_courses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الكورسات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يدعم free/pro/internal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academy_learning_paths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مسارات الوظائف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مثال: App Builder Level 1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academy_enrollments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تسجيل المستخدم في مسار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يرتبط بـ user_id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academy_assessments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الاختبارات النظرية والعملية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quiz/practical/review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academy_certifications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الشهادات النهائية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تفتح capability أو level</w:t>
            </w:r>
          </w:p>
        </w:tc>
      </w:tr>
      <w:tr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professional_badges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الشارات العامة على الملف</w:t>
            </w:r>
          </w:p>
        </w:tc>
        <w:tc>
          <w:tcPr>
            <w:tcW w:type="dxa" w:w="3456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تظهر في Talent/Mall/Work Network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5. Agency Partner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Agency Partner هو Organization/Company مع اعتماد سنوي وفريق. ليس مجرد مستخدم فردي. يمكنه إدارة تطبيقات عملائه عبر صلاحيات محددة ومؤقتة.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الجدول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agency_accreditations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اعتماد الوكالة السنوي وحالته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agency_team_capabilities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قدرات أعضاء فريق الوكالة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agency_managed_apps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التطبيقات التي تديرها الوكالة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agency_client_access_grants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صلاحيات الوصول لتطبيقات العملاء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agency_client_reports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تقارير العملاء الدورية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agency_service_packages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باقات تنفيذ الوكالة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6. Affiliate / Partner Commerce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هذه الطبقة تدعم Growth Partners وPartner Storefronts بدون نقل ملكية المنتجات. التاجر الأصلي يملك المنتج/الخدمة، والشريك يعرضها بتصريح ويحصل على عمولة.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الجدول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affiliate_programs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برامج الإحالة/العمولة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affiliate_links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روابط تسويق فريدة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attribution_events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أحداث التتبع first_touch/last_touch/conversion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partner_agreements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اتفاق التاجر والشريك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partner_storefronts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تطبيق واجهة المسوق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partner_storefront_items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العناصر المعروضة في واجهة المسوق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catalog_sharing_rules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قواعد مشاركة الكتالوج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partner_commission_events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الأحداث المالية للعمولات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partner_payout_holds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فترة الحجز ومكافحة الاحتيال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7. Theme Recipes &amp; Plugin Bundles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الثيم لا يحتوي البلجنات داخله. الثيم يحتوي App Recipe يحدد required/recommended/optional packages حسب نوع المشروع.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الجدول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theme_app_recipes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وصفة التطبيق لكل ثيم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theme_recipe_packages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حزم مطلوبة/مقترحة/اختيارية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plugin_bundles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حزم جاهزة مثل Clinic Bundle أو Commerce Starter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plugin_bundle_items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محتويات كل bundle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theme_plugin_bundle_matrix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ربط 300 ثيم بالحزم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theme_industry_taxonomy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تصنيف المجالات والفلاتر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8. Marketing Suite</w:t>
      </w:r>
    </w:p>
    <w:p>
      <w:pPr>
        <w:jc w:val="right"/>
        <w:bidi w:val="1"/>
      </w:pPr>
      <w:r>
        <w:rPr>
          <w:rFonts w:ascii="Arial" w:hAnsi="Arial" w:cs="Arial"/>
          <w:b w:val="0"/>
          <w:rtl w:val="1"/>
        </w:rPr>
        <w:t>Marketing Core يسجل الحملات والمصادر والأحداث والتحويلات، ويتكامل مع Forms وCRM وCommerce وAffiliate.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84"/>
        <w:gridCol w:w="5184"/>
      </w:tblGrid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الجدول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/>
                <w:sz w:val="18"/>
                <w:rtl w:val="1"/>
              </w:rPr>
              <w:t>الغرض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marketing_campaigns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تعريف الحملات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marketing_channels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القنوات التسويقية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marketing_contacts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جهات الاتصال التسويقية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marketing_contact_consents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موافقات البريد/واتساب/SMS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marketing_events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أحداث تتبع عامة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marketing_conversions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تحويلات قابلة للقياس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marketing_segments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شرائح الجمهور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marketing_automation_runs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تشغيل أتمتة التسويق</w:t>
            </w:r>
          </w:p>
        </w:tc>
      </w:tr>
      <w:tr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marketing_campaign_reports</w:t>
            </w:r>
          </w:p>
        </w:tc>
        <w:tc>
          <w:tcPr>
            <w:tcW w:type="dxa" w:w="5184"/>
            <w:vAlign w:val="top"/>
          </w:tcPr>
          <w:p>
            <w:pPr>
              <w:jc w:val="right"/>
              <w:bidi w:val="1"/>
            </w:pPr>
            <w:r/>
            <w:r>
              <w:rPr>
                <w:rFonts w:ascii="Arial" w:hAnsi="Arial" w:cs="Arial"/>
                <w:b w:val="0"/>
                <w:sz w:val="18"/>
                <w:rtl w:val="1"/>
              </w:rPr>
              <w:t>ملخصات الأداء</w:t>
            </w:r>
          </w:p>
        </w:tc>
      </w:tr>
    </w:tbl>
    <w:p/>
    <w:p>
      <w:pPr>
        <w:pStyle w:val="Heading1"/>
        <w:jc w:val="right"/>
        <w:bidi w:val="1"/>
      </w:pPr>
      <w:r>
        <w:rPr>
          <w:rFonts w:ascii="Arial" w:hAnsi="Arial" w:cs="Arial"/>
          <w:b/>
          <w:sz w:val="36"/>
          <w:rtl w:val="1"/>
        </w:rPr>
        <w:t>9. قواعد التنفيذ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جدول جديد له بيانات عميل يجب أن يحتوي organization_id أو يرتبط بسجل يحتويه.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جدول public profile يجب أن يحتوي visibility وpublication_status.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token أو رابط إحالة لا يخزن secret كنص واضح؛ نخزن hash أو code آمن.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payout أو commission لا يصبح payable قبل انتهاء hold_period وrefund window.</w:t>
      </w:r>
    </w:p>
    <w:p>
      <w:pPr>
        <w:spacing w:after="40"/>
        <w:jc w:val="right"/>
        <w:bidi w:val="1"/>
      </w:pPr>
      <w:r>
        <w:rPr>
          <w:rFonts w:ascii="Arial" w:hAnsi="Arial" w:cs="Arial"/>
          <w:b w:val="0"/>
          <w:rtl w:val="1"/>
        </w:rPr>
        <w:t>• أي theme/package recipe لا يثبت حزمة مدفوعة بدون entitlement check واضح.</w:t>
      </w:r>
    </w:p>
    <w:sectPr w:rsidR="00FC693F" w:rsidRPr="0006063C" w:rsidSect="00034616">
      <w:pgSz w:w="12240" w:h="15840"/>
      <w:pgMar w:top="936" w:right="936" w:bottom="936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cs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cs="Arial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cs="Arial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Arial" w:hAnsi="Arial" w:cs="Arial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KABEERI Database v1.1.0 Addendum</dc:title>
  <dc:subject/>
  <dc:creator>KABEERI Architecture Team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