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bidi w:val="1"/>
      </w:pPr>
      <w:r>
        <w:rPr>
          <w:rFonts w:ascii="Arial" w:hAnsi="Arial" w:eastAsia="Arial"/>
          <w:b/>
          <w:color w:val="1F4E79"/>
          <w:sz w:val="36"/>
        </w:rPr>
        <w:t>KABEERI User, Partner &amp; Work Network Architecture</w:t>
      </w:r>
    </w:p>
    <w:p>
      <w:pPr>
        <w:jc w:val="center"/>
        <w:bidi w:val="1"/>
      </w:pPr>
      <w:r>
        <w:rPr>
          <w:rFonts w:ascii="Arial" w:hAnsi="Arial" w:eastAsia="Arial"/>
          <w:b/>
          <w:color w:val="595959"/>
          <w:sz w:val="22"/>
        </w:rPr>
        <w:t>معمارية المستخدمين، الشركاء، القدرات المهنية، وشبكة عمل كبيري</w:t>
      </w:r>
    </w:p>
    <w:p>
      <w:pPr>
        <w:jc w:val="center"/>
        <w:bidi w:val="1"/>
      </w:pPr>
      <w:r>
        <w:rPr>
          <w:rFonts w:ascii="Arial" w:hAnsi="Arial" w:eastAsia="Arial"/>
          <w:b w:val="0"/>
          <w:color w:val="6E6E6E"/>
          <w:sz w:val="18"/>
        </w:rPr>
        <w:t>KABEERI Professional Knowledge System — v1.1.0 — 2026-05-05</w:t>
      </w:r>
    </w:p>
    <w:p/>
    <w:p>
      <w:pPr>
        <w:pStyle w:val="Heading1"/>
        <w:jc w:val="right"/>
        <w:bidi w:val="1"/>
      </w:pPr>
      <w:r>
        <w:rPr>
          <w:rFonts w:ascii="Arial" w:hAnsi="Arial" w:eastAsia="Arial"/>
          <w:b/>
          <w:color w:val="1F4E79"/>
          <w:sz w:val="32"/>
        </w:rPr>
        <w:t>1. الهدف من الملف</w:t>
      </w:r>
    </w:p>
    <w:p>
      <w:pPr>
        <w:jc w:val="right"/>
        <w:bidi w:val="1"/>
      </w:pPr>
      <w:r>
        <w:rPr>
          <w:rFonts w:ascii="Arial" w:hAnsi="Arial" w:eastAsia="Arial"/>
          <w:b w:val="0"/>
          <w:sz w:val="21"/>
        </w:rPr>
        <w:t>هذا الملف يثبت نموذج الأشخاص داخل Kabeeri بحيث لا تصبح المنصة مجرد CMS أو Marketplace، بل منظومة تخلق فرص عمل حرة ومسارات دخل للشباب والشركات والوكالات.</w:t>
      </w:r>
    </w:p>
    <w:p>
      <w:pPr>
        <w:jc w:val="right"/>
        <w:bidi w:val="1"/>
      </w:pPr>
      <w:r>
        <w:rPr>
          <w:rFonts w:ascii="Arial" w:hAnsi="Arial" w:eastAsia="Arial"/>
          <w:b w:val="0"/>
          <w:sz w:val="20"/>
        </w:rPr>
        <w:t>• User واحد يمكن أن يمتلك أكثر من ملف وقدرة مهنية.</w:t>
      </w:r>
    </w:p>
    <w:p>
      <w:pPr>
        <w:jc w:val="right"/>
        <w:bidi w:val="1"/>
      </w:pPr>
      <w:r>
        <w:rPr>
          <w:rFonts w:ascii="Arial" w:hAnsi="Arial" w:eastAsia="Arial"/>
          <w:b w:val="0"/>
          <w:sz w:val="20"/>
        </w:rPr>
        <w:t>• الشخص قد يكون مستخدمًا عاديًا، محترفًا، مسوقًا، باني تطبيقات، مبدعًا، أو عضوًا في وكالة.</w:t>
      </w:r>
    </w:p>
    <w:p>
      <w:pPr>
        <w:jc w:val="right"/>
        <w:bidi w:val="1"/>
      </w:pPr>
      <w:r>
        <w:rPr>
          <w:rFonts w:ascii="Arial" w:hAnsi="Arial" w:eastAsia="Arial"/>
          <w:b w:val="0"/>
          <w:sz w:val="20"/>
        </w:rPr>
        <w:t>• كل قدرة مهنية تفتح بعد تعلم واختبار واعتماد من Kabeeri Academy.</w:t>
      </w:r>
    </w:p>
    <w:p>
      <w:pPr>
        <w:jc w:val="right"/>
        <w:bidi w:val="1"/>
      </w:pPr>
      <w:r>
        <w:rPr>
          <w:rFonts w:ascii="Arial" w:hAnsi="Arial" w:eastAsia="Arial"/>
          <w:b w:val="0"/>
          <w:sz w:val="20"/>
        </w:rPr>
        <w:t>• Talent Marketplace عام، أما Work Network فهو شبكة وظائف مرتبطة ببيئة Kabeeri نفسها.</w:t>
      </w:r>
    </w:p>
    <w:p>
      <w:pPr>
        <w:pStyle w:val="Heading1"/>
        <w:jc w:val="right"/>
        <w:bidi w:val="1"/>
      </w:pPr>
      <w:r>
        <w:rPr>
          <w:rFonts w:ascii="Arial" w:hAnsi="Arial" w:eastAsia="Arial"/>
          <w:b/>
          <w:color w:val="1F4E79"/>
          <w:sz w:val="32"/>
        </w:rPr>
        <w:t>2. النموذج الأعلى للمستخدم</w:t>
      </w:r>
    </w:p>
    <w:p>
      <w:pPr>
        <w:jc w:val="right"/>
        <w:bidi w:val="1"/>
      </w:pPr>
      <w:r>
        <w:rPr>
          <w:rFonts w:ascii="Arial" w:hAnsi="Arial" w:eastAsia="Arial"/>
          <w:b w:val="0"/>
          <w:sz w:val="21"/>
        </w:rPr>
        <w:t>لا يتم إنشاء حسابات منفصلة لكل دور. يتم بناء النظام حول User واحد وله Profiles وCapabilities متعددة.</w:t>
      </w:r>
    </w:p>
    <w:p>
      <w:pPr>
        <w:jc w:val="right"/>
        <w:bidi w:val="1"/>
      </w:pPr>
      <w:r>
        <w:rPr>
          <w:rFonts w:ascii="Courier New" w:hAnsi="Courier New" w:eastAsia="Arial"/>
          <w:b w:val="0"/>
          <w:sz w:val="18"/>
        </w:rPr>
        <w:t>User → Personal Profile → Professional Profile → Capabilities → Badges → Levels → Public Visibility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/>
                <w:sz w:val="18"/>
              </w:rPr>
              <w:t>المفهوم</w:t>
            </w:r>
          </w:p>
        </w:tc>
        <w:tc>
          <w:tcPr>
            <w:tcW w:type="dxa" w:w="350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/>
                <w:sz w:val="18"/>
              </w:rPr>
              <w:t>المعنى</w:t>
            </w:r>
          </w:p>
        </w:tc>
        <w:tc>
          <w:tcPr>
            <w:tcW w:type="dxa" w:w="350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/>
                <w:sz w:val="18"/>
              </w:rPr>
              <w:t>ملاحظات</w:t>
            </w:r>
          </w:p>
        </w:tc>
      </w:tr>
      <w:tr>
        <w:tc>
          <w:tcPr>
            <w:tcW w:type="dxa" w:w="350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User</w:t>
            </w:r>
          </w:p>
        </w:tc>
        <w:tc>
          <w:tcPr>
            <w:tcW w:type="dxa" w:w="350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الشخص الحقيقي الذي يسجل في المنصة</w:t>
            </w:r>
          </w:p>
        </w:tc>
        <w:tc>
          <w:tcPr>
            <w:tcW w:type="dxa" w:w="350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لا يحتوي company_id أو role ثابت</w:t>
            </w:r>
          </w:p>
        </w:tc>
      </w:tr>
      <w:tr>
        <w:tc>
          <w:tcPr>
            <w:tcW w:type="dxa" w:w="350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Professional Profile</w:t>
            </w:r>
          </w:p>
        </w:tc>
        <w:tc>
          <w:tcPr>
            <w:tcW w:type="dxa" w:w="350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ملف مهني عام أو خاص</w:t>
            </w:r>
          </w:p>
        </w:tc>
        <w:tc>
          <w:tcPr>
            <w:tcW w:type="dxa" w:w="350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يظهر في Talent Marketplace حسب الخصوصية</w:t>
            </w:r>
          </w:p>
        </w:tc>
      </w:tr>
      <w:tr>
        <w:tc>
          <w:tcPr>
            <w:tcW w:type="dxa" w:w="350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Capability</w:t>
            </w:r>
          </w:p>
        </w:tc>
        <w:tc>
          <w:tcPr>
            <w:tcW w:type="dxa" w:w="350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إمكانية عمل معتمدة</w:t>
            </w:r>
          </w:p>
        </w:tc>
        <w:tc>
          <w:tcPr>
            <w:tcW w:type="dxa" w:w="350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مثل App Builder أو Growth Partner</w:t>
            </w:r>
          </w:p>
        </w:tc>
      </w:tr>
      <w:tr>
        <w:tc>
          <w:tcPr>
            <w:tcW w:type="dxa" w:w="350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Badge</w:t>
            </w:r>
          </w:p>
        </w:tc>
        <w:tc>
          <w:tcPr>
            <w:tcW w:type="dxa" w:w="350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شارة تعلم/اعتماد</w:t>
            </w:r>
          </w:p>
        </w:tc>
        <w:tc>
          <w:tcPr>
            <w:tcW w:type="dxa" w:w="350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تفتح بعد اختبار أو مراجعة</w:t>
            </w:r>
          </w:p>
        </w:tc>
      </w:tr>
      <w:tr>
        <w:tc>
          <w:tcPr>
            <w:tcW w:type="dxa" w:w="350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Level</w:t>
            </w:r>
          </w:p>
        </w:tc>
        <w:tc>
          <w:tcPr>
            <w:tcW w:type="dxa" w:w="350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مستوى داخل القدرة</w:t>
            </w:r>
          </w:p>
        </w:tc>
        <w:tc>
          <w:tcPr>
            <w:tcW w:type="dxa" w:w="350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يؤثر على الظهور والصلاحيات والترشيحات</w:t>
            </w:r>
          </w:p>
        </w:tc>
      </w:tr>
    </w:tbl>
    <w:p/>
    <w:p>
      <w:pPr>
        <w:pStyle w:val="Heading1"/>
        <w:jc w:val="right"/>
        <w:bidi w:val="1"/>
      </w:pPr>
      <w:r>
        <w:rPr>
          <w:rFonts w:ascii="Arial" w:hAnsi="Arial" w:eastAsia="Arial"/>
          <w:b/>
          <w:color w:val="1F4E79"/>
          <w:sz w:val="32"/>
        </w:rPr>
        <w:t>3. التصنيف الرسمي للأشخاص والشركاء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/>
                <w:sz w:val="18"/>
              </w:rPr>
              <w:t>المجموعة</w:t>
            </w:r>
          </w:p>
        </w:tc>
        <w:tc>
          <w:tcPr>
            <w:tcW w:type="dxa" w:w="350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/>
                <w:sz w:val="18"/>
              </w:rPr>
              <w:t>الأدوار</w:t>
            </w:r>
          </w:p>
        </w:tc>
        <w:tc>
          <w:tcPr>
            <w:tcW w:type="dxa" w:w="350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/>
                <w:sz w:val="18"/>
              </w:rPr>
              <w:t>الغرض</w:t>
            </w:r>
          </w:p>
        </w:tc>
      </w:tr>
      <w:tr>
        <w:tc>
          <w:tcPr>
            <w:tcW w:type="dxa" w:w="350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Public Users</w:t>
            </w:r>
          </w:p>
        </w:tc>
        <w:tc>
          <w:tcPr>
            <w:tcW w:type="dxa" w:w="350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Visitor, Free Personal Account</w:t>
            </w:r>
          </w:p>
        </w:tc>
        <w:tc>
          <w:tcPr>
            <w:tcW w:type="dxa" w:w="350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تصفح وتسجيل عادي</w:t>
            </w:r>
          </w:p>
        </w:tc>
      </w:tr>
      <w:tr>
        <w:tc>
          <w:tcPr>
            <w:tcW w:type="dxa" w:w="350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Customers</w:t>
            </w:r>
          </w:p>
        </w:tc>
        <w:tc>
          <w:tcPr>
            <w:tcW w:type="dxa" w:w="350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Organization Owner, Company Owner, App Owner</w:t>
            </w:r>
          </w:p>
        </w:tc>
        <w:tc>
          <w:tcPr>
            <w:tcW w:type="dxa" w:w="350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امتلاك التطبيقات والشركات والمتاجر</w:t>
            </w:r>
          </w:p>
        </w:tc>
      </w:tr>
      <w:tr>
        <w:tc>
          <w:tcPr>
            <w:tcW w:type="dxa" w:w="350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Talent Marketplace</w:t>
            </w:r>
          </w:p>
        </w:tc>
        <w:tc>
          <w:tcPr>
            <w:tcW w:type="dxa" w:w="350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Freelancer, Professional, Service Provider</w:t>
            </w:r>
          </w:p>
        </w:tc>
        <w:tc>
          <w:tcPr>
            <w:tcW w:type="dxa" w:w="350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عرض المهارات والمؤهلات والخدمات بدون عمولة تنفيذ</w:t>
            </w:r>
          </w:p>
        </w:tc>
      </w:tr>
      <w:tr>
        <w:tc>
          <w:tcPr>
            <w:tcW w:type="dxa" w:w="350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Kabeeri Work Network</w:t>
            </w:r>
          </w:p>
        </w:tc>
        <w:tc>
          <w:tcPr>
            <w:tcW w:type="dxa" w:w="350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Growth Partner, App Builder, Migration Specialist, Support Specialist</w:t>
            </w:r>
          </w:p>
        </w:tc>
        <w:tc>
          <w:tcPr>
            <w:tcW w:type="dxa" w:w="350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تشغيل وتنمية منظومة Kabeeri</w:t>
            </w:r>
          </w:p>
        </w:tc>
      </w:tr>
      <w:tr>
        <w:tc>
          <w:tcPr>
            <w:tcW w:type="dxa" w:w="350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Creator Network</w:t>
            </w:r>
          </w:p>
        </w:tc>
        <w:tc>
          <w:tcPr>
            <w:tcW w:type="dxa" w:w="350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Theme Creator, Plugin Creator, AI Skill Creator</w:t>
            </w:r>
          </w:p>
        </w:tc>
        <w:tc>
          <w:tcPr>
            <w:tcW w:type="dxa" w:w="350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بناء أصول قابلة للبيع داخل المتجر</w:t>
            </w:r>
          </w:p>
        </w:tc>
      </w:tr>
      <w:tr>
        <w:tc>
          <w:tcPr>
            <w:tcW w:type="dxa" w:w="350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Agency Partners</w:t>
            </w:r>
          </w:p>
        </w:tc>
        <w:tc>
          <w:tcPr>
            <w:tcW w:type="dxa" w:w="350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Agency Owner, Team Members</w:t>
            </w:r>
          </w:p>
        </w:tc>
        <w:tc>
          <w:tcPr>
            <w:tcW w:type="dxa" w:w="350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إدارة عملاء وتطبيقات متعددة</w:t>
            </w:r>
          </w:p>
        </w:tc>
      </w:tr>
      <w:tr>
        <w:tc>
          <w:tcPr>
            <w:tcW w:type="dxa" w:w="350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Legal Partners</w:t>
            </w:r>
          </w:p>
        </w:tc>
        <w:tc>
          <w:tcPr>
            <w:tcW w:type="dxa" w:w="350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Rabet Legal Partner</w:t>
            </w:r>
          </w:p>
        </w:tc>
        <w:tc>
          <w:tcPr>
            <w:tcW w:type="dxa" w:w="350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مراجعة أوراق الشركات والتوثيق المدفوع</w:t>
            </w:r>
          </w:p>
        </w:tc>
      </w:tr>
      <w:tr>
        <w:tc>
          <w:tcPr>
            <w:tcW w:type="dxa" w:w="350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Platform Team</w:t>
            </w:r>
          </w:p>
        </w:tc>
        <w:tc>
          <w:tcPr>
            <w:tcW w:type="dxa" w:w="350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Admin, Reviewer, Support, Developer Relations</w:t>
            </w:r>
          </w:p>
        </w:tc>
        <w:tc>
          <w:tcPr>
            <w:tcW w:type="dxa" w:w="350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حوكمة وتشغيل المنصة</w:t>
            </w:r>
          </w:p>
        </w:tc>
      </w:tr>
    </w:tbl>
    <w:p/>
    <w:p>
      <w:pPr>
        <w:pStyle w:val="Heading1"/>
        <w:jc w:val="right"/>
        <w:bidi w:val="1"/>
      </w:pPr>
      <w:r>
        <w:rPr>
          <w:rFonts w:ascii="Arial" w:hAnsi="Arial" w:eastAsia="Arial"/>
          <w:b/>
          <w:color w:val="1F4E79"/>
          <w:sz w:val="32"/>
        </w:rPr>
        <w:t>4. Capabilities الأساسية</w:t>
      </w:r>
    </w:p>
    <w:p>
      <w:pPr>
        <w:jc w:val="right"/>
        <w:bidi w:val="1"/>
      </w:pPr>
      <w:r>
        <w:rPr>
          <w:rFonts w:ascii="Arial" w:hAnsi="Arial" w:eastAsia="Arial"/>
          <w:b w:val="0"/>
          <w:sz w:val="21"/>
        </w:rPr>
        <w:t>القدرات ليست مجرد titles. كل قدرة لها تعليم، اختبار، صلاحيات، مستوى، ظهور، ومراجعة.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/>
                <w:sz w:val="18"/>
              </w:rPr>
              <w:t>Capability</w:t>
            </w:r>
          </w:p>
        </w:tc>
        <w:tc>
          <w:tcPr>
            <w:tcW w:type="dxa" w:w="350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/>
                <w:sz w:val="18"/>
              </w:rPr>
              <w:t>الوصف</w:t>
            </w:r>
          </w:p>
        </w:tc>
        <w:tc>
          <w:tcPr>
            <w:tcW w:type="dxa" w:w="350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/>
                <w:sz w:val="18"/>
              </w:rPr>
              <w:t>الاعتماد المطلوب</w:t>
            </w:r>
          </w:p>
        </w:tc>
      </w:tr>
      <w:tr>
        <w:tc>
          <w:tcPr>
            <w:tcW w:type="dxa" w:w="350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Kabeeri Growth Partner</w:t>
            </w:r>
          </w:p>
        </w:tc>
        <w:tc>
          <w:tcPr>
            <w:tcW w:type="dxa" w:w="350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تسويق المنصة والعملاء وربط الإحالات والعمولات</w:t>
            </w:r>
          </w:p>
        </w:tc>
        <w:tc>
          <w:tcPr>
            <w:tcW w:type="dxa" w:w="350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دورة Growth Partner + قواعد منع الاحتيال</w:t>
            </w:r>
          </w:p>
        </w:tc>
      </w:tr>
      <w:tr>
        <w:tc>
          <w:tcPr>
            <w:tcW w:type="dxa" w:w="350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Kabeeri App Builder</w:t>
            </w:r>
          </w:p>
        </w:tc>
        <w:tc>
          <w:tcPr>
            <w:tcW w:type="dxa" w:w="350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بناء تطبيقات/مواقع/متاجر للعملاء باستخدام الثيمات والإضافات</w:t>
            </w:r>
          </w:p>
        </w:tc>
        <w:tc>
          <w:tcPr>
            <w:tcW w:type="dxa" w:w="350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اختبار عملي لبناء تطبيق وتسليمه</w:t>
            </w:r>
          </w:p>
        </w:tc>
      </w:tr>
      <w:tr>
        <w:tc>
          <w:tcPr>
            <w:tcW w:type="dxa" w:w="350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Kabeeri Creator</w:t>
            </w:r>
          </w:p>
        </w:tc>
        <w:tc>
          <w:tcPr>
            <w:tcW w:type="dxa" w:w="350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تطوير ثيمات/إضافات/قوالب/AI Skills</w:t>
            </w:r>
          </w:p>
        </w:tc>
        <w:tc>
          <w:tcPr>
            <w:tcW w:type="dxa" w:w="350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Developer docs + package review</w:t>
            </w:r>
          </w:p>
        </w:tc>
      </w:tr>
      <w:tr>
        <w:tc>
          <w:tcPr>
            <w:tcW w:type="dxa" w:w="350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Kabeeri Migration Specialist</w:t>
            </w:r>
          </w:p>
        </w:tc>
        <w:tc>
          <w:tcPr>
            <w:tcW w:type="dxa" w:w="350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هجرة WordPress/WooCommerce وتحسين ما بعد النقل</w:t>
            </w:r>
          </w:p>
        </w:tc>
        <w:tc>
          <w:tcPr>
            <w:tcW w:type="dxa" w:w="350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Migration lab + SEO/redirects test</w:t>
            </w:r>
          </w:p>
        </w:tc>
      </w:tr>
      <w:tr>
        <w:tc>
          <w:tcPr>
            <w:tcW w:type="dxa" w:w="350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Kabeeri Support Specialist</w:t>
            </w:r>
          </w:p>
        </w:tc>
        <w:tc>
          <w:tcPr>
            <w:tcW w:type="dxa" w:w="350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دعم العملاء والتدريب والإعدادات</w:t>
            </w:r>
          </w:p>
        </w:tc>
        <w:tc>
          <w:tcPr>
            <w:tcW w:type="dxa" w:w="350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Support policy + troubleshooting test</w:t>
            </w:r>
          </w:p>
        </w:tc>
      </w:tr>
      <w:tr>
        <w:tc>
          <w:tcPr>
            <w:tcW w:type="dxa" w:w="350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Kabeeri Commerce Builder</w:t>
            </w:r>
          </w:p>
        </w:tc>
        <w:tc>
          <w:tcPr>
            <w:tcW w:type="dxa" w:w="350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تجهيز المتاجر والدفع والشحن والمنتجات</w:t>
            </w:r>
          </w:p>
        </w:tc>
        <w:tc>
          <w:tcPr>
            <w:tcW w:type="dxa" w:w="350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Commerce setup exam</w:t>
            </w:r>
          </w:p>
        </w:tc>
      </w:tr>
      <w:tr>
        <w:tc>
          <w:tcPr>
            <w:tcW w:type="dxa" w:w="350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Kabeeri SEO &amp; Content Specialist</w:t>
            </w:r>
          </w:p>
        </w:tc>
        <w:tc>
          <w:tcPr>
            <w:tcW w:type="dxa" w:w="350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إعداد المحتوى والسيو والصفحات</w:t>
            </w:r>
          </w:p>
        </w:tc>
        <w:tc>
          <w:tcPr>
            <w:tcW w:type="dxa" w:w="350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SEO/content practical test</w:t>
            </w:r>
          </w:p>
        </w:tc>
      </w:tr>
      <w:tr>
        <w:tc>
          <w:tcPr>
            <w:tcW w:type="dxa" w:w="350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Kabeeri Automation Builder</w:t>
            </w:r>
          </w:p>
        </w:tc>
        <w:tc>
          <w:tcPr>
            <w:tcW w:type="dxa" w:w="350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بناء workflows وautomations</w:t>
            </w:r>
          </w:p>
        </w:tc>
        <w:tc>
          <w:tcPr>
            <w:tcW w:type="dxa" w:w="350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Workflows exam</w:t>
            </w:r>
          </w:p>
        </w:tc>
      </w:tr>
      <w:tr>
        <w:tc>
          <w:tcPr>
            <w:tcW w:type="dxa" w:w="350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Kabeeri Integration Specialist</w:t>
            </w:r>
          </w:p>
        </w:tc>
        <w:tc>
          <w:tcPr>
            <w:tcW w:type="dxa" w:w="350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ربط أنظمة خارجية وsync jobs</w:t>
            </w:r>
          </w:p>
        </w:tc>
        <w:tc>
          <w:tcPr>
            <w:tcW w:type="dxa" w:w="350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Integration Hub certification</w:t>
            </w:r>
          </w:p>
        </w:tc>
      </w:tr>
    </w:tbl>
    <w:p/>
    <w:p>
      <w:pPr>
        <w:pStyle w:val="Heading1"/>
        <w:jc w:val="right"/>
        <w:bidi w:val="1"/>
      </w:pPr>
      <w:r>
        <w:rPr>
          <w:rFonts w:ascii="Arial" w:hAnsi="Arial" w:eastAsia="Arial"/>
          <w:b/>
          <w:color w:val="1F4E79"/>
          <w:sz w:val="32"/>
        </w:rPr>
        <w:t>5. Levels والترقيات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/>
                <w:sz w:val="18"/>
              </w:rPr>
              <w:t>المستوى</w:t>
            </w:r>
          </w:p>
        </w:tc>
        <w:tc>
          <w:tcPr>
            <w:tcW w:type="dxa" w:w="350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/>
                <w:sz w:val="18"/>
              </w:rPr>
              <w:t>الوصف</w:t>
            </w:r>
          </w:p>
        </w:tc>
        <w:tc>
          <w:tcPr>
            <w:tcW w:type="dxa" w:w="350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/>
                <w:sz w:val="18"/>
              </w:rPr>
              <w:t>ما يفتحه</w:t>
            </w:r>
          </w:p>
        </w:tc>
      </w:tr>
      <w:tr>
        <w:tc>
          <w:tcPr>
            <w:tcW w:type="dxa" w:w="350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Level 0 — Learner</w:t>
            </w:r>
          </w:p>
        </w:tc>
        <w:tc>
          <w:tcPr>
            <w:tcW w:type="dxa" w:w="350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يتعلم داخل Academy</w:t>
            </w:r>
          </w:p>
        </w:tc>
        <w:tc>
          <w:tcPr>
            <w:tcW w:type="dxa" w:w="350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لا يظهر كمعتمد</w:t>
            </w:r>
          </w:p>
        </w:tc>
      </w:tr>
      <w:tr>
        <w:tc>
          <w:tcPr>
            <w:tcW w:type="dxa" w:w="350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Level 1 — Approved</w:t>
            </w:r>
          </w:p>
        </w:tc>
        <w:tc>
          <w:tcPr>
            <w:tcW w:type="dxa" w:w="350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اجتاز أساسيات الدور</w:t>
            </w:r>
          </w:p>
        </w:tc>
        <w:tc>
          <w:tcPr>
            <w:tcW w:type="dxa" w:w="350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يظهر في النتائج الأساسية</w:t>
            </w:r>
          </w:p>
        </w:tc>
      </w:tr>
      <w:tr>
        <w:tc>
          <w:tcPr>
            <w:tcW w:type="dxa" w:w="350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Level 2 — Verified</w:t>
            </w:r>
          </w:p>
        </w:tc>
        <w:tc>
          <w:tcPr>
            <w:tcW w:type="dxa" w:w="350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نفذ اختبارات أو مشاريع بسيطة</w:t>
            </w:r>
          </w:p>
        </w:tc>
        <w:tc>
          <w:tcPr>
            <w:tcW w:type="dxa" w:w="350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ترشيحات أكثر وصلاحيات أعلى</w:t>
            </w:r>
          </w:p>
        </w:tc>
      </w:tr>
      <w:tr>
        <w:tc>
          <w:tcPr>
            <w:tcW w:type="dxa" w:w="350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Level 3 — Certified</w:t>
            </w:r>
          </w:p>
        </w:tc>
        <w:tc>
          <w:tcPr>
            <w:tcW w:type="dxa" w:w="350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نفذ مشاريع ناجحة بتقييمات</w:t>
            </w:r>
          </w:p>
        </w:tc>
        <w:tc>
          <w:tcPr>
            <w:tcW w:type="dxa" w:w="350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إمكانية إدارة مشاريع أكبر</w:t>
            </w:r>
          </w:p>
        </w:tc>
      </w:tr>
      <w:tr>
        <w:tc>
          <w:tcPr>
            <w:tcW w:type="dxa" w:w="350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Level 4 — Expert</w:t>
            </w:r>
          </w:p>
        </w:tc>
        <w:tc>
          <w:tcPr>
            <w:tcW w:type="dxa" w:w="350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خبرة مثبتة وتخصص واضح</w:t>
            </w:r>
          </w:p>
        </w:tc>
        <w:tc>
          <w:tcPr>
            <w:tcW w:type="dxa" w:w="350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أولوية في الترشيحات</w:t>
            </w:r>
          </w:p>
        </w:tc>
      </w:tr>
      <w:tr>
        <w:tc>
          <w:tcPr>
            <w:tcW w:type="dxa" w:w="350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Level 5 — Official Partner</w:t>
            </w:r>
          </w:p>
        </w:tc>
        <w:tc>
          <w:tcPr>
            <w:tcW w:type="dxa" w:w="350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اعتماد رسمي أو وكالة/شريك قوي</w:t>
            </w:r>
          </w:p>
        </w:tc>
        <w:tc>
          <w:tcPr>
            <w:tcW w:type="dxa" w:w="350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ظهور مميز وفرص شراكة</w:t>
            </w:r>
          </w:p>
        </w:tc>
      </w:tr>
    </w:tbl>
    <w:p/>
    <w:p>
      <w:pPr>
        <w:pStyle w:val="Heading1"/>
        <w:jc w:val="right"/>
        <w:bidi w:val="1"/>
      </w:pPr>
      <w:r>
        <w:rPr>
          <w:rFonts w:ascii="Arial" w:hAnsi="Arial" w:eastAsia="Arial"/>
          <w:b/>
          <w:color w:val="1F4E79"/>
          <w:sz w:val="32"/>
        </w:rPr>
        <w:t>6. العلاقة مع Mall وRabet</w:t>
      </w:r>
    </w:p>
    <w:p>
      <w:pPr>
        <w:jc w:val="right"/>
        <w:bidi w:val="1"/>
      </w:pPr>
      <w:r>
        <w:rPr>
          <w:rFonts w:ascii="Arial" w:hAnsi="Arial" w:eastAsia="Arial"/>
          <w:b w:val="0"/>
          <w:sz w:val="21"/>
        </w:rPr>
        <w:t>كل ملف مهني يمكن أن يظهر في Talent Marketplace أو Work Network حسب القواعد. الملفات المرتبطة بالخدمات المهنية تظهر للعامة، أما الصلاحيات التشغيلية لا تفتح إلا بعد الاعتماد.</w:t>
      </w:r>
    </w:p>
    <w:p>
      <w:pPr>
        <w:jc w:val="right"/>
        <w:bidi w:val="1"/>
      </w:pPr>
      <w:r>
        <w:rPr>
          <w:rFonts w:ascii="Arial" w:hAnsi="Arial" w:eastAsia="Arial"/>
          <w:b w:val="0"/>
          <w:sz w:val="20"/>
        </w:rPr>
        <w:t>• Professional Profile هو الأصل العام.</w:t>
      </w:r>
    </w:p>
    <w:p>
      <w:pPr>
        <w:jc w:val="right"/>
        <w:bidi w:val="1"/>
      </w:pPr>
      <w:r>
        <w:rPr>
          <w:rFonts w:ascii="Arial" w:hAnsi="Arial" w:eastAsia="Arial"/>
          <w:b w:val="0"/>
          <w:sz w:val="20"/>
        </w:rPr>
        <w:t>• Work Network Capabilities تضيف شارات ومسارات عمل داخل Kabeeri.</w:t>
      </w:r>
    </w:p>
    <w:p>
      <w:pPr>
        <w:jc w:val="right"/>
        <w:bidi w:val="1"/>
      </w:pPr>
      <w:r>
        <w:rPr>
          <w:rFonts w:ascii="Arial" w:hAnsi="Arial" w:eastAsia="Arial"/>
          <w:b w:val="0"/>
          <w:sz w:val="20"/>
        </w:rPr>
        <w:t>• Agency Partner يجب أن يكون له Organization/Company وBusiness Profile.</w:t>
      </w:r>
    </w:p>
    <w:p>
      <w:pPr>
        <w:jc w:val="right"/>
        <w:bidi w:val="1"/>
      </w:pPr>
      <w:r>
        <w:rPr>
          <w:rFonts w:ascii="Arial" w:hAnsi="Arial" w:eastAsia="Arial"/>
          <w:b w:val="0"/>
          <w:sz w:val="20"/>
        </w:rPr>
        <w:t>• Legal Partner يدار تحت Rabet وليس Talent أو Work Network العام.</w:t>
      </w:r>
    </w:p>
    <w:p>
      <w:pPr>
        <w:pStyle w:val="Heading1"/>
        <w:jc w:val="right"/>
        <w:bidi w:val="1"/>
      </w:pPr>
      <w:r>
        <w:rPr>
          <w:rFonts w:ascii="Arial" w:hAnsi="Arial" w:eastAsia="Arial"/>
          <w:b/>
          <w:color w:val="1F4E79"/>
          <w:sz w:val="32"/>
        </w:rPr>
        <w:t>7. Roadmap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/>
                <w:sz w:val="18"/>
              </w:rPr>
              <w:t>الإصدار</w:t>
            </w:r>
          </w:p>
        </w:tc>
        <w:tc>
          <w:tcPr>
            <w:tcW w:type="dxa" w:w="52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/>
                <w:sz w:val="18"/>
              </w:rPr>
              <w:t>النطاق</w:t>
            </w:r>
          </w:p>
        </w:tc>
      </w:tr>
      <w:tr>
        <w:tc>
          <w:tcPr>
            <w:tcW w:type="dxa" w:w="52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V1</w:t>
            </w:r>
          </w:p>
        </w:tc>
        <w:tc>
          <w:tcPr>
            <w:tcW w:type="dxa" w:w="52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User profile + professional profile foundation + capability flags</w:t>
            </w:r>
          </w:p>
        </w:tc>
      </w:tr>
      <w:tr>
        <w:tc>
          <w:tcPr>
            <w:tcW w:type="dxa" w:w="52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V2</w:t>
            </w:r>
          </w:p>
        </w:tc>
        <w:tc>
          <w:tcPr>
            <w:tcW w:type="dxa" w:w="52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Talent public browsing + Academy first paths + Growth Partner basic</w:t>
            </w:r>
          </w:p>
        </w:tc>
      </w:tr>
      <w:tr>
        <w:tc>
          <w:tcPr>
            <w:tcW w:type="dxa" w:w="52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V3</w:t>
            </w:r>
          </w:p>
        </w:tc>
        <w:tc>
          <w:tcPr>
            <w:tcW w:type="dxa" w:w="52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App Builder projects + Migration/Support badges</w:t>
            </w:r>
          </w:p>
        </w:tc>
      </w:tr>
      <w:tr>
        <w:tc>
          <w:tcPr>
            <w:tcW w:type="dxa" w:w="52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V4</w:t>
            </w:r>
          </w:p>
        </w:tc>
        <w:tc>
          <w:tcPr>
            <w:tcW w:type="dxa" w:w="52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Agency Partner dashboard + Legal Partner Portal + advanced work matching</w:t>
            </w:r>
          </w:p>
        </w:tc>
      </w:tr>
      <w:tr>
        <w:tc>
          <w:tcPr>
            <w:tcW w:type="dxa" w:w="52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V5</w:t>
            </w:r>
          </w:p>
        </w:tc>
        <w:tc>
          <w:tcPr>
            <w:tcW w:type="dxa" w:w="52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Payouts, partner analytics, advanced commissions</w:t>
            </w:r>
          </w:p>
        </w:tc>
      </w:tr>
      <w:tr>
        <w:tc>
          <w:tcPr>
            <w:tcW w:type="dxa" w:w="52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V6</w:t>
            </w:r>
          </w:p>
        </w:tc>
        <w:tc>
          <w:tcPr>
            <w:tcW w:type="dxa" w:w="52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Full Work Network marketplace + enterprise partner programs</w:t>
            </w:r>
          </w:p>
        </w:tc>
      </w:tr>
    </w:tbl>
    <w:p/>
    <w:p>
      <w:pPr>
        <w:pStyle w:val="Heading1"/>
        <w:jc w:val="right"/>
        <w:bidi w:val="1"/>
      </w:pPr>
      <w:r>
        <w:rPr>
          <w:rFonts w:ascii="Arial" w:hAnsi="Arial" w:eastAsia="Arial"/>
          <w:b/>
          <w:color w:val="1F4E79"/>
          <w:sz w:val="32"/>
        </w:rPr>
        <w:t>ملحق تنفيذي</w:t>
      </w:r>
    </w:p>
    <w:p>
      <w:pPr>
        <w:jc w:val="right"/>
        <w:bidi w:val="1"/>
      </w:pPr>
      <w:r>
        <w:rPr>
          <w:rFonts w:ascii="Arial" w:hAnsi="Arial" w:eastAsia="Arial"/>
          <w:b w:val="0"/>
          <w:sz w:val="21"/>
        </w:rPr>
        <w:t>قاعدة الحوكمة: لا يفتح أي title حساس إلا بعد مسار تعليمي واختبار ومراجعة، مع سجل activity/audit لكل تفويض أو خدمة أو مشروع.</w:t>
      </w:r>
    </w:p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bidi w:val="1"/>
    </w:pPr>
    <w:r>
      <w:rPr>
        <w:rFonts w:ascii="Arial" w:hAnsi="Arial" w:eastAsia="Arial"/>
        <w:b w:val="0"/>
        <w:color w:val="6E6E6E"/>
        <w:sz w:val="16"/>
      </w:rPr>
      <w:t>KABEERI — Confidential Product Architecture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