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Fonts w:ascii="Arial" w:hAnsi="Arial" w:eastAsia="Arial"/>
          <w:b/>
          <w:sz w:val="24"/>
        </w:rPr>
        <w:t>KABEERI Backoffice Anywhere Architecture</w:t>
      </w:r>
    </w:p>
    <w:p>
      <w:pPr>
        <w:spacing w:after="80" w:line="252" w:lineRule="auto"/>
        <w:jc w:val="right"/>
        <w:bidi/>
      </w:pPr>
      <w:r>
        <w:rPr>
          <w:rFonts w:ascii="Arial" w:hAnsi="Arial" w:eastAsia="Arial"/>
          <w:b/>
          <w:sz w:val="20"/>
        </w:rPr>
        <w:t>استخدام النظام الإداري في Kabeeri لإدارة بزنس أو موقع أو متجر موجود خارج Kabeeri دون نقل الواجهة أو الدومين.</w:t>
      </w:r>
    </w:p>
    <w:p>
      <w:pPr>
        <w:spacing w:after="80" w:line="252" w:lineRule="auto"/>
        <w:jc w:val="right"/>
        <w:bidi/>
      </w:pPr>
      <w:r>
        <w:rPr>
          <w:rFonts w:ascii="Arial" w:hAnsi="Arial" w:eastAsia="Arial"/>
          <w:b w:val="0"/>
          <w:sz w:val="18"/>
        </w:rPr>
        <w:t>إصدار الحزمة: v1.3.0 — Coding Ready Final</w:t>
      </w:r>
    </w:p>
    <w:p>
      <w:pPr>
        <w:spacing w:after="80" w:line="252" w:lineRule="auto"/>
        <w:jc w:val="right"/>
        <w:bidi/>
      </w:pPr>
      <w:r>
        <w:rPr>
          <w:rFonts w:ascii="Arial" w:hAnsi="Arial" w:eastAsia="Arial"/>
          <w:b w:val="0"/>
          <w:sz w:val="16"/>
        </w:rPr>
        <w:t>ملاحظة: هذا الملف جزء من KABEERI Professional Knowledge System ويستخدم كمرجع تنفيذي مباشر قبل وأثناء التكويد.</w:t>
      </w:r>
    </w:p>
    <w:p>
      <w:pPr>
        <w:pStyle w:val="Heading1"/>
        <w:jc w:val="right"/>
        <w:bidi/>
      </w:pPr>
      <w:r>
        <w:rPr>
          <w:rFonts w:ascii="Arial" w:hAnsi="Arial" w:eastAsia="Arial"/>
          <w:b/>
          <w:sz w:val="32"/>
        </w:rPr>
        <w:t>1. التعريف</w:t>
      </w:r>
    </w:p>
    <w:p>
      <w:pPr>
        <w:spacing w:after="80" w:line="252" w:lineRule="auto"/>
        <w:jc w:val="right"/>
        <w:bidi/>
      </w:pPr>
      <w:r>
        <w:rPr>
          <w:rFonts w:ascii="Arial" w:hAnsi="Arial" w:eastAsia="Arial"/>
          <w:b w:val="0"/>
          <w:sz w:val="20"/>
        </w:rPr>
        <w:t>Backoffice Anywhere يعني أن العميل قد يظل على موقعه الحالي WordPress أو WooCommerce أو Shopify أو Custom، لكنه يستخدم Kabeeri لإدارة CRM، المنتجات، الخدمات، الكورسات، الحجوزات، التسويق، التقارير، Rabet، والمزامنة مع Kabeeri Mall.</w:t>
      </w:r>
    </w:p>
    <w:p>
      <w:pPr>
        <w:pStyle w:val="Heading1"/>
        <w:jc w:val="right"/>
        <w:bidi/>
      </w:pPr>
      <w:r>
        <w:rPr>
          <w:rFonts w:ascii="Arial" w:hAnsi="Arial" w:eastAsia="Arial"/>
          <w:b/>
          <w:sz w:val="32"/>
        </w:rPr>
        <w:t>2. لماذا مهم؟</w:t>
      </w:r>
    </w:p>
    <w:p>
      <w:pPr>
        <w:spacing w:after="80" w:line="252" w:lineRule="auto"/>
        <w:jc w:val="right"/>
        <w:bidi/>
      </w:pPr>
      <w:r>
        <w:rPr>
          <w:rFonts w:ascii="Arial" w:hAnsi="Arial" w:eastAsia="Arial"/>
          <w:b w:val="0"/>
          <w:sz w:val="20"/>
        </w:rPr>
        <w:t>يقلل مقاومة العملاء الذين لا يريدون نقل موقعهم فورًا.</w:t>
      </w:r>
    </w:p>
    <w:p>
      <w:pPr>
        <w:spacing w:after="80" w:line="252" w:lineRule="auto"/>
        <w:jc w:val="right"/>
        <w:bidi/>
      </w:pPr>
      <w:r>
        <w:rPr>
          <w:rFonts w:ascii="Arial" w:hAnsi="Arial" w:eastAsia="Arial"/>
          <w:b w:val="0"/>
          <w:sz w:val="20"/>
        </w:rPr>
        <w:t>يفتح قناة بيع Kabeeri كأداة إدارة وتشغيل وليس مجرد منشئ مواقع.</w:t>
      </w:r>
    </w:p>
    <w:p>
      <w:pPr>
        <w:spacing w:after="80" w:line="252" w:lineRule="auto"/>
        <w:jc w:val="right"/>
        <w:bidi/>
      </w:pPr>
      <w:r>
        <w:rPr>
          <w:rFonts w:ascii="Arial" w:hAnsi="Arial" w:eastAsia="Arial"/>
          <w:b w:val="0"/>
          <w:sz w:val="20"/>
        </w:rPr>
        <w:t>يمهد للهجرة لاحقًا عندما يثق العميل في النظام.</w:t>
      </w:r>
    </w:p>
    <w:p>
      <w:pPr>
        <w:spacing w:after="80" w:line="252" w:lineRule="auto"/>
        <w:jc w:val="right"/>
        <w:bidi/>
      </w:pPr>
      <w:r>
        <w:rPr>
          <w:rFonts w:ascii="Arial" w:hAnsi="Arial" w:eastAsia="Arial"/>
          <w:b w:val="0"/>
          <w:sz w:val="20"/>
        </w:rPr>
        <w:t>يسمح بظهور منتجات وخدمات وكورسات العميل في Kabeeri Mall من مصدر خارجي أو إداري.</w:t>
      </w:r>
    </w:p>
    <w:p>
      <w:pPr>
        <w:pStyle w:val="Heading1"/>
        <w:jc w:val="right"/>
        <w:bidi/>
      </w:pPr>
      <w:r>
        <w:rPr>
          <w:rFonts w:ascii="Arial" w:hAnsi="Arial" w:eastAsia="Arial"/>
          <w:b/>
          <w:sz w:val="32"/>
        </w:rPr>
        <w:t>3. الموديولات الممكن استخدامها</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pPr>
              <w:jc w:val="center"/>
              <w:bidi/>
            </w:pPr>
            <w:r/>
            <w:r>
              <w:rPr>
                <w:rFonts w:ascii="Arial" w:hAnsi="Arial" w:eastAsia="Arial"/>
                <w:b/>
                <w:sz w:val="18"/>
              </w:rPr>
              <w:t>الموديول</w:t>
            </w:r>
          </w:p>
        </w:tc>
        <w:tc>
          <w:tcPr>
            <w:tcW w:type="dxa" w:w="6236"/>
            <w:vAlign w:val="center"/>
            <w:shd w:fill="D9EAF7"/>
          </w:tcPr>
          <w:p>
            <w:pPr>
              <w:jc w:val="center"/>
              <w:bidi/>
            </w:pPr>
            <w:r/>
            <w:r>
              <w:rPr>
                <w:rFonts w:ascii="Arial" w:hAnsi="Arial" w:eastAsia="Arial"/>
                <w:b/>
                <w:sz w:val="18"/>
              </w:rPr>
              <w:t>الاستخدام</w:t>
            </w:r>
          </w:p>
        </w:tc>
      </w:tr>
      <w:tr>
        <w:tc>
          <w:tcPr>
            <w:tcW w:type="dxa" w:w="2835"/>
            <w:vAlign w:val="center"/>
          </w:tcPr>
          <w:p>
            <w:pPr>
              <w:jc w:val="right"/>
              <w:bidi/>
            </w:pPr>
            <w:r/>
            <w:r>
              <w:rPr>
                <w:rFonts w:ascii="Arial" w:hAnsi="Arial" w:eastAsia="Arial"/>
                <w:b w:val="0"/>
                <w:sz w:val="18"/>
              </w:rPr>
              <w:t>CRM / Leads</w:t>
            </w:r>
          </w:p>
        </w:tc>
        <w:tc>
          <w:tcPr>
            <w:tcW w:type="dxa" w:w="6236"/>
            <w:vAlign w:val="center"/>
          </w:tcPr>
          <w:p>
            <w:pPr>
              <w:jc w:val="right"/>
              <w:bidi/>
            </w:pPr>
            <w:r/>
            <w:r>
              <w:rPr>
                <w:rFonts w:ascii="Arial" w:hAnsi="Arial" w:eastAsia="Arial"/>
                <w:b w:val="0"/>
                <w:sz w:val="18"/>
              </w:rPr>
              <w:t>إدارة العملاء المحتملين من الموقع الخارجي أو المول</w:t>
            </w:r>
          </w:p>
        </w:tc>
      </w:tr>
      <w:tr>
        <w:tc>
          <w:tcPr>
            <w:tcW w:type="dxa" w:w="2835"/>
            <w:vAlign w:val="center"/>
          </w:tcPr>
          <w:p>
            <w:pPr>
              <w:jc w:val="right"/>
              <w:bidi/>
            </w:pPr>
            <w:r/>
            <w:r>
              <w:rPr>
                <w:rFonts w:ascii="Arial" w:hAnsi="Arial" w:eastAsia="Arial"/>
                <w:b w:val="0"/>
                <w:sz w:val="18"/>
              </w:rPr>
              <w:t>Products / Catalog</w:t>
            </w:r>
          </w:p>
        </w:tc>
        <w:tc>
          <w:tcPr>
            <w:tcW w:type="dxa" w:w="6236"/>
            <w:vAlign w:val="center"/>
          </w:tcPr>
          <w:p>
            <w:pPr>
              <w:jc w:val="right"/>
              <w:bidi/>
            </w:pPr>
            <w:r/>
            <w:r>
              <w:rPr>
                <w:rFonts w:ascii="Arial" w:hAnsi="Arial" w:eastAsia="Arial"/>
                <w:b w:val="0"/>
                <w:sz w:val="18"/>
              </w:rPr>
              <w:t>إدارة المنتجات ودفعها إلى موقع خارجي أو المول</w:t>
            </w:r>
          </w:p>
        </w:tc>
      </w:tr>
      <w:tr>
        <w:tc>
          <w:tcPr>
            <w:tcW w:type="dxa" w:w="2835"/>
            <w:vAlign w:val="center"/>
          </w:tcPr>
          <w:p>
            <w:pPr>
              <w:jc w:val="right"/>
              <w:bidi/>
            </w:pPr>
            <w:r/>
            <w:r>
              <w:rPr>
                <w:rFonts w:ascii="Arial" w:hAnsi="Arial" w:eastAsia="Arial"/>
                <w:b w:val="0"/>
                <w:sz w:val="18"/>
              </w:rPr>
              <w:t>Services / Booking</w:t>
            </w:r>
          </w:p>
        </w:tc>
        <w:tc>
          <w:tcPr>
            <w:tcW w:type="dxa" w:w="6236"/>
            <w:vAlign w:val="center"/>
          </w:tcPr>
          <w:p>
            <w:pPr>
              <w:jc w:val="right"/>
              <w:bidi/>
            </w:pPr>
            <w:r/>
            <w:r>
              <w:rPr>
                <w:rFonts w:ascii="Arial" w:hAnsi="Arial" w:eastAsia="Arial"/>
                <w:b w:val="0"/>
                <w:sz w:val="18"/>
              </w:rPr>
              <w:t>إدارة الخدمات والحجز والطلبات</w:t>
            </w:r>
          </w:p>
        </w:tc>
      </w:tr>
      <w:tr>
        <w:tc>
          <w:tcPr>
            <w:tcW w:type="dxa" w:w="2835"/>
            <w:vAlign w:val="center"/>
          </w:tcPr>
          <w:p>
            <w:pPr>
              <w:jc w:val="right"/>
              <w:bidi/>
            </w:pPr>
            <w:r/>
            <w:r>
              <w:rPr>
                <w:rFonts w:ascii="Arial" w:hAnsi="Arial" w:eastAsia="Arial"/>
                <w:b w:val="0"/>
                <w:sz w:val="18"/>
              </w:rPr>
              <w:t>Courses / LMS Admin</w:t>
            </w:r>
          </w:p>
        </w:tc>
        <w:tc>
          <w:tcPr>
            <w:tcW w:type="dxa" w:w="6236"/>
            <w:vAlign w:val="center"/>
          </w:tcPr>
          <w:p>
            <w:pPr>
              <w:jc w:val="right"/>
              <w:bidi/>
            </w:pPr>
            <w:r/>
            <w:r>
              <w:rPr>
                <w:rFonts w:ascii="Arial" w:hAnsi="Arial" w:eastAsia="Arial"/>
                <w:b w:val="0"/>
                <w:sz w:val="18"/>
              </w:rPr>
              <w:t>إدارة الكورسات والتدريبات والظهور في Courses Mall</w:t>
            </w:r>
          </w:p>
        </w:tc>
      </w:tr>
      <w:tr>
        <w:tc>
          <w:tcPr>
            <w:tcW w:type="dxa" w:w="2835"/>
            <w:vAlign w:val="center"/>
          </w:tcPr>
          <w:p>
            <w:pPr>
              <w:jc w:val="right"/>
              <w:bidi/>
            </w:pPr>
            <w:r/>
            <w:r>
              <w:rPr>
                <w:rFonts w:ascii="Arial" w:hAnsi="Arial" w:eastAsia="Arial"/>
                <w:b w:val="0"/>
                <w:sz w:val="18"/>
              </w:rPr>
              <w:t>Marketing Suite</w:t>
            </w:r>
          </w:p>
        </w:tc>
        <w:tc>
          <w:tcPr>
            <w:tcW w:type="dxa" w:w="6236"/>
            <w:vAlign w:val="center"/>
          </w:tcPr>
          <w:p>
            <w:pPr>
              <w:jc w:val="right"/>
              <w:bidi/>
            </w:pPr>
            <w:r/>
            <w:r>
              <w:rPr>
                <w:rFonts w:ascii="Arial" w:hAnsi="Arial" w:eastAsia="Arial"/>
                <w:b w:val="0"/>
                <w:sz w:val="18"/>
              </w:rPr>
              <w:t>حملات، UTM، Pixels، رسائل، تقارير</w:t>
            </w:r>
          </w:p>
        </w:tc>
      </w:tr>
      <w:tr>
        <w:tc>
          <w:tcPr>
            <w:tcW w:type="dxa" w:w="2835"/>
            <w:vAlign w:val="center"/>
          </w:tcPr>
          <w:p>
            <w:pPr>
              <w:jc w:val="right"/>
              <w:bidi/>
            </w:pPr>
            <w:r/>
            <w:r>
              <w:rPr>
                <w:rFonts w:ascii="Arial" w:hAnsi="Arial" w:eastAsia="Arial"/>
                <w:b w:val="0"/>
                <w:sz w:val="18"/>
              </w:rPr>
              <w:t>Rabet Business Profile</w:t>
            </w:r>
          </w:p>
        </w:tc>
        <w:tc>
          <w:tcPr>
            <w:tcW w:type="dxa" w:w="6236"/>
            <w:vAlign w:val="center"/>
          </w:tcPr>
          <w:p>
            <w:pPr>
              <w:jc w:val="right"/>
              <w:bidi/>
            </w:pPr>
            <w:r/>
            <w:r>
              <w:rPr>
                <w:rFonts w:ascii="Arial" w:hAnsi="Arial" w:eastAsia="Arial"/>
                <w:b w:val="0"/>
                <w:sz w:val="18"/>
              </w:rPr>
              <w:t>توثيق وملف بزنس موحد</w:t>
            </w:r>
          </w:p>
        </w:tc>
      </w:tr>
      <w:tr>
        <w:tc>
          <w:tcPr>
            <w:tcW w:type="dxa" w:w="2835"/>
            <w:vAlign w:val="center"/>
          </w:tcPr>
          <w:p>
            <w:pPr>
              <w:jc w:val="right"/>
              <w:bidi/>
            </w:pPr>
            <w:r/>
            <w:r>
              <w:rPr>
                <w:rFonts w:ascii="Arial" w:hAnsi="Arial" w:eastAsia="Arial"/>
                <w:b w:val="0"/>
                <w:sz w:val="18"/>
              </w:rPr>
              <w:t>Reports</w:t>
            </w:r>
          </w:p>
        </w:tc>
        <w:tc>
          <w:tcPr>
            <w:tcW w:type="dxa" w:w="6236"/>
            <w:vAlign w:val="center"/>
          </w:tcPr>
          <w:p>
            <w:pPr>
              <w:jc w:val="right"/>
              <w:bidi/>
            </w:pPr>
            <w:r/>
            <w:r>
              <w:rPr>
                <w:rFonts w:ascii="Arial" w:hAnsi="Arial" w:eastAsia="Arial"/>
                <w:b w:val="0"/>
                <w:sz w:val="18"/>
              </w:rPr>
              <w:t>تقارير موحدة من مصادر داخلية وخارجية</w:t>
            </w:r>
          </w:p>
        </w:tc>
      </w:tr>
      <w:tr>
        <w:tc>
          <w:tcPr>
            <w:tcW w:type="dxa" w:w="2835"/>
            <w:vAlign w:val="center"/>
          </w:tcPr>
          <w:p>
            <w:pPr>
              <w:jc w:val="right"/>
              <w:bidi/>
            </w:pPr>
            <w:r/>
            <w:r>
              <w:rPr>
                <w:rFonts w:ascii="Arial" w:hAnsi="Arial" w:eastAsia="Arial"/>
                <w:b w:val="0"/>
                <w:sz w:val="18"/>
              </w:rPr>
              <w:t>Mall Sync</w:t>
            </w:r>
          </w:p>
        </w:tc>
        <w:tc>
          <w:tcPr>
            <w:tcW w:type="dxa" w:w="6236"/>
            <w:vAlign w:val="center"/>
          </w:tcPr>
          <w:p>
            <w:pPr>
              <w:jc w:val="right"/>
              <w:bidi/>
            </w:pPr>
            <w:r/>
            <w:r>
              <w:rPr>
                <w:rFonts w:ascii="Arial" w:hAnsi="Arial" w:eastAsia="Arial"/>
                <w:b w:val="0"/>
                <w:sz w:val="18"/>
              </w:rPr>
              <w:t>تحديث المرايا العامة للمول</w:t>
            </w:r>
          </w:p>
        </w:tc>
      </w:tr>
    </w:tbl>
    <w:p/>
    <w:p>
      <w:pPr>
        <w:pStyle w:val="Heading1"/>
        <w:jc w:val="right"/>
        <w:bidi/>
      </w:pPr>
      <w:r>
        <w:rPr>
          <w:rFonts w:ascii="Arial" w:hAnsi="Arial" w:eastAsia="Arial"/>
          <w:b/>
          <w:sz w:val="32"/>
        </w:rPr>
        <w:t>4. قواعد الأمان</w:t>
      </w:r>
    </w:p>
    <w:p>
      <w:pPr>
        <w:spacing w:after="80" w:line="252" w:lineRule="auto"/>
        <w:jc w:val="right"/>
        <w:bidi/>
      </w:pPr>
      <w:r>
        <w:rPr>
          <w:rFonts w:ascii="Arial" w:hAnsi="Arial" w:eastAsia="Arial"/>
          <w:b w:val="0"/>
          <w:sz w:val="20"/>
        </w:rPr>
        <w:t>أي اتصال خارجي يستخدم tokens مشفرة أو refs إلى Vault وليس أسرار واضحة.</w:t>
      </w:r>
    </w:p>
    <w:p>
      <w:pPr>
        <w:spacing w:after="80" w:line="252" w:lineRule="auto"/>
        <w:jc w:val="right"/>
        <w:bidi/>
      </w:pPr>
      <w:r>
        <w:rPr>
          <w:rFonts w:ascii="Arial" w:hAnsi="Arial" w:eastAsia="Arial"/>
          <w:b w:val="0"/>
          <w:sz w:val="20"/>
        </w:rPr>
        <w:t>لا يتم مزامنة بيانات خاصة إلى المول.</w:t>
      </w:r>
    </w:p>
    <w:p>
      <w:pPr>
        <w:spacing w:after="80" w:line="252" w:lineRule="auto"/>
        <w:jc w:val="right"/>
        <w:bidi/>
      </w:pPr>
      <w:r>
        <w:rPr>
          <w:rFonts w:ascii="Arial" w:hAnsi="Arial" w:eastAsia="Arial"/>
          <w:b w:val="0"/>
          <w:sz w:val="20"/>
        </w:rPr>
        <w:t>يجب فصل صلاحيات Backoffice عن صلاحيات الموقع الخارجي.</w:t>
      </w:r>
    </w:p>
    <w:p>
      <w:pPr>
        <w:spacing w:after="80" w:line="252" w:lineRule="auto"/>
        <w:jc w:val="right"/>
        <w:bidi/>
      </w:pPr>
      <w:r>
        <w:rPr>
          <w:rFonts w:ascii="Arial" w:hAnsi="Arial" w:eastAsia="Arial"/>
          <w:b w:val="0"/>
          <w:sz w:val="20"/>
        </w:rPr>
        <w:t>كل مزامنة تسجل في sync logs وتخضع للـ consent.</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