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- 30_EXTENSION_GOVERNANCE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Extension rules, classification, approval workflow, registry, core modification policy, and deprecation.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30_EXTENSION_GOVERNANCE.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Extension_Governance_Master_Guide.docx</w:t>
      </w:r>
    </w:p>
    <w:p>
      <w:r>
        <w:rPr>
          <w:b w:val="0"/>
        </w:rPr>
        <w:t>- Extension_Classification_Rules.docx</w:t>
      </w:r>
    </w:p>
    <w:p>
      <w:r>
        <w:rPr>
          <w:b w:val="0"/>
        </w:rPr>
        <w:t>- Extension_Approval_Workflow.docx</w:t>
      </w:r>
    </w:p>
    <w:p>
      <w:r>
        <w:rPr>
          <w:b w:val="0"/>
        </w:rPr>
        <w:t>- Extension_Registry.docx</w:t>
      </w:r>
    </w:p>
    <w:p>
      <w:r>
        <w:rPr>
          <w:b w:val="0"/>
        </w:rPr>
        <w:t>- Core_Modification_Policy.docx</w:t>
      </w:r>
    </w:p>
    <w:p>
      <w:r>
        <w:rPr>
          <w:b w:val="0"/>
        </w:rPr>
        <w:t>- Deprecation_Removal_Policy.docx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qualifies as an extension?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How are extensions classified?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approval steps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When can an extension touch core files?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is an extension deprecated?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registry fields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rules must AI follow for extensions?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