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- 04_DATABASE_ARCHITECTURE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Database design, ERD, tables, relationships, migrations, indexing, and seed strategy.</w:t>
      </w:r>
    </w:p>
    <w:p>
      <w:r>
        <w:rPr>
          <w:b w:val="0"/>
        </w:rPr>
        <w:t>System Layer: Core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04_DATABASE_ARCHITECTURE.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Database_Master_Index.docx</w:t>
      </w:r>
    </w:p>
    <w:p>
      <w:r>
        <w:rPr>
          <w:b w:val="0"/>
        </w:rPr>
        <w:t>- ERD_Relationship_Map.docx</w:t>
      </w:r>
    </w:p>
    <w:p>
      <w:r>
        <w:rPr>
          <w:b w:val="0"/>
        </w:rPr>
        <w:t>- Core_Tables.docx</w:t>
      </w:r>
    </w:p>
    <w:p>
      <w:r>
        <w:rPr>
          <w:b w:val="0"/>
        </w:rPr>
        <w:t>- Module_Tables.docx</w:t>
      </w:r>
    </w:p>
    <w:p>
      <w:r>
        <w:rPr>
          <w:b w:val="0"/>
        </w:rPr>
        <w:t>- Seed_Data_Plan.docx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What are the main tables/entities?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Which tables are core and which are optional?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relationships are one-to-one, one-to-many, or many-to-many?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What data must be tenant-scoped?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What data is sensitive or regulated?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What indexes and unique constraints matter?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What seed data is required for a demo?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