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eastAsia="Noto Sans CJK SC"/>
          <w:b/>
          <w:color w:val="15324F"/>
          <w:sz w:val="80"/>
        </w:rPr>
        <w:t>OPENACM</w:t>
      </w:r>
    </w:p>
    <w:p>
      <w:pPr>
        <w:spacing w:before="0"/>
        <w:jc w:val="center"/>
      </w:pPr>
      <w:r>
        <w:rPr>
          <w:rFonts w:eastAsia="Noto Sans CJK SC"/>
          <w:b/>
          <w:color w:val="087F83"/>
          <w:sz w:val="44"/>
        </w:rPr>
        <w:t>ASSISTANT</w:t>
      </w:r>
    </w:p>
    <w:p>
      <w:pPr>
        <w:spacing w:before="640"/>
        <w:jc w:val="center"/>
      </w:pPr>
      <w:r>
        <w:rPr>
          <w:rFonts w:eastAsia="Noto Sans CJK SC"/>
          <w:b/>
          <w:color w:val="15324F"/>
          <w:sz w:val="42"/>
        </w:rPr>
        <w:t>参赛技术报告</w:t>
      </w:r>
    </w:p>
    <w:p>
      <w:pPr>
        <w:spacing w:before="320"/>
        <w:jc w:val="center"/>
      </w:pPr>
      <w:r>
        <w:rPr>
          <w:rFonts w:eastAsia="Noto Sans CJK SC"/>
          <w:b/>
          <w:color w:val="243746"/>
          <w:sz w:val="32"/>
        </w:rPr>
        <w:t>本地大模型驱动的近似存内计算</w:t>
        <w:br/>
        <w:t>电路设计与两级探索系统</w:t>
      </w:r>
    </w:p>
    <w:p>
      <w:pPr>
        <w:spacing w:before="880"/>
        <w:jc w:val="center"/>
      </w:pPr>
      <w:r>
        <w:t>V1.0  ·  2026年10月25日</w:t>
        <w:br/>
        <w:t>代码基准 8566e1a</w:t>
      </w:r>
    </w:p>
    <w:p>
      <w:pPr>
        <w:spacing w:before="400"/>
        <w:jc w:val="center"/>
      </w:pPr>
      <w:r>
        <w:t>语言驱动设计  /  两级协同探索  /  实测证据闭环</w:t>
      </w:r>
    </w:p>
    <w:p>
      <w:r>
        <w:br w:type="page"/>
      </w:r>
    </w:p>
    <w:p>
      <w:pPr>
        <w:pStyle w:val="Heading1"/>
      </w:pPr>
      <w:r>
        <w:t>摘要</w:t>
      </w:r>
    </w:p>
    <w:p>
      <w:r>
        <w:t>近似数字存内计算将算术精度与电路硬件代价联系起来，其设计评估涉及压缩器组合、存储阵列组织、晶体管尺寸以及多种EDA工具。传统脚本流程要求使用者反复转换需求、修改配置、启动仿真并核对报告，容易发生测试条件遗漏、优化层级混杂和历史结果误用。针对这些问题，本作品在OpenACM电路生成与评价内核之上，构建本地DeepSeek驱动的交互式设计助手，将自然语言需求转化为受校验的实验规格，并在独立副本中执行设计、仿真、验收和结果整理。</w:t>
      </w:r>
    </w:p>
    <w:p>
      <w:r>
        <w:t>系统以精度约束下的两级协同优化为研究主线：近似乘法器通过原生8/16位PEA-GNN及可选搜索策略筛选压缩器组合，再进行RTL、综合、STA活动功耗与单元器件真值复核；SRAM首先在固定容量和输出字宽下搜索bank组织，再固定入选组织开展尺寸及明确PVT/Monte Carlo评价。连续对话、证据驱动总结和模型无关的持久经验库贯穿上述过程。</w:t>
      </w:r>
    </w:p>
    <w:p>
      <w:r>
        <w:t>现有小预算验证已覆盖SRAM两级流程、8/16位近似乘法器、真实DeepSeek架构选点及不达标负例。8位参考候选在4096组固定种子测试中MRED为0.013639，在指定5ns活动周期及10fF负载下，综合后STA动态功耗与延迟的乘积为63.1575fJ。相关任务均通过2631个原始OpenACM文件的完整性核验。现阶段成果证明工程流程能够执行与追溯；不据此宣称LLM优于其他优化器、完成论文全部实验或达到工艺签核。</w:t>
      </w:r>
    </w:p>
    <w:p>
      <w:r>
        <w:rPr>
          <w:b/>
        </w:rPr>
        <w:t>关键词：</w:t>
      </w:r>
      <w:r>
        <w:t xml:space="preserve"> 本地大语言模型；近似存内计算；OpenACM；设计空间探索；PEA-GNN；两级优化；证据追溯</w:t>
      </w:r>
    </w:p>
    <w:p>
      <w:pPr>
        <w:pStyle w:val="Heading1"/>
      </w:pPr>
      <w:r>
        <w:t>阅读导航</w:t>
      </w:r>
    </w:p>
    <w:p>
      <w:r>
        <w:t>1. 研究背景与作品定位</w:t>
      </w:r>
    </w:p>
    <w:p>
      <w:r>
        <w:t>2. OpenACM内核与本作品的关系</w:t>
      </w:r>
    </w:p>
    <w:p>
      <w:r>
        <w:t>3. 总体架构与连续交互</w:t>
      </w:r>
    </w:p>
    <w:p>
      <w:r>
        <w:t>4. 两级设计空间探索方法</w:t>
      </w:r>
    </w:p>
    <w:p>
      <w:r>
        <w:t>5. 可靠执行与证据管理</w:t>
      </w:r>
    </w:p>
    <w:p>
      <w:r>
        <w:t>6. 持久经验与公开数据</w:t>
      </w:r>
    </w:p>
    <w:p>
      <w:r>
        <w:t>7. 实验设置与验证结果</w:t>
      </w:r>
    </w:p>
    <w:p>
      <w:r>
        <w:t>8. 核心亮点与应用价值</w:t>
      </w:r>
    </w:p>
    <w:p>
      <w:r>
        <w:t>9. 部署、演示与复验</w:t>
      </w:r>
    </w:p>
    <w:p>
      <w:r>
        <w:t>10. 当前边界与后续研究</w:t>
      </w:r>
    </w:p>
    <w:p>
      <w:r>
        <w:t>11. 总结</w:t>
      </w:r>
    </w:p>
    <w:p>
      <w:r>
        <w:t>12. 参考资料与证据索引</w:t>
      </w:r>
    </w:p>
    <w:p>
      <w:pPr>
        <w:pStyle w:val="Heading1"/>
        <w:pageBreakBefore/>
      </w:pPr>
      <w:r>
        <w:t>1 研究背景与作品定位</w:t>
      </w:r>
    </w:p>
    <w:p>
      <w:pPr>
        <w:pStyle w:val="Heading2"/>
      </w:pPr>
      <w:r>
        <w:t>1.1 研究对象</w:t>
      </w:r>
    </w:p>
    <w:p>
      <w:r>
        <w:t>数字存内计算（Digital Compute-in-Memory，DCiM）通过将存储与计算靠近，减少数据搬移。近似计算进一步允许在明确的应用误差预算下，使用较低硬件代价的算术电路。一个候选设计是否值得采用，取决于其计算误差、功耗、性能、面积以及工作条件，不能仅由某一项指标或生成成功与否决定。</w:t>
      </w:r>
    </w:p>
    <w:p>
      <w:r>
        <w:t>本报告以用户提供的DATE.pdf和DAC.pdf为研究依据。前者介绍OpenACM的SRAM近似DCiM编译和评价基础；后者提出OpenACMv2中的精度约束协同优化（ACCO），强调架构搜索与晶体管尺寸优化的层级关系。[1][2] 本作品在此基础上增加本地语言交互、可信执行、搜索调度和经验复用能力。论文中的性能提升数字不作为本作品的本机实测结果。</w:t>
      </w:r>
    </w:p>
    <w:p>
      <w:pPr>
        <w:pStyle w:val="Heading2"/>
      </w:pPr>
      <w:r>
        <w:t>1.2 面临的工程问题</w:t>
      </w:r>
    </w:p>
    <w:tbl>
      <w:tblPr>
        <w:tblStyle w:val="TableGrid"/>
        <w:tblW w:type="auto" w:w="0"/>
        <w:tblLayout w:type="fixed"/>
        <w:tblLook w:firstColumn="1" w:firstRow="1" w:lastColumn="0" w:lastRow="0" w:noHBand="0" w:noVBand="1" w:val="04A0"/>
      </w:tblPr>
      <w:tblGrid>
        <w:gridCol w:w="2160"/>
        <w:gridCol w:w="3672"/>
        <w:gridCol w:w="3672"/>
      </w:tblGrid>
      <w:tr>
        <w:trPr>
          <w:tblHeader/>
          <w:cantSplit/>
        </w:trPr>
        <w:tc>
          <w:tcPr>
            <w:tcW w:type="dxa" w:w="2160"/>
            <w:shd w:fill="15324F"/>
          </w:tcPr>
          <w:p>
            <w:pPr>
              <w:keepNext/>
              <w:spacing w:after="80" w:before="60" w:line="269" w:lineRule="auto"/>
            </w:pPr>
            <w:r>
              <w:rPr>
                <w:b/>
                <w:color w:val="FFFFFF"/>
                <w:sz w:val="18"/>
              </w:rPr>
              <w:t>问题</w:t>
            </w:r>
          </w:p>
        </w:tc>
        <w:tc>
          <w:tcPr>
            <w:tcW w:type="dxa" w:w="3672"/>
            <w:shd w:fill="15324F"/>
          </w:tcPr>
          <w:p>
            <w:pPr>
              <w:keepNext/>
              <w:spacing w:after="80" w:before="60" w:line="269" w:lineRule="auto"/>
            </w:pPr>
            <w:r>
              <w:rPr>
                <w:b/>
                <w:color w:val="FFFFFF"/>
                <w:sz w:val="18"/>
              </w:rPr>
              <w:t>具体表现</w:t>
            </w:r>
          </w:p>
        </w:tc>
        <w:tc>
          <w:tcPr>
            <w:tcW w:type="dxa" w:w="3672"/>
            <w:shd w:fill="15324F"/>
          </w:tcPr>
          <w:p>
            <w:pPr>
              <w:keepNext/>
              <w:spacing w:after="80" w:before="60" w:line="269" w:lineRule="auto"/>
            </w:pPr>
            <w:r>
              <w:rPr>
                <w:b/>
                <w:color w:val="FFFFFF"/>
                <w:sz w:val="18"/>
              </w:rPr>
              <w:t>本作品的处理方式</w:t>
            </w:r>
          </w:p>
        </w:tc>
      </w:tr>
      <w:tr>
        <w:trPr>
          <w:cantSplit/>
        </w:trPr>
        <w:tc>
          <w:tcPr>
            <w:tcW w:type="dxa" w:w="2160"/>
          </w:tcPr>
          <w:p>
            <w:pPr>
              <w:keepNext/>
              <w:spacing w:after="80" w:before="60" w:line="269" w:lineRule="auto"/>
            </w:pPr>
            <w:r>
              <w:rPr>
                <w:sz w:val="18"/>
              </w:rPr>
              <w:t>需求与脚本之间存在转换成本</w:t>
            </w:r>
          </w:p>
        </w:tc>
        <w:tc>
          <w:tcPr>
            <w:tcW w:type="dxa" w:w="3672"/>
          </w:tcPr>
          <w:p>
            <w:pPr>
              <w:keepNext/>
              <w:spacing w:after="80" w:before="60" w:line="269" w:lineRule="auto"/>
            </w:pPr>
            <w:r>
              <w:rPr>
                <w:sz w:val="18"/>
              </w:rPr>
              <w:t>位宽、压缩器、容量、PVT和误差阈值分散在不同文件</w:t>
            </w:r>
          </w:p>
        </w:tc>
        <w:tc>
          <w:tcPr>
            <w:tcW w:type="dxa" w:w="3672"/>
          </w:tcPr>
          <w:p>
            <w:pPr>
              <w:keepNext/>
              <w:spacing w:after="80" w:before="60" w:line="269" w:lineRule="auto"/>
            </w:pPr>
            <w:r>
              <w:rPr>
                <w:sz w:val="18"/>
              </w:rPr>
              <w:t>将需求整理成结构化实验规格，进行类型、单位、范围和组合校验</w:t>
            </w:r>
          </w:p>
        </w:tc>
      </w:tr>
      <w:tr>
        <w:trPr>
          <w:cantSplit/>
        </w:trPr>
        <w:tc>
          <w:tcPr>
            <w:tcW w:type="dxa" w:w="2160"/>
          </w:tcPr>
          <w:p>
            <w:pPr>
              <w:keepNext/>
              <w:spacing w:after="80" w:before="60" w:line="269" w:lineRule="auto"/>
            </w:pPr>
            <w:r>
              <w:rPr>
                <w:sz w:val="18"/>
              </w:rPr>
              <w:t>多工具流程难以连续操作</w:t>
            </w:r>
          </w:p>
        </w:tc>
        <w:tc>
          <w:tcPr>
            <w:tcW w:type="dxa" w:w="3672"/>
          </w:tcPr>
          <w:p>
            <w:pPr>
              <w:keepNext/>
              <w:spacing w:after="80" w:before="60" w:line="269" w:lineRule="auto"/>
            </w:pPr>
            <w:r>
              <w:rPr>
                <w:sz w:val="18"/>
              </w:rPr>
              <w:t>生成、SPICE、RTL、综合与时序分析各有入口</w:t>
            </w:r>
          </w:p>
        </w:tc>
        <w:tc>
          <w:tcPr>
            <w:tcW w:type="dxa" w:w="3672"/>
          </w:tcPr>
          <w:p>
            <w:pPr>
              <w:keepNext/>
              <w:spacing w:after="80" w:before="60" w:line="269" w:lineRule="auto"/>
            </w:pPr>
            <w:r>
              <w:rPr>
                <w:sz w:val="18"/>
              </w:rPr>
              <w:t>由外部执行器编排，按任务保存输入、工作副本、日志和报告</w:t>
            </w:r>
          </w:p>
        </w:tc>
      </w:tr>
      <w:tr>
        <w:trPr>
          <w:cantSplit/>
        </w:trPr>
        <w:tc>
          <w:tcPr>
            <w:tcW w:type="dxa" w:w="2160"/>
          </w:tcPr>
          <w:p>
            <w:pPr>
              <w:keepNext/>
              <w:spacing w:after="80" w:before="60" w:line="269" w:lineRule="auto"/>
            </w:pPr>
            <w:r>
              <w:rPr>
                <w:sz w:val="18"/>
              </w:rPr>
              <w:t>搜索变量与评价层级混杂</w:t>
            </w:r>
          </w:p>
        </w:tc>
        <w:tc>
          <w:tcPr>
            <w:tcW w:type="dxa" w:w="3672"/>
          </w:tcPr>
          <w:p>
            <w:pPr>
              <w:keepNext/>
              <w:spacing w:after="80" w:before="60" w:line="269" w:lineRule="auto"/>
            </w:pPr>
            <w:r>
              <w:rPr>
                <w:sz w:val="18"/>
              </w:rPr>
              <w:t>在固定小阵列上混合调整供电、尺寸和外围，却解释为bank优化</w:t>
            </w:r>
          </w:p>
        </w:tc>
        <w:tc>
          <w:tcPr>
            <w:tcW w:type="dxa" w:w="3672"/>
          </w:tcPr>
          <w:p>
            <w:pPr>
              <w:keepNext/>
              <w:spacing w:after="80" w:before="60" w:line="269" w:lineRule="auto"/>
            </w:pPr>
            <w:r>
              <w:rPr>
                <w:sz w:val="18"/>
              </w:rPr>
              <w:t>区分架构级与器件级，显式固定容量、入选结构和评价条件</w:t>
            </w:r>
          </w:p>
        </w:tc>
      </w:tr>
      <w:tr>
        <w:trPr>
          <w:cantSplit/>
        </w:trPr>
        <w:tc>
          <w:tcPr>
            <w:tcW w:type="dxa" w:w="2160"/>
          </w:tcPr>
          <w:p>
            <w:pPr>
              <w:keepNext/>
              <w:spacing w:after="80" w:before="60" w:line="269" w:lineRule="auto"/>
            </w:pPr>
            <w:r>
              <w:rPr>
                <w:sz w:val="18"/>
              </w:rPr>
              <w:t>模型回答缺少验收依据</w:t>
            </w:r>
          </w:p>
        </w:tc>
        <w:tc>
          <w:tcPr>
            <w:tcW w:type="dxa" w:w="3672"/>
          </w:tcPr>
          <w:p>
            <w:pPr>
              <w:keepNext/>
              <w:spacing w:after="80" w:before="60" w:line="269" w:lineRule="auto"/>
            </w:pPr>
            <w:r>
              <w:rPr>
                <w:sz w:val="18"/>
              </w:rPr>
              <w:t>将预测值、旧结果或模型的“已达标”文字当作测量</w:t>
            </w:r>
          </w:p>
        </w:tc>
        <w:tc>
          <w:tcPr>
            <w:tcW w:type="dxa" w:w="3672"/>
          </w:tcPr>
          <w:p>
            <w:pPr>
              <w:keepNext/>
              <w:spacing w:after="80" w:before="60" w:line="269" w:lineRule="auto"/>
            </w:pPr>
            <w:r>
              <w:rPr>
                <w:sz w:val="18"/>
              </w:rPr>
              <w:t>用真实工具结果判断约束，预测、估算与实测分别标记</w:t>
            </w:r>
          </w:p>
        </w:tc>
      </w:tr>
      <w:tr>
        <w:trPr>
          <w:cantSplit/>
        </w:trPr>
        <w:tc>
          <w:tcPr>
            <w:tcW w:type="dxa" w:w="2160"/>
          </w:tcPr>
          <w:p>
            <w:pPr>
              <w:spacing w:after="80" w:before="60" w:line="269" w:lineRule="auto"/>
            </w:pPr>
            <w:r>
              <w:rPr>
                <w:sz w:val="18"/>
              </w:rPr>
              <w:t>历史经验难以复用</w:t>
            </w:r>
          </w:p>
        </w:tc>
        <w:tc>
          <w:tcPr>
            <w:tcW w:type="dxa" w:w="3672"/>
          </w:tcPr>
          <w:p>
            <w:pPr>
              <w:spacing w:after="80" w:before="60" w:line="269" w:lineRule="auto"/>
            </w:pPr>
            <w:r>
              <w:rPr>
                <w:sz w:val="18"/>
              </w:rPr>
              <w:t>数值保留在零散报告中，条件与版本容易丢失</w:t>
            </w:r>
          </w:p>
        </w:tc>
        <w:tc>
          <w:tcPr>
            <w:tcW w:type="dxa" w:w="3672"/>
          </w:tcPr>
          <w:p>
            <w:pPr>
              <w:spacing w:after="80" w:before="60" w:line="269" w:lineRule="auto"/>
            </w:pPr>
            <w:r>
              <w:rPr>
                <w:sz w:val="18"/>
              </w:rPr>
              <w:t>建立带来源、环境和修订的本地经验库，并提供JSONL交换接口</w:t>
            </w:r>
          </w:p>
        </w:tc>
      </w:tr>
    </w:tbl>
    <w:p>
      <w:pPr>
        <w:spacing w:after="20"/>
      </w:pPr>
    </w:p>
    <w:p>
      <w:pPr>
        <w:pStyle w:val="Heading2"/>
      </w:pPr>
      <w:r>
        <w:t>1.3 作品范围与贡献归属</w:t>
      </w:r>
    </w:p>
    <w:p>
      <w:r>
        <w:t>本作品定位为“面向近似DCiM研究的本地智能设计与探索助手”。其主要贡献是把既有电路生成、评价及优化能力组织成连续、可校验、可追溯的实验流程。OpenACM/OpenYield中的编译器、网表、模型、PEA-GNN权重及原NSGA-II算法来自原工程；本作品不将这些基础能力列为自行提出的新算法。</w:t>
      </w:r>
    </w:p>
    <w:p>
      <w:r>
        <w:t>本作品新增的实现包括统一设计对话、规格约束与预算管理、两级流程隔离适配、候选和父子关系记录、实测验收与中文总结、持久经验及公开数据参考接入。当前LLM从受校验的有限候选中选择实验，不直接生成并执行任意程序，也不修改OpenACM内置代码。</w:t>
      </w:r>
    </w:p>
    <w:p>
      <w:pPr>
        <w:pStyle w:val="Heading1"/>
        <w:pageBreakBefore/>
      </w:pPr>
      <w:r>
        <w:t>2 OpenACM内核与本作品的关系</w:t>
      </w:r>
    </w:p>
    <w:p>
      <w:pPr>
        <w:pStyle w:val="Heading2"/>
      </w:pPr>
      <w:r>
        <w:t>2.1 内核承担的基础能力</w:t>
      </w:r>
    </w:p>
    <w:p>
      <w:r>
        <w:t>本报告中的“内核”指OpenACM电路编译与评价核心，不指操作系统内核。OpenACM将乘法逻辑、存储模块及PE集成到一套可配置流程中，为上层助手提供真实的电路和工具调用对象。</w:t>
      </w:r>
    </w:p>
    <w:tbl>
      <w:tblPr>
        <w:tblStyle w:val="TableGrid"/>
        <w:tblW w:type="auto" w:w="0"/>
        <w:tblLayout w:type="fixed"/>
        <w:tblLook w:firstColumn="1" w:firstRow="1" w:lastColumn="0" w:lastRow="0" w:noHBand="0" w:noVBand="1" w:val="04A0"/>
      </w:tblPr>
      <w:tblGrid>
        <w:gridCol w:w="2160"/>
        <w:gridCol w:w="3672"/>
        <w:gridCol w:w="3672"/>
      </w:tblGrid>
      <w:tr>
        <w:trPr>
          <w:tblHeader/>
          <w:cantSplit/>
        </w:trPr>
        <w:tc>
          <w:tcPr>
            <w:tcW w:type="dxa" w:w="2160"/>
            <w:shd w:fill="15324F"/>
          </w:tcPr>
          <w:p>
            <w:pPr>
              <w:keepNext/>
              <w:spacing w:after="80" w:before="60" w:line="269" w:lineRule="auto"/>
            </w:pPr>
            <w:r>
              <w:rPr>
                <w:b/>
                <w:color w:val="FFFFFF"/>
                <w:sz w:val="18"/>
              </w:rPr>
              <w:t>内核模块</w:t>
            </w:r>
          </w:p>
        </w:tc>
        <w:tc>
          <w:tcPr>
            <w:tcW w:type="dxa" w:w="3672"/>
            <w:shd w:fill="15324F"/>
          </w:tcPr>
          <w:p>
            <w:pPr>
              <w:keepNext/>
              <w:spacing w:after="80" w:before="60" w:line="269" w:lineRule="auto"/>
            </w:pPr>
            <w:r>
              <w:rPr>
                <w:b/>
                <w:color w:val="FFFFFF"/>
                <w:sz w:val="18"/>
              </w:rPr>
              <w:t>主要作用</w:t>
            </w:r>
          </w:p>
        </w:tc>
        <w:tc>
          <w:tcPr>
            <w:tcW w:type="dxa" w:w="3672"/>
            <w:shd w:fill="15324F"/>
          </w:tcPr>
          <w:p>
            <w:pPr>
              <w:keepNext/>
              <w:spacing w:after="80" w:before="60" w:line="269" w:lineRule="auto"/>
            </w:pPr>
            <w:r>
              <w:rPr>
                <w:b/>
                <w:color w:val="FFFFFF"/>
                <w:sz w:val="18"/>
              </w:rPr>
              <w:t>与助手的衔接</w:t>
            </w:r>
          </w:p>
        </w:tc>
      </w:tr>
      <w:tr>
        <w:trPr>
          <w:cantSplit/>
        </w:trPr>
        <w:tc>
          <w:tcPr>
            <w:tcW w:type="dxa" w:w="2160"/>
          </w:tcPr>
          <w:p>
            <w:pPr>
              <w:keepNext/>
              <w:spacing w:after="80" w:before="60" w:line="269" w:lineRule="auto"/>
            </w:pPr>
            <w:r>
              <w:rPr>
                <w:sz w:val="18"/>
              </w:rPr>
              <w:t>乘法器编译器</w:t>
            </w:r>
          </w:p>
        </w:tc>
        <w:tc>
          <w:tcPr>
            <w:tcW w:type="dxa" w:w="3672"/>
          </w:tcPr>
          <w:p>
            <w:pPr>
              <w:keepNext/>
              <w:spacing w:after="80" w:before="60" w:line="269" w:lineRule="auto"/>
            </w:pPr>
            <w:r>
              <w:rPr>
                <w:sz w:val="18"/>
              </w:rPr>
              <w:t>生成精确、可配置近似和对数乘法RTL；近似类型由各压缩位置的选择控制</w:t>
            </w:r>
          </w:p>
        </w:tc>
        <w:tc>
          <w:tcPr>
            <w:tcW w:type="dxa" w:w="3672"/>
          </w:tcPr>
          <w:p>
            <w:pPr>
              <w:keepNext/>
              <w:spacing w:after="80" w:before="60" w:line="269" w:lineRule="auto"/>
            </w:pPr>
            <w:r>
              <w:rPr>
                <w:sz w:val="18"/>
              </w:rPr>
              <w:t>助手设置位宽、类型、位置分配和输入测试，再调用原生成器</w:t>
            </w:r>
          </w:p>
        </w:tc>
      </w:tr>
      <w:tr>
        <w:trPr>
          <w:cantSplit/>
        </w:trPr>
        <w:tc>
          <w:tcPr>
            <w:tcW w:type="dxa" w:w="2160"/>
          </w:tcPr>
          <w:p>
            <w:pPr>
              <w:keepNext/>
              <w:spacing w:after="80" w:before="60" w:line="269" w:lineRule="auto"/>
            </w:pPr>
            <w:r>
              <w:rPr>
                <w:sz w:val="18"/>
              </w:rPr>
              <w:t>SRAM电路编译与测试平台</w:t>
            </w:r>
          </w:p>
        </w:tc>
        <w:tc>
          <w:tcPr>
            <w:tcW w:type="dxa" w:w="3672"/>
          </w:tcPr>
          <w:p>
            <w:pPr>
              <w:keepNext/>
              <w:spacing w:after="80" w:before="60" w:line="269" w:lineRule="auto"/>
            </w:pPr>
            <w:r>
              <w:rPr>
                <w:sz w:val="18"/>
              </w:rPr>
              <w:t>根据阵列、6T器件和外围配置生成SPICE，评价读写与SNM</w:t>
            </w:r>
          </w:p>
        </w:tc>
        <w:tc>
          <w:tcPr>
            <w:tcW w:type="dxa" w:w="3672"/>
          </w:tcPr>
          <w:p>
            <w:pPr>
              <w:keepNext/>
              <w:spacing w:after="80" w:before="60" w:line="269" w:lineRule="auto"/>
            </w:pPr>
            <w:r>
              <w:rPr>
                <w:sz w:val="18"/>
              </w:rPr>
              <w:t>助手生成任务内配置，调用Xyce，提取有效样本和保守统计</w:t>
            </w:r>
          </w:p>
        </w:tc>
      </w:tr>
      <w:tr>
        <w:trPr>
          <w:cantSplit/>
        </w:trPr>
        <w:tc>
          <w:tcPr>
            <w:tcW w:type="dxa" w:w="2160"/>
          </w:tcPr>
          <w:p>
            <w:pPr>
              <w:keepNext/>
              <w:spacing w:after="80" w:before="60" w:line="269" w:lineRule="auto"/>
            </w:pPr>
            <w:r>
              <w:rPr>
                <w:sz w:val="18"/>
              </w:rPr>
              <w:t>SRAM行为级与PE编译器</w:t>
            </w:r>
          </w:p>
        </w:tc>
        <w:tc>
          <w:tcPr>
            <w:tcW w:type="dxa" w:w="3672"/>
          </w:tcPr>
          <w:p>
            <w:pPr>
              <w:keepNext/>
              <w:spacing w:after="80" w:before="60" w:line="269" w:lineRule="auto"/>
            </w:pPr>
            <w:r>
              <w:rPr>
                <w:sz w:val="18"/>
              </w:rPr>
              <w:t>生成存储行为、控制及乘法器集成RTL</w:t>
            </w:r>
          </w:p>
        </w:tc>
        <w:tc>
          <w:tcPr>
            <w:tcW w:type="dxa" w:w="3672"/>
          </w:tcPr>
          <w:p>
            <w:pPr>
              <w:keepNext/>
              <w:spacing w:after="80" w:before="60" w:line="269" w:lineRule="auto"/>
            </w:pPr>
            <w:r>
              <w:rPr>
                <w:sz w:val="18"/>
              </w:rPr>
              <w:t>助手选择PE尺寸、存储实现和验证流程，检查实际接口行为</w:t>
            </w:r>
          </w:p>
        </w:tc>
      </w:tr>
      <w:tr>
        <w:trPr>
          <w:cantSplit/>
        </w:trPr>
        <w:tc>
          <w:tcPr>
            <w:tcW w:type="dxa" w:w="2160"/>
          </w:tcPr>
          <w:p>
            <w:pPr>
              <w:keepNext/>
              <w:spacing w:after="80" w:before="60" w:line="269" w:lineRule="auto"/>
            </w:pPr>
            <w:r>
              <w:rPr>
                <w:sz w:val="18"/>
              </w:rPr>
              <w:t>数字物理流程</w:t>
            </w:r>
          </w:p>
        </w:tc>
        <w:tc>
          <w:tcPr>
            <w:tcW w:type="dxa" w:w="3672"/>
          </w:tcPr>
          <w:p>
            <w:pPr>
              <w:keepNext/>
              <w:spacing w:after="80" w:before="60" w:line="269" w:lineRule="auto"/>
            </w:pPr>
            <w:r>
              <w:rPr>
                <w:sz w:val="18"/>
              </w:rPr>
              <w:t>使用标准单元、参考宏及工具脚本完成综合与后端评价</w:t>
            </w:r>
          </w:p>
        </w:tc>
        <w:tc>
          <w:tcPr>
            <w:tcW w:type="dxa" w:w="3672"/>
          </w:tcPr>
          <w:p>
            <w:pPr>
              <w:keepNext/>
              <w:spacing w:after="80" w:before="60" w:line="269" w:lineRule="auto"/>
            </w:pPr>
            <w:r>
              <w:rPr>
                <w:sz w:val="18"/>
              </w:rPr>
              <w:t>助手适配并校验阶段结果，保存时序、DRC、面积与活动功耗证据</w:t>
            </w:r>
          </w:p>
        </w:tc>
      </w:tr>
      <w:tr>
        <w:trPr>
          <w:cantSplit/>
        </w:trPr>
        <w:tc>
          <w:tcPr>
            <w:tcW w:type="dxa" w:w="2160"/>
          </w:tcPr>
          <w:p>
            <w:pPr>
              <w:spacing w:after="80" w:before="60" w:line="269" w:lineRule="auto"/>
            </w:pPr>
            <w:r>
              <w:rPr>
                <w:sz w:val="18"/>
              </w:rPr>
              <w:t>研究优化资产</w:t>
            </w:r>
          </w:p>
        </w:tc>
        <w:tc>
          <w:tcPr>
            <w:tcW w:type="dxa" w:w="3672"/>
          </w:tcPr>
          <w:p>
            <w:pPr>
              <w:spacing w:after="80" w:before="60" w:line="269" w:lineRule="auto"/>
            </w:pPr>
            <w:r>
              <w:rPr>
                <w:sz w:val="18"/>
              </w:rPr>
              <w:t>原生8/16位GNN、压缩器尺寸模板及多种优化研究实现</w:t>
            </w:r>
          </w:p>
        </w:tc>
        <w:tc>
          <w:tcPr>
            <w:tcW w:type="dxa" w:w="3672"/>
          </w:tcPr>
          <w:p>
            <w:pPr>
              <w:spacing w:after="80" w:before="60" w:line="269" w:lineRule="auto"/>
            </w:pPr>
            <w:r>
              <w:rPr>
                <w:sz w:val="18"/>
              </w:rPr>
              <w:t>当前助手隔离接入PEA-GNN、逐组宽度接口和原NSGA-II；其他算法不自动视为可用</w:t>
            </w:r>
          </w:p>
        </w:tc>
      </w:tr>
    </w:tbl>
    <w:p>
      <w:pPr>
        <w:spacing w:after="20"/>
      </w:pPr>
    </w:p>
    <w:p>
      <w:r>
        <w:t>需要区分两条SRAM路径：行为级SRAM RTL用于功能及PE集成；晶体管级SRAM SPICE用于电路评价。行为级仿真通过不能证明6T单元电路达标，SPICE中的尺寸变化也不会自动更新PE后端使用的参考宏Liberty/LEF。</w:t>
      </w:r>
    </w:p>
    <w:p>
      <w:pPr>
        <w:pStyle w:val="Heading2"/>
      </w:pPr>
      <w:r>
        <w:t>2.2 上层助手与内核的接口边界</w:t>
      </w:r>
    </w:p>
    <w:p>
      <w:r>
        <w:t>OpenACM原目录保持只读。助手按任务复制普通文件、生成独立参数配置，并调用原工程能力。执行产生的RTL、SPICE、模型副本、波形和报告均进入任务目录；不在原目录启动生成器，不使用可写硬链接来共享原文件。</w:t>
      </w:r>
    </w:p>
    <w:p>
      <w:r>
        <w:t>OpenYield提供SRAM组织构造和面积模型。本作品复用其实际源代码副本，同时通过显式容量配置避免沿用旧实验脚本中的硬编码容量。原工程存在某项脚本，不等于其已成为本作品的可用入口；当前实际支持范围由校验器、适配器和验证证据共同确定。[3][4]</w:t>
      </w:r>
    </w:p>
    <w:p>
      <w:pPr>
        <w:keepNext/>
        <w:jc w:val="center"/>
      </w:pPr>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kernel_stack.png"/>
                    <pic:cNvPicPr/>
                  </pic:nvPicPr>
                  <pic:blipFill>
                    <a:blip r:embed="rId11"/>
                    <a:stretch>
                      <a:fillRect/>
                    </a:stretch>
                  </pic:blipFill>
                  <pic:spPr>
                    <a:xfrm>
                      <a:off x="0" y="0"/>
                      <a:ext cx="6035040" cy="3352800"/>
                    </a:xfrm>
                    <a:prstGeom prst="rect"/>
                  </pic:spPr>
                </pic:pic>
              </a:graphicData>
            </a:graphic>
          </wp:inline>
        </w:drawing>
      </w:r>
    </w:p>
    <w:p>
      <w:pPr>
        <w:pStyle w:val="Caption"/>
      </w:pPr>
      <w:r>
        <w:t>图1 OpenACM内核与上层智能助手的关系</w:t>
      </w:r>
    </w:p>
    <w:p>
      <w:pPr>
        <w:pStyle w:val="Heading1"/>
      </w:pPr>
      <w:r>
        <w:t>3 总体架构与连续交互</w:t>
      </w:r>
    </w:p>
    <w:p>
      <w:pPr>
        <w:pStyle w:val="Heading2"/>
      </w:pPr>
      <w:r>
        <w:t>3.1 分层架构</w:t>
      </w:r>
    </w:p>
    <w:p>
      <w:r>
        <w:t>系统包含交互与模型层、规格与调度层、隔离执行层及证据与经验层。模型理解用户问题并组织决策，校验器决定配置是否可执行，EDA提供电路结果，证据层负责验收与追溯。</w:t>
      </w:r>
    </w:p>
    <w:p>
      <w:pPr>
        <w:keepNext/>
        <w:jc w:val="center"/>
      </w:pPr>
      <w:r>
        <w:drawing>
          <wp:inline xmlns:a="http://schemas.openxmlformats.org/drawingml/2006/main" xmlns:pic="http://schemas.openxmlformats.org/drawingml/2006/picture">
            <wp:extent cx="6035040" cy="3433128"/>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6035040" cy="3433128"/>
                    </a:xfrm>
                    <a:prstGeom prst="rect"/>
                  </pic:spPr>
                </pic:pic>
              </a:graphicData>
            </a:graphic>
          </wp:inline>
        </w:drawing>
      </w:r>
    </w:p>
    <w:p>
      <w:pPr>
        <w:pStyle w:val="Caption"/>
      </w:pPr>
      <w:r>
        <w:t>图2 从语言需求到实测反馈的系统架构</w:t>
      </w:r>
    </w:p>
    <w:tbl>
      <w:tblPr>
        <w:tblStyle w:val="TableGrid"/>
        <w:tblW w:type="auto" w:w="0"/>
        <w:tblLayout w:type="fixed"/>
        <w:tblLook w:firstColumn="1" w:firstRow="1" w:lastColumn="0" w:lastRow="0" w:noHBand="0" w:noVBand="1" w:val="04A0"/>
      </w:tblPr>
      <w:tblGrid>
        <w:gridCol w:w="2160"/>
        <w:gridCol w:w="3672"/>
        <w:gridCol w:w="3672"/>
      </w:tblGrid>
      <w:tr>
        <w:trPr>
          <w:tblHeader/>
          <w:cantSplit/>
        </w:trPr>
        <w:tc>
          <w:tcPr>
            <w:tcW w:type="dxa" w:w="2160"/>
            <w:shd w:fill="15324F"/>
          </w:tcPr>
          <w:p>
            <w:pPr>
              <w:keepNext/>
              <w:spacing w:after="80" w:before="60" w:line="269" w:lineRule="auto"/>
            </w:pPr>
            <w:r>
              <w:rPr>
                <w:b/>
                <w:color w:val="FFFFFF"/>
                <w:sz w:val="18"/>
              </w:rPr>
              <w:t>层次</w:t>
            </w:r>
          </w:p>
        </w:tc>
        <w:tc>
          <w:tcPr>
            <w:tcW w:type="dxa" w:w="3672"/>
            <w:shd w:fill="15324F"/>
          </w:tcPr>
          <w:p>
            <w:pPr>
              <w:keepNext/>
              <w:spacing w:after="80" w:before="60" w:line="269" w:lineRule="auto"/>
            </w:pPr>
            <w:r>
              <w:rPr>
                <w:b/>
                <w:color w:val="FFFFFF"/>
                <w:sz w:val="18"/>
              </w:rPr>
              <w:t>关键实现</w:t>
            </w:r>
          </w:p>
        </w:tc>
        <w:tc>
          <w:tcPr>
            <w:tcW w:type="dxa" w:w="3672"/>
            <w:shd w:fill="15324F"/>
          </w:tcPr>
          <w:p>
            <w:pPr>
              <w:keepNext/>
              <w:spacing w:after="80" w:before="60" w:line="269" w:lineRule="auto"/>
            </w:pPr>
            <w:r>
              <w:rPr>
                <w:b/>
                <w:color w:val="FFFFFF"/>
                <w:sz w:val="18"/>
              </w:rPr>
              <w:t>职责</w:t>
            </w:r>
          </w:p>
        </w:tc>
      </w:tr>
      <w:tr>
        <w:trPr>
          <w:cantSplit/>
        </w:trPr>
        <w:tc>
          <w:tcPr>
            <w:tcW w:type="dxa" w:w="2160"/>
          </w:tcPr>
          <w:p>
            <w:pPr>
              <w:keepNext/>
              <w:spacing w:after="80" w:before="60" w:line="269" w:lineRule="auto"/>
            </w:pPr>
            <w:r>
              <w:rPr>
                <w:sz w:val="18"/>
              </w:rPr>
              <w:t>交互与模型</w:t>
            </w:r>
          </w:p>
        </w:tc>
        <w:tc>
          <w:tcPr>
            <w:tcW w:type="dxa" w:w="3672"/>
          </w:tcPr>
          <w:p>
            <w:pPr>
              <w:keepNext/>
              <w:spacing w:after="80" w:before="60" w:line="269" w:lineRule="auto"/>
            </w:pPr>
            <w:r>
              <w:rPr>
                <w:sz w:val="18"/>
              </w:rPr>
              <w:t>assistant.py、conversation.py、领域skill</w:t>
            </w:r>
          </w:p>
        </w:tc>
        <w:tc>
          <w:tcPr>
            <w:tcW w:type="dxa" w:w="3672"/>
          </w:tcPr>
          <w:p>
            <w:pPr>
              <w:keepNext/>
              <w:spacing w:after="80" w:before="60" w:line="269" w:lineRule="auto"/>
            </w:pPr>
            <w:r>
              <w:rPr>
                <w:sz w:val="18"/>
              </w:rPr>
              <w:t>连续理解能力咨询、规格补充、解释、执行和结果追问</w:t>
            </w:r>
          </w:p>
        </w:tc>
      </w:tr>
      <w:tr>
        <w:trPr>
          <w:cantSplit/>
        </w:trPr>
        <w:tc>
          <w:tcPr>
            <w:tcW w:type="dxa" w:w="2160"/>
          </w:tcPr>
          <w:p>
            <w:pPr>
              <w:keepNext/>
              <w:spacing w:after="80" w:before="60" w:line="269" w:lineRule="auto"/>
            </w:pPr>
            <w:r>
              <w:rPr>
                <w:sz w:val="18"/>
              </w:rPr>
              <w:t>规格与调度</w:t>
            </w:r>
          </w:p>
        </w:tc>
        <w:tc>
          <w:tcPr>
            <w:tcW w:type="dxa" w:w="3672"/>
          </w:tcPr>
          <w:p>
            <w:pPr>
              <w:keepNext/>
              <w:spacing w:after="80" w:before="60" w:line="269" w:lineRule="auto"/>
            </w:pPr>
            <w:r>
              <w:rPr>
                <w:sz w:val="18"/>
              </w:rPr>
              <w:t>spec.py、bindings.py、acco_spec.py、acco.py</w:t>
            </w:r>
          </w:p>
        </w:tc>
        <w:tc>
          <w:tcPr>
            <w:tcW w:type="dxa" w:w="3672"/>
          </w:tcPr>
          <w:p>
            <w:pPr>
              <w:keepNext/>
              <w:spacing w:after="80" w:before="60" w:line="269" w:lineRule="auto"/>
            </w:pPr>
            <w:r>
              <w:rPr>
                <w:sz w:val="18"/>
              </w:rPr>
              <w:t>显式字段绑定、两级实验契约、预算、候选选择、阶段父子关系</w:t>
            </w:r>
          </w:p>
        </w:tc>
      </w:tr>
      <w:tr>
        <w:trPr>
          <w:cantSplit/>
        </w:trPr>
        <w:tc>
          <w:tcPr>
            <w:tcW w:type="dxa" w:w="2160"/>
          </w:tcPr>
          <w:p>
            <w:pPr>
              <w:keepNext/>
              <w:spacing w:after="80" w:before="60" w:line="269" w:lineRule="auto"/>
            </w:pPr>
            <w:r>
              <w:rPr>
                <w:sz w:val="18"/>
              </w:rPr>
              <w:t>隔离与工具</w:t>
            </w:r>
          </w:p>
        </w:tc>
        <w:tc>
          <w:tcPr>
            <w:tcW w:type="dxa" w:w="3672"/>
          </w:tcPr>
          <w:p>
            <w:pPr>
              <w:keepNext/>
              <w:spacing w:after="80" w:before="60" w:line="269" w:lineRule="auto"/>
            </w:pPr>
            <w:r>
              <w:rPr>
                <w:sz w:val="18"/>
              </w:rPr>
              <w:t>guard.py、worker.py、acco_models.py、acco_physics.py</w:t>
            </w:r>
          </w:p>
        </w:tc>
        <w:tc>
          <w:tcPr>
            <w:tcW w:type="dxa" w:w="3672"/>
          </w:tcPr>
          <w:p>
            <w:pPr>
              <w:keepNext/>
              <w:spacing w:after="80" w:before="60" w:line="269" w:lineRule="auto"/>
            </w:pPr>
            <w:r>
              <w:rPr>
                <w:sz w:val="18"/>
              </w:rPr>
              <w:t>写隔离、原工程适配、SPICE、RTL、综合、STA与器件功能检查</w:t>
            </w:r>
          </w:p>
        </w:tc>
      </w:tr>
      <w:tr>
        <w:trPr>
          <w:cantSplit/>
        </w:trPr>
        <w:tc>
          <w:tcPr>
            <w:tcW w:type="dxa" w:w="2160"/>
          </w:tcPr>
          <w:p>
            <w:pPr>
              <w:spacing w:after="80" w:before="60" w:line="269" w:lineRule="auto"/>
            </w:pPr>
            <w:r>
              <w:rPr>
                <w:sz w:val="18"/>
              </w:rPr>
              <w:t>证据与经验</w:t>
            </w:r>
          </w:p>
        </w:tc>
        <w:tc>
          <w:tcPr>
            <w:tcW w:type="dxa" w:w="3672"/>
          </w:tcPr>
          <w:p>
            <w:pPr>
              <w:spacing w:after="80" w:before="60" w:line="269" w:lineRule="auto"/>
            </w:pPr>
            <w:r>
              <w:rPr>
                <w:sz w:val="18"/>
              </w:rPr>
              <w:t>result_summary.py、experience.py、public_dataset.py</w:t>
            </w:r>
          </w:p>
        </w:tc>
        <w:tc>
          <w:tcPr>
            <w:tcW w:type="dxa" w:w="3672"/>
          </w:tcPr>
          <w:p>
            <w:pPr>
              <w:spacing w:after="80" w:before="60" w:line="269" w:lineRule="auto"/>
            </w:pPr>
            <w:r>
              <w:rPr>
                <w:sz w:val="18"/>
              </w:rPr>
              <w:t>结果验收、事实驱动摘要、观测修订、条件匹配和外部参考</w:t>
            </w:r>
          </w:p>
        </w:tc>
      </w:tr>
    </w:tbl>
    <w:p>
      <w:pPr>
        <w:spacing w:after="20"/>
      </w:pPr>
    </w:p>
    <w:p>
      <w:pPr>
        <w:pStyle w:val="Heading2"/>
      </w:pPr>
      <w:r>
        <w:t>3.2 统一连续对话</w:t>
      </w:r>
    </w:p>
    <w:p>
      <w:r>
        <w:t>系统维护聊天上下文、当前设计、待澄清需求、尚未执行的草案及最近真实任务。解释性问题与设计需求共享上下文，不要求用户切换到独立的“咨询模式”或“执行模式”。例如，“已有探索结果能做什么”可衔接配置比较、Pareto分析与复测；“解释最佳配置，然后复测”可在一轮中先说明已有事实，再启动明确的验证。</w:t>
      </w:r>
    </w:p>
    <w:p>
      <w:r>
        <w:t>缺少规格时，系统保留原始需求，并把下一轮补充并入同一实验。对SRAM两级探索，必须明确总容量和输出字宽，不能用默认16×8阵列替代容量。通过/plan得到的草案不算实测结果；用户要求开始运行后，执行器使用保存的完整实验配置。</w:t>
      </w:r>
    </w:p>
    <w:p>
      <w:pPr>
        <w:pStyle w:val="Heading2"/>
      </w:pPr>
      <w:r>
        <w:t>3.3 从自然语言到可执行规格</w:t>
      </w:r>
    </w:p>
    <w:p>
      <w:r>
        <w:t>规划接口使用受约束JSON，顶层包含电路类型、参数、验收约束和可选目标。两级入口进一步记录架构域、器件域、分阶段预算及物理条件。明确参数由规则与Schema共同固定，防止模型把“全sabetz”换成其他压缩器，或将阈值只写入解释文字。</w:t>
      </w:r>
    </w:p>
    <w:p>
      <w:r>
        <w:t>输入参数、硬约束与排序目标分别表达。例如，“8位”是结构输入，“MRED≤0.02”是验收条件，“PDP最小”是排序目标，“预算64个候选”是资源限制。未给出性能阈值时，模型不得自行添加。模型输出截断或未通过校验时只恢复一次；持续无效则停止，保留诊断而不启动仿真。</w:t>
      </w:r>
    </w:p>
    <w:p>
      <w:pPr>
        <w:pStyle w:val="Heading1"/>
        <w:pageBreakBefore/>
      </w:pPr>
      <w:r>
        <w:t>4 两级设计空间探索方法</w:t>
      </w:r>
    </w:p>
    <w:p>
      <w:pPr>
        <w:pStyle w:val="Heading2"/>
      </w:pPr>
      <w:r>
        <w:t>4.1 实验契约与预算</w:t>
      </w:r>
    </w:p>
    <w:p>
      <w:r>
        <w:t>将一项两级实验表示为：电路基线、架构搜索域、器件搜索域、硬约束、分阶段目标、PVT/测试条件和预算。架构变量描述结构；器件变量描述入选结构中的尺寸；二者在不同阶段求解。</w:t>
      </w:r>
    </w:p>
    <w:tbl>
      <w:tblPr>
        <w:tblStyle w:val="TableGrid"/>
        <w:tblW w:type="auto" w:w="0"/>
        <w:tblLayout w:type="fixed"/>
        <w:tblLook w:firstColumn="1" w:firstRow="1" w:lastColumn="0" w:lastRow="0" w:noHBand="0" w:noVBand="1" w:val="04A0"/>
      </w:tblPr>
      <w:tblGrid>
        <w:gridCol w:w="2160"/>
        <w:gridCol w:w="3672"/>
        <w:gridCol w:w="3672"/>
      </w:tblGrid>
      <w:tr>
        <w:trPr>
          <w:tblHeader/>
          <w:cantSplit/>
        </w:trPr>
        <w:tc>
          <w:tcPr>
            <w:tcW w:type="dxa" w:w="2160"/>
            <w:shd w:fill="15324F"/>
          </w:tcPr>
          <w:p>
            <w:pPr>
              <w:keepNext/>
              <w:spacing w:after="80" w:before="60" w:line="269" w:lineRule="auto"/>
            </w:pPr>
            <w:r>
              <w:rPr>
                <w:b/>
                <w:color w:val="FFFFFF"/>
                <w:sz w:val="18"/>
              </w:rPr>
              <w:t>配置字段</w:t>
            </w:r>
          </w:p>
        </w:tc>
        <w:tc>
          <w:tcPr>
            <w:tcW w:type="dxa" w:w="3672"/>
            <w:shd w:fill="15324F"/>
          </w:tcPr>
          <w:p>
            <w:pPr>
              <w:keepNext/>
              <w:spacing w:after="80" w:before="60" w:line="269" w:lineRule="auto"/>
            </w:pPr>
            <w:r>
              <w:rPr>
                <w:b/>
                <w:color w:val="FFFFFF"/>
                <w:sz w:val="18"/>
              </w:rPr>
              <w:t>含义</w:t>
            </w:r>
          </w:p>
        </w:tc>
        <w:tc>
          <w:tcPr>
            <w:tcW w:type="dxa" w:w="3672"/>
            <w:shd w:fill="15324F"/>
          </w:tcPr>
          <w:p>
            <w:pPr>
              <w:keepNext/>
              <w:spacing w:after="80" w:before="60" w:line="269" w:lineRule="auto"/>
            </w:pPr>
            <w:r>
              <w:rPr>
                <w:b/>
                <w:color w:val="FFFFFF"/>
                <w:sz w:val="18"/>
              </w:rPr>
              <w:t>关键约束</w:t>
            </w:r>
          </w:p>
        </w:tc>
      </w:tr>
      <w:tr>
        <w:trPr>
          <w:cantSplit/>
        </w:trPr>
        <w:tc>
          <w:tcPr>
            <w:tcW w:type="dxa" w:w="2160"/>
          </w:tcPr>
          <w:p>
            <w:pPr>
              <w:keepNext/>
              <w:spacing w:after="80" w:before="60" w:line="269" w:lineRule="auto"/>
            </w:pPr>
            <w:r>
              <w:rPr>
                <w:sz w:val="18"/>
              </w:rPr>
              <w:t>plan</w:t>
            </w:r>
          </w:p>
        </w:tc>
        <w:tc>
          <w:tcPr>
            <w:tcW w:type="dxa" w:w="3672"/>
          </w:tcPr>
          <w:p>
            <w:pPr>
              <w:keepNext/>
              <w:spacing w:after="80" w:before="60" w:line="269" w:lineRule="auto"/>
            </w:pPr>
            <w:r>
              <w:rPr>
                <w:sz w:val="18"/>
              </w:rPr>
              <w:t>同一电路的普通单点基线</w:t>
            </w:r>
          </w:p>
        </w:tc>
        <w:tc>
          <w:tcPr>
            <w:tcW w:type="dxa" w:w="3672"/>
          </w:tcPr>
          <w:p>
            <w:pPr>
              <w:keepNext/>
              <w:spacing w:after="80" w:before="60" w:line="269" w:lineRule="auto"/>
            </w:pPr>
            <w:r>
              <w:rPr>
                <w:sz w:val="18"/>
              </w:rPr>
              <w:t>不含独立sweep，电路类型需一致</w:t>
            </w:r>
          </w:p>
        </w:tc>
      </w:tr>
      <w:tr>
        <w:trPr>
          <w:cantSplit/>
        </w:trPr>
        <w:tc>
          <w:tcPr>
            <w:tcW w:type="dxa" w:w="2160"/>
          </w:tcPr>
          <w:p>
            <w:pPr>
              <w:keepNext/>
              <w:spacing w:after="80" w:before="60" w:line="269" w:lineRule="auto"/>
            </w:pPr>
            <w:r>
              <w:rPr>
                <w:sz w:val="18"/>
              </w:rPr>
              <w:t>architecture_space</w:t>
            </w:r>
          </w:p>
        </w:tc>
        <w:tc>
          <w:tcPr>
            <w:tcW w:type="dxa" w:w="3672"/>
          </w:tcPr>
          <w:p>
            <w:pPr>
              <w:keepNext/>
              <w:spacing w:after="80" w:before="60" w:line="269" w:lineRule="auto"/>
            </w:pPr>
            <w:r>
              <w:rPr>
                <w:sz w:val="18"/>
              </w:rPr>
              <w:t>bank组织或逐位置压缩器类型</w:t>
            </w:r>
          </w:p>
        </w:tc>
        <w:tc>
          <w:tcPr>
            <w:tcW w:type="dxa" w:w="3672"/>
          </w:tcPr>
          <w:p>
            <w:pPr>
              <w:keepNext/>
              <w:spacing w:after="80" w:before="60" w:line="269" w:lineRule="auto"/>
            </w:pPr>
            <w:r>
              <w:rPr>
                <w:sz w:val="18"/>
              </w:rPr>
              <w:t>不混入器件尺寸，满足容量或拓扑要求</w:t>
            </w:r>
          </w:p>
        </w:tc>
      </w:tr>
      <w:tr>
        <w:trPr>
          <w:cantSplit/>
        </w:trPr>
        <w:tc>
          <w:tcPr>
            <w:tcW w:type="dxa" w:w="2160"/>
          </w:tcPr>
          <w:p>
            <w:pPr>
              <w:keepNext/>
              <w:spacing w:after="80" w:before="60" w:line="269" w:lineRule="auto"/>
            </w:pPr>
            <w:r>
              <w:rPr>
                <w:sz w:val="18"/>
              </w:rPr>
              <w:t>device_space</w:t>
            </w:r>
          </w:p>
        </w:tc>
        <w:tc>
          <w:tcPr>
            <w:tcW w:type="dxa" w:w="3672"/>
          </w:tcPr>
          <w:p>
            <w:pPr>
              <w:keepNext/>
              <w:spacing w:after="80" w:before="60" w:line="269" w:lineRule="auto"/>
            </w:pPr>
            <w:r>
              <w:rPr>
                <w:sz w:val="18"/>
              </w:rPr>
              <w:t>SRAM宽度/外围倍率，或压缩器分组宽度倍率</w:t>
            </w:r>
          </w:p>
        </w:tc>
        <w:tc>
          <w:tcPr>
            <w:tcW w:type="dxa" w:w="3672"/>
          </w:tcPr>
          <w:p>
            <w:pPr>
              <w:keepNext/>
              <w:spacing w:after="80" w:before="60" w:line="269" w:lineRule="auto"/>
            </w:pPr>
            <w:r>
              <w:rPr>
                <w:sz w:val="18"/>
              </w:rPr>
              <w:t>固定入选架构和逻辑功能；不自动改变沟道长</w:t>
            </w:r>
          </w:p>
        </w:tc>
      </w:tr>
      <w:tr>
        <w:trPr>
          <w:cantSplit/>
        </w:trPr>
        <w:tc>
          <w:tcPr>
            <w:tcW w:type="dxa" w:w="2160"/>
          </w:tcPr>
          <w:p>
            <w:pPr>
              <w:keepNext/>
              <w:spacing w:after="80" w:before="60" w:line="269" w:lineRule="auto"/>
            </w:pPr>
            <w:r>
              <w:rPr>
                <w:sz w:val="18"/>
              </w:rPr>
              <w:t>architecture / validation</w:t>
            </w:r>
          </w:p>
        </w:tc>
        <w:tc>
          <w:tcPr>
            <w:tcW w:type="dxa" w:w="3672"/>
          </w:tcPr>
          <w:p>
            <w:pPr>
              <w:keepNext/>
              <w:spacing w:after="80" w:before="60" w:line="269" w:lineRule="auto"/>
            </w:pPr>
            <w:r>
              <w:rPr>
                <w:sz w:val="18"/>
              </w:rPr>
              <w:t>架构评价与乘法器复核上限</w:t>
            </w:r>
          </w:p>
        </w:tc>
        <w:tc>
          <w:tcPr>
            <w:tcW w:type="dxa" w:w="3672"/>
          </w:tcPr>
          <w:p>
            <w:pPr>
              <w:keepNext/>
              <w:spacing w:after="80" w:before="60" w:line="269" w:lineRule="auto"/>
            </w:pPr>
            <w:r>
              <w:rPr>
                <w:sz w:val="18"/>
              </w:rPr>
              <w:t>代理评价与真实复核分别计数</w:t>
            </w:r>
          </w:p>
        </w:tc>
      </w:tr>
      <w:tr>
        <w:trPr>
          <w:cantSplit/>
        </w:trPr>
        <w:tc>
          <w:tcPr>
            <w:tcW w:type="dxa" w:w="2160"/>
          </w:tcPr>
          <w:p>
            <w:pPr>
              <w:keepNext/>
              <w:spacing w:after="80" w:before="60" w:line="269" w:lineRule="auto"/>
            </w:pPr>
            <w:r>
              <w:rPr>
                <w:sz w:val="18"/>
              </w:rPr>
              <w:t>shortlist / device_per_parent</w:t>
            </w:r>
          </w:p>
        </w:tc>
        <w:tc>
          <w:tcPr>
            <w:tcW w:type="dxa" w:w="3672"/>
          </w:tcPr>
          <w:p>
            <w:pPr>
              <w:keepNext/>
              <w:spacing w:after="80" w:before="60" w:line="269" w:lineRule="auto"/>
            </w:pPr>
            <w:r>
              <w:rPr>
                <w:sz w:val="18"/>
              </w:rPr>
              <w:t>入选父项数及各父项或单元的器件预算</w:t>
            </w:r>
          </w:p>
        </w:tc>
        <w:tc>
          <w:tcPr>
            <w:tcW w:type="dxa" w:w="3672"/>
          </w:tcPr>
          <w:p>
            <w:pPr>
              <w:keepNext/>
              <w:spacing w:after="80" w:before="60" w:line="269" w:lineRule="auto"/>
            </w:pPr>
            <w:r>
              <w:rPr>
                <w:sz w:val="18"/>
              </w:rPr>
              <w:t>包括同条件baseline；不能等同底层SPICE调用总数</w:t>
            </w:r>
          </w:p>
        </w:tc>
      </w:tr>
      <w:tr>
        <w:trPr>
          <w:cantSplit/>
        </w:trPr>
        <w:tc>
          <w:tcPr>
            <w:tcW w:type="dxa" w:w="2160"/>
          </w:tcPr>
          <w:p>
            <w:pPr>
              <w:spacing w:after="80" w:before="60" w:line="269" w:lineRule="auto"/>
            </w:pPr>
            <w:r>
              <w:rPr>
                <w:sz w:val="18"/>
              </w:rPr>
              <w:t>max_seconds</w:t>
            </w:r>
          </w:p>
        </w:tc>
        <w:tc>
          <w:tcPr>
            <w:tcW w:type="dxa" w:w="3672"/>
          </w:tcPr>
          <w:p>
            <w:pPr>
              <w:spacing w:after="80" w:before="60" w:line="269" w:lineRule="auto"/>
            </w:pPr>
            <w:r>
              <w:rPr>
                <w:sz w:val="18"/>
              </w:rPr>
              <w:t>整管线墙钟预算</w:t>
            </w:r>
          </w:p>
        </w:tc>
        <w:tc>
          <w:tcPr>
            <w:tcW w:type="dxa" w:w="3672"/>
          </w:tcPr>
          <w:p>
            <w:pPr>
              <w:spacing w:after="80" w:before="60" w:line="269" w:lineRule="auto"/>
            </w:pPr>
            <w:r>
              <w:rPr>
                <w:sz w:val="18"/>
              </w:rPr>
              <w:t>超时保留已执行阶段，标记incomplete</w:t>
            </w:r>
          </w:p>
        </w:tc>
      </w:tr>
    </w:tbl>
    <w:p>
      <w:pPr>
        <w:spacing w:after="20"/>
      </w:pPr>
    </w:p>
    <w:p>
      <w:pPr>
        <w:keepNext/>
        <w:jc w:val="center"/>
      </w:pPr>
      <w:r>
        <w:drawing>
          <wp:inline xmlns:a="http://schemas.openxmlformats.org/drawingml/2006/main" xmlns:pic="http://schemas.openxmlformats.org/drawingml/2006/picture">
            <wp:extent cx="6035040" cy="4358640"/>
            <wp:docPr id="3" name="Picture 3"/>
            <wp:cNvGraphicFramePr>
              <a:graphicFrameLocks noChangeAspect="1"/>
            </wp:cNvGraphicFramePr>
            <a:graphic>
              <a:graphicData uri="http://schemas.openxmlformats.org/drawingml/2006/picture">
                <pic:pic>
                  <pic:nvPicPr>
                    <pic:cNvPr id="0" name="two_level_flow.png"/>
                    <pic:cNvPicPr/>
                  </pic:nvPicPr>
                  <pic:blipFill>
                    <a:blip r:embed="rId13"/>
                    <a:stretch>
                      <a:fillRect/>
                    </a:stretch>
                  </pic:blipFill>
                  <pic:spPr>
                    <a:xfrm>
                      <a:off x="0" y="0"/>
                      <a:ext cx="6035040" cy="4358640"/>
                    </a:xfrm>
                    <a:prstGeom prst="rect"/>
                  </pic:spPr>
                </pic:pic>
              </a:graphicData>
            </a:graphic>
          </wp:inline>
        </w:drawing>
      </w:r>
    </w:p>
    <w:p>
      <w:pPr>
        <w:pStyle w:val="Caption"/>
      </w:pPr>
      <w:r>
        <w:t>图3 两类电路的两级探索与验收路径</w:t>
      </w:r>
    </w:p>
    <w:p>
      <w:pPr>
        <w:pStyle w:val="Heading2"/>
      </w:pPr>
      <w:r>
        <w:t>4.2 近似乘法器架构级</w:t>
      </w:r>
    </w:p>
    <w:p>
      <w:r>
        <w:t>在固定原生压缩树中，以配置向量x=(c1,…,ck)描述每个可近似位置的类型。当前8位有9个位置、16位有49个位置，每个位置可选8种已有类型。仅8位的完整组合数即为8^9=134,217,728，穷举所有架构通常不合适。系统保留位置顺序，并通过16组压缩器真值核对助手编号与GNN特征编号。</w:t>
      </w:r>
    </w:p>
    <w:p>
      <w:r>
        <w:t>PEA-GNN输出MRED、NMED、延迟、面积和功耗预测。系统核对标签反归一化文件和单位，记录权重与图辅助代码SHA256；原功耗尺度由W换算为µW。架构阶段默认以预测PDP和MRED形成目标，明确的误差约束参与筛选。预测字段统一使用predicted_前缀，不能进入实测验收。</w:t>
      </w:r>
    </w:p>
    <w:p>
      <w:r>
        <w:t>压缩器编号或图结构与模型训练范围不一致，会导致预测失去意义。因此已有GNN只用于原生8/16位近似结构；其他尺寸可使用已有单点或局部验证适配器，不能直接外推该权重。</w:t>
      </w:r>
    </w:p>
    <w:p>
      <w:pPr>
        <w:pStyle w:val="Heading2"/>
      </w:pPr>
      <w:r>
        <w:t>4.3 入选项的真实复核</w:t>
      </w:r>
    </w:p>
    <w:p>
      <w:r>
        <w:t>入选配置重新生成RTL，并使用独立无符号精确乘法参考计算误差。当前MRED排除精确参考为0的项，NMED按最大无符号乘积归一化：</w:t>
      </w:r>
    </w:p>
    <w:p>
      <w:pPr>
        <w:spacing w:line="264" w:lineRule="auto" w:after="20"/>
        <w:shd w:fill="F1F4F7"/>
      </w:pPr>
      <w:r>
        <w:rPr>
          <w:rFonts w:ascii="DejaVu Sans Mono" w:hAnsi="DejaVu Sans Mono"/>
          <w:sz w:val="16"/>
        </w:rPr>
        <w:t>MRED = mean(|y_hat - y| / y), 仅统计 y ≠ 0 的测试项</w:t>
      </w:r>
    </w:p>
    <w:p>
      <w:pPr>
        <w:spacing w:line="264" w:lineRule="auto" w:after="20"/>
        <w:shd w:fill="F1F4F7"/>
      </w:pPr>
      <w:r>
        <w:rPr>
          <w:rFonts w:ascii="DejaVu Sans Mono" w:hAnsi="DejaVu Sans Mono"/>
          <w:sz w:val="16"/>
        </w:rPr>
        <w:t>NMED = mean(|y_hat - y|) / (2^n - 1)^2</w:t>
      </w:r>
    </w:p>
    <w:p>
      <w:pPr>
        <w:spacing w:line="264" w:lineRule="auto" w:after="20"/>
        <w:shd w:fill="F1F4F7"/>
      </w:pPr>
      <w:r>
        <w:rPr>
          <w:rFonts w:ascii="DejaVu Sans Mono" w:hAnsi="DejaVu Sans Mono"/>
          <w:sz w:val="16"/>
        </w:rPr>
        <w:t>PDP[fJ] = P_dynamic[µW] × D_STA[ns]</w:t>
      </w:r>
    </w:p>
    <w:p>
      <w:r>
        <w:t>随后使用Nangate45 typical库完成综合，逐向量进行门级与RTL对照，再运行OpenSTA延迟和VCD活动功耗分析。输入活动周期与配置时钟保持一致，明确输出负载，并要求存在有效活动标注。这里的“实测”指实际运行仿真与EDA工具得到的模型结果，不是流片后的硅片测量。</w:t>
      </w:r>
    </w:p>
    <w:p>
      <w:r>
        <w:t>误差、PDP及其他已支持约束在复核后统一判断。即使预测可行，或算术误差通过，只要实际PDP越界，就不能进入可推荐集合。预测与实测差异独立保存；条件未完全对齐时，不将该差值直接称为GNN同分布测试误差。</w:t>
      </w:r>
    </w:p>
    <w:p>
      <w:pPr>
        <w:pStyle w:val="Heading2"/>
      </w:pPr>
      <w:r>
        <w:t>4.4 乘法器器件级</w:t>
      </w:r>
    </w:p>
    <w:p>
      <w:r>
        <w:t>对已通过架构实测约束的候选，使用原压缩器模板的共享晶体管分组，分别调整各组宽度。当前尺度域允许原宽度的0.5–2倍，并继续检查模板的绝对宽度范围；保持逻辑结构及沟道长。</w:t>
      </w:r>
    </w:p>
    <w:p>
      <w:r>
        <w:t>每个尺寸候选都运行SPICE PPA评价，并用16组输入检查电压输出是否符合该近似压缩器本身的目标真值。近似逻辑的功能保持约束，不是强制它变成精确压缩器。当前模板使用简化LEVEL_1模型，逻辑电平核验采用VOL≤0.24V、VOH≥0.96V及1.2V供电。失败或电平不合法的候选不参与推荐。</w:t>
      </w:r>
    </w:p>
    <w:p>
      <w:r>
        <w:t>该阶段保存分组宽度、单元PDP和面积估算。定制单元尚未重新表征为Liberty并回灌完整乘法器或PE，因此器件阶段收益只在该单元模型范围内成立，不能与综合后架构PPA混为同一条优化曲线。</w:t>
      </w:r>
    </w:p>
    <w:p>
      <w:pPr>
        <w:pStyle w:val="Heading2"/>
      </w:pPr>
      <w:r>
        <w:t>4.5 SRAM架构级：固定容量的bank组织</w:t>
      </w:r>
    </w:p>
    <w:p>
      <w:r>
        <w:t>SRAM架构表示为(r,c,µ,N)，分别为行数、列数、列复用比和阵列数量，并满足：</w:t>
      </w:r>
    </w:p>
    <w:p>
      <w:pPr>
        <w:spacing w:line="264" w:lineRule="auto" w:after="20"/>
        <w:shd w:fill="F1F4F7"/>
      </w:pPr>
      <w:r>
        <w:rPr>
          <w:rFonts w:ascii="DejaVu Sans Mono" w:hAnsi="DejaVu Sans Mono"/>
          <w:sz w:val="16"/>
        </w:rPr>
        <w:t>r × c × N = C_total_bits</w:t>
      </w:r>
    </w:p>
    <w:p>
      <w:pPr>
        <w:spacing w:line="264" w:lineRule="auto" w:after="20"/>
        <w:shd w:fill="F1F4F7"/>
      </w:pPr>
      <w:r>
        <w:rPr>
          <w:rFonts w:ascii="DejaVu Sans Mono" w:hAnsi="DejaVu Sans Mono"/>
          <w:sz w:val="16"/>
        </w:rPr>
        <w:t>N 必须为整数；当前实际电路支持 µ ∈ {1, 2}</w:t>
      </w:r>
    </w:p>
    <w:p>
      <w:r>
        <w:t>总容量和输出字宽是独立规格。若单阵列输出不足一字，系统记录序列化周期，并在模型中计入延迟；不把不同吞吐条件视为相同接口性能。架构阶段固定标称器件及PVT，评价不同组织。</w:t>
      </w:r>
    </w:p>
    <w:p>
      <w:r>
        <w:t>bank评价采用明确的混合模型：单阵列功耗与延迟来自SPICE，面积复用OpenYield模型，片选与bank复用代价采用解析估算。未激活阵列主要按漏电计入，不能将整个动态功耗简单乘阵列数；已经在阵列SPICE内的2路列MUX也不重复增加。bank相关数值保留_estimate后缀。</w:t>
      </w:r>
    </w:p>
    <w:p>
      <w:r>
        <w:t>定义Pmax=max(Pread,Pwrite)，Dmax=max(Dread,Dwrite)。架构FOM采用论文对应形式，并固定W、m²、s单位：</w:t>
      </w:r>
    </w:p>
    <w:p>
      <w:pPr>
        <w:spacing w:line="264" w:lineRule="auto" w:after="20"/>
        <w:shd w:fill="F1F4F7"/>
      </w:pPr>
      <w:r>
        <w:rPr>
          <w:rFonts w:ascii="DejaVu Sans Mono" w:hAnsi="DejaVu Sans Mono"/>
          <w:sz w:val="16"/>
        </w:rPr>
        <w:t>FOM_arch = -log10(Pmax × sqrt(A_bank) × Dmax)</w:t>
      </w:r>
    </w:p>
    <w:p>
      <w:r>
        <w:t>FOM越大越好。单位约定改变会影响对数值，因此跨实验比较前必须统一单位、接口、容量及外围模型。</w:t>
      </w:r>
    </w:p>
    <w:p>
      <w:pPr>
        <w:pStyle w:val="Heading2"/>
      </w:pPr>
      <w:r>
        <w:t>4.6 SRAM器件级与鲁棒性</w:t>
      </w:r>
    </w:p>
    <w:p>
      <w:r>
        <w:t>对入选组织固定r、c、µ和N，调整PU、PD、PG或已开放的外围宽度倍率。每个候选按相同的明确PVT案例、随机种子和MC预算运行读写及hold/read/write SNM。</w:t>
      </w:r>
    </w:p>
    <w:p>
      <w:r>
        <w:t>实现使用原器件模型参数vth0、u0和voff的均值，按绝对均值乘相对标准差生成高斯样本。vth_std=0.05表示相对5%，不是“0.05V阈值电压标准差”。读写测试为阵列内6T单元构造参数样本；SNM针对目标bitcell。这是当前实现的统计假设，不能据少量样本推断整宏良率。[4]</w:t>
      </w:r>
    </w:p>
    <w:p>
      <w:r>
        <w:t>跨角评价对功耗、延迟取最坏值，对SNM取最小值，再重新计算FOM。当前默认工程鲁棒FOM为：</w:t>
      </w:r>
    </w:p>
    <w:p>
      <w:pPr>
        <w:spacing w:line="264" w:lineRule="auto" w:after="20"/>
        <w:shd w:fill="F1F4F7"/>
      </w:pPr>
      <w:r>
        <w:rPr>
          <w:rFonts w:ascii="DejaVu Sans Mono" w:hAnsi="DejaVu Sans Mono"/>
          <w:sz w:val="16"/>
        </w:rPr>
        <w:t>FOM_robust = log10(SNM_min / (Pmax × sqrt(A_bank) × Dmax))</w:t>
      </w:r>
    </w:p>
    <w:p>
      <w:r>
        <w:t>该式是本助手采用的工程定义；DAC提供了鲁棒性优化思路，未给出此唯一显式公式，不能将其归为论文原式。SPICE失败、无效测量或非正SNM均不能作为达标点。</w:t>
      </w:r>
    </w:p>
    <w:p>
      <w:pPr>
        <w:pStyle w:val="Heading2"/>
      </w:pPr>
      <w:r>
        <w:t>4.7 搜索策略、排名与停止规则</w:t>
      </w:r>
    </w:p>
    <w:p>
      <w:r>
        <w:t>当前可选策略为LLM、固定种子随机和隔离副本中的原NSGA-II。LLM从程序生成的合法候选菜单选择，决策请求、回复和选择均留档；服务不可用时回退为随机并明确标记random_fallback。用户可为架构与器件分别选择求解器。</w:t>
      </w:r>
    </w:p>
    <w:p>
      <w:r>
        <w:t>搜索缓存重复配置，按唯一候选控制评价预算。原NSGA-II小种群可能出现重复初始点，适配层对初始种群去重，并增加提案数和外层时间限制，避免无效循环；原算法文件保持不变。</w:t>
      </w:r>
    </w:p>
    <w:p>
      <w:r>
        <w:t>有效候选先通过硬约束，再计算Pareto非支配集合。列表中的“最佳”按配置目标顺序进行字典序排序，不能解释为唯一的多目标最优解；Pareto集合保留其他权衡。所有最优结论只针对本次实际评价过的候选。策略优劣仍需同空间、同条件、同预算和多种子实验验证。</w:t>
      </w:r>
    </w:p>
    <w:p>
      <w:pPr>
        <w:pStyle w:val="Heading1"/>
      </w:pPr>
      <w:r>
        <w:t>5 可靠执行与证据管理</w:t>
      </w:r>
    </w:p>
    <w:p>
      <w:pPr>
        <w:pStyle w:val="Heading2"/>
      </w:pPr>
      <w:r>
        <w:t>5.1 无sudo隔离执行</w:t>
      </w:r>
    </w:p>
    <w:p>
      <w:r>
        <w:t>系统运行于普通用户权限下的Linux x86_64环境，采用Landlock ABI≥3限制仿真子进程的文件写入。任务副本、缓存、临时目录和工具产物集中到当前run；仅保留/dev/null、/dev/tty等必要设备写入例外。读和执行能力仍用于访问已安装工具。该机制是文件写隔离，不等同完整网络隔离或容器化部署。</w:t>
      </w:r>
    </w:p>
    <w:p>
      <w:r>
        <w:t>父子进程继承写限制；隔离能力不可用时拒绝无保护执行。运行前后对OpenACM原始非Git文件进行清单与SHA核对。复用的OpenYield文件另以reference_manifest记录哈希；此处不将部分复用文件核验夸大为整个OpenYield目录核验。</w:t>
      </w:r>
    </w:p>
    <w:p>
      <w:pPr>
        <w:pStyle w:val="Heading2"/>
      </w:pPr>
      <w:r>
        <w:t>5.2 状态与验收分离</w:t>
      </w:r>
    </w:p>
    <w:tbl>
      <w:tblPr>
        <w:tblStyle w:val="TableGrid"/>
        <w:tblW w:type="auto" w:w="0"/>
        <w:tblLayout w:type="fixed"/>
        <w:tblLook w:firstColumn="1" w:firstRow="1" w:lastColumn="0" w:lastRow="0" w:noHBand="0" w:noVBand="1" w:val="04A0"/>
      </w:tblPr>
      <w:tblGrid>
        <w:gridCol w:w="2160"/>
        <w:gridCol w:w="3672"/>
        <w:gridCol w:w="3672"/>
      </w:tblGrid>
      <w:tr>
        <w:trPr>
          <w:tblHeader/>
          <w:cantSplit/>
        </w:trPr>
        <w:tc>
          <w:tcPr>
            <w:tcW w:type="dxa" w:w="2160"/>
            <w:shd w:fill="15324F"/>
          </w:tcPr>
          <w:p>
            <w:pPr>
              <w:keepNext/>
              <w:spacing w:after="80" w:before="60" w:line="269" w:lineRule="auto"/>
            </w:pPr>
            <w:r>
              <w:rPr>
                <w:b/>
                <w:color w:val="FFFFFF"/>
                <w:sz w:val="18"/>
              </w:rPr>
              <w:t>状态或证据</w:t>
            </w:r>
          </w:p>
        </w:tc>
        <w:tc>
          <w:tcPr>
            <w:tcW w:type="dxa" w:w="3672"/>
            <w:shd w:fill="15324F"/>
          </w:tcPr>
          <w:p>
            <w:pPr>
              <w:keepNext/>
              <w:spacing w:after="80" w:before="60" w:line="269" w:lineRule="auto"/>
            </w:pPr>
            <w:r>
              <w:rPr>
                <w:b/>
                <w:color w:val="FFFFFF"/>
                <w:sz w:val="18"/>
              </w:rPr>
              <w:t>含义</w:t>
            </w:r>
          </w:p>
        </w:tc>
        <w:tc>
          <w:tcPr>
            <w:tcW w:type="dxa" w:w="3672"/>
            <w:shd w:fill="15324F"/>
          </w:tcPr>
          <w:p>
            <w:pPr>
              <w:keepNext/>
              <w:spacing w:after="80" w:before="60" w:line="269" w:lineRule="auto"/>
            </w:pPr>
            <w:r>
              <w:rPr>
                <w:b/>
                <w:color w:val="FFFFFF"/>
                <w:sz w:val="18"/>
              </w:rPr>
              <w:t>不应推导出的结论</w:t>
            </w:r>
          </w:p>
        </w:tc>
      </w:tr>
      <w:tr>
        <w:trPr>
          <w:cantSplit/>
        </w:trPr>
        <w:tc>
          <w:tcPr>
            <w:tcW w:type="dxa" w:w="2160"/>
          </w:tcPr>
          <w:p>
            <w:pPr>
              <w:keepNext/>
              <w:spacing w:after="80" w:before="60" w:line="269" w:lineRule="auto"/>
            </w:pPr>
            <w:r>
              <w:rPr>
                <w:sz w:val="18"/>
              </w:rPr>
              <w:t>prediction</w:t>
            </w:r>
          </w:p>
        </w:tc>
        <w:tc>
          <w:tcPr>
            <w:tcW w:type="dxa" w:w="3672"/>
          </w:tcPr>
          <w:p>
            <w:pPr>
              <w:keepNext/>
              <w:spacing w:after="80" w:before="60" w:line="269" w:lineRule="auto"/>
            </w:pPr>
            <w:r>
              <w:rPr>
                <w:sz w:val="18"/>
              </w:rPr>
              <w:t>已运行代理推理</w:t>
            </w:r>
          </w:p>
        </w:tc>
        <w:tc>
          <w:tcPr>
            <w:tcW w:type="dxa" w:w="3672"/>
          </w:tcPr>
          <w:p>
            <w:pPr>
              <w:keepNext/>
              <w:spacing w:after="80" w:before="60" w:line="269" w:lineRule="auto"/>
            </w:pPr>
            <w:r>
              <w:rPr>
                <w:sz w:val="18"/>
              </w:rPr>
              <w:t>用户指标已实测达标</w:t>
            </w:r>
          </w:p>
        </w:tc>
      </w:tr>
      <w:tr>
        <w:trPr>
          <w:cantSplit/>
        </w:trPr>
        <w:tc>
          <w:tcPr>
            <w:tcW w:type="dxa" w:w="2160"/>
          </w:tcPr>
          <w:p>
            <w:pPr>
              <w:keepNext/>
              <w:spacing w:after="80" w:before="60" w:line="269" w:lineRule="auto"/>
            </w:pPr>
            <w:r>
              <w:rPr>
                <w:sz w:val="18"/>
              </w:rPr>
              <w:t>completed</w:t>
            </w:r>
          </w:p>
        </w:tc>
        <w:tc>
          <w:tcPr>
            <w:tcW w:type="dxa" w:w="3672"/>
          </w:tcPr>
          <w:p>
            <w:pPr>
              <w:keepNext/>
              <w:spacing w:after="80" w:before="60" w:line="269" w:lineRule="auto"/>
            </w:pPr>
            <w:r>
              <w:rPr>
                <w:sz w:val="18"/>
              </w:rPr>
              <w:t>所记录流程完成，具体约束需结合任务结果</w:t>
            </w:r>
          </w:p>
        </w:tc>
        <w:tc>
          <w:tcPr>
            <w:tcW w:type="dxa" w:w="3672"/>
          </w:tcPr>
          <w:p>
            <w:pPr>
              <w:keepNext/>
              <w:spacing w:after="80" w:before="60" w:line="269" w:lineRule="auto"/>
            </w:pPr>
            <w:r>
              <w:rPr>
                <w:sz w:val="18"/>
              </w:rPr>
              <w:t>全局最优、全输入正确、IEEE合规或工艺签核</w:t>
            </w:r>
          </w:p>
        </w:tc>
      </w:tr>
      <w:tr>
        <w:trPr>
          <w:cantSplit/>
        </w:trPr>
        <w:tc>
          <w:tcPr>
            <w:tcW w:type="dxa" w:w="2160"/>
          </w:tcPr>
          <w:p>
            <w:pPr>
              <w:keepNext/>
              <w:spacing w:after="80" w:before="60" w:line="269" w:lineRule="auto"/>
            </w:pPr>
            <w:r>
              <w:rPr>
                <w:sz w:val="18"/>
              </w:rPr>
              <w:t>infeasible</w:t>
            </w:r>
          </w:p>
        </w:tc>
        <w:tc>
          <w:tcPr>
            <w:tcW w:type="dxa" w:w="3672"/>
          </w:tcPr>
          <w:p>
            <w:pPr>
              <w:keepNext/>
              <w:spacing w:after="80" w:before="60" w:line="269" w:lineRule="auto"/>
            </w:pPr>
            <w:r>
              <w:rPr>
                <w:sz w:val="18"/>
              </w:rPr>
              <w:t>已有评价显示约束未全部满足</w:t>
            </w:r>
          </w:p>
        </w:tc>
        <w:tc>
          <w:tcPr>
            <w:tcW w:type="dxa" w:w="3672"/>
          </w:tcPr>
          <w:p>
            <w:pPr>
              <w:keepNext/>
              <w:spacing w:after="80" w:before="60" w:line="269" w:lineRule="auto"/>
            </w:pPr>
            <w:r>
              <w:rPr>
                <w:sz w:val="18"/>
              </w:rPr>
              <w:t>整个设计空间都不存在可行解</w:t>
            </w:r>
          </w:p>
        </w:tc>
      </w:tr>
      <w:tr>
        <w:trPr>
          <w:cantSplit/>
        </w:trPr>
        <w:tc>
          <w:tcPr>
            <w:tcW w:type="dxa" w:w="2160"/>
          </w:tcPr>
          <w:p>
            <w:pPr>
              <w:keepNext/>
              <w:spacing w:after="80" w:before="60" w:line="269" w:lineRule="auto"/>
            </w:pPr>
            <w:r>
              <w:rPr>
                <w:sz w:val="18"/>
              </w:rPr>
              <w:t>unverified_constraints</w:t>
            </w:r>
          </w:p>
        </w:tc>
        <w:tc>
          <w:tcPr>
            <w:tcW w:type="dxa" w:w="3672"/>
          </w:tcPr>
          <w:p>
            <w:pPr>
              <w:keepNext/>
              <w:spacing w:after="80" w:before="60" w:line="269" w:lineRule="auto"/>
            </w:pPr>
            <w:r>
              <w:rPr>
                <w:sz w:val="18"/>
              </w:rPr>
              <w:t>缺少对应指标的有效测量</w:t>
            </w:r>
          </w:p>
        </w:tc>
        <w:tc>
          <w:tcPr>
            <w:tcW w:type="dxa" w:w="3672"/>
          </w:tcPr>
          <w:p>
            <w:pPr>
              <w:keepNext/>
              <w:spacing w:after="80" w:before="60" w:line="269" w:lineRule="auto"/>
            </w:pPr>
            <w:r>
              <w:rPr>
                <w:sz w:val="18"/>
              </w:rPr>
              <w:t>可忽略该约束继续宣布达标</w:t>
            </w:r>
          </w:p>
        </w:tc>
      </w:tr>
      <w:tr>
        <w:trPr>
          <w:cantSplit/>
        </w:trPr>
        <w:tc>
          <w:tcPr>
            <w:tcW w:type="dxa" w:w="2160"/>
          </w:tcPr>
          <w:p>
            <w:pPr>
              <w:spacing w:after="80" w:before="60" w:line="269" w:lineRule="auto"/>
            </w:pPr>
            <w:r>
              <w:rPr>
                <w:sz w:val="18"/>
              </w:rPr>
              <w:t>incomplete / failed</w:t>
            </w:r>
          </w:p>
        </w:tc>
        <w:tc>
          <w:tcPr>
            <w:tcW w:type="dxa" w:w="3672"/>
          </w:tcPr>
          <w:p>
            <w:pPr>
              <w:spacing w:after="80" w:before="60" w:line="269" w:lineRule="auto"/>
            </w:pPr>
            <w:r>
              <w:rPr>
                <w:sz w:val="18"/>
              </w:rPr>
              <w:t>预算中断或执行异常</w:t>
            </w:r>
          </w:p>
        </w:tc>
        <w:tc>
          <w:tcPr>
            <w:tcW w:type="dxa" w:w="3672"/>
          </w:tcPr>
          <w:p>
            <w:pPr>
              <w:spacing w:after="80" w:before="60" w:line="269" w:lineRule="auto"/>
            </w:pPr>
            <w:r>
              <w:rPr>
                <w:sz w:val="18"/>
              </w:rPr>
              <w:t>已完成全部阶段或可用预测补齐缺失结果</w:t>
            </w:r>
          </w:p>
        </w:tc>
      </w:tr>
    </w:tbl>
    <w:p>
      <w:pPr>
        <w:spacing w:after="20"/>
      </w:pPr>
    </w:p>
    <w:p>
      <w:r>
        <w:t>每个数值同时关联配置、测试分布、库、时钟/活动、PVT及证据种类。数组SPICE、bank估算、综合后STA和单元SPICE分别保存，禁止跨层级填充指标。</w:t>
      </w:r>
    </w:p>
    <w:p>
      <w:pPr>
        <w:pStyle w:val="Heading2"/>
      </w:pPr>
      <w:r>
        <w:t>5.3 证据驱动的中文总结</w:t>
      </w:r>
    </w:p>
    <w:p>
      <w:r>
        <w:t>仿真结束后，执行器从结果文件构造可信事实和必须呈现的结论。DeepSeek可选择事实重点与顺序，数值仍由执行器渲染；未知事实ID和虚构建议被拒绝，模型整理失败时回退为实际数据摘要。</w:t>
      </w:r>
    </w:p>
    <w:p>
      <w:r>
        <w:t>摘要直接展示完成状态、最佳已评价项、关键指标、约束是否通过、器件尺寸和使用范围，不要求用户手动查找报告。详细报告、模型整理请求与回复继续保留，便于核对原始证据。</w:t>
      </w:r>
    </w:p>
    <w:p>
      <w:pPr>
        <w:pStyle w:val="Heading2"/>
      </w:pPr>
      <w:r>
        <w:t>5.4 专属目录与版本追溯</w:t>
      </w:r>
    </w:p>
    <w:p>
      <w:pPr>
        <w:spacing w:line="264" w:lineRule="auto" w:after="20"/>
        <w:shd w:fill="F1F4F7"/>
      </w:pPr>
      <w:r>
        <w:rPr>
          <w:rFonts w:ascii="DejaVu Sans Mono" w:hAnsi="DejaVu Sans Mono"/>
          <w:sz w:val="16"/>
        </w:rPr>
        <w:t>OpenACMAssistant/</w:t>
      </w:r>
    </w:p>
    <w:p>
      <w:pPr>
        <w:spacing w:line="264" w:lineRule="auto" w:after="20"/>
        <w:shd w:fill="F1F4F7"/>
      </w:pPr>
      <w:r>
        <w:rPr>
          <w:rFonts w:ascii="DejaVu Sans Mono" w:hAnsi="DejaVu Sans Mono"/>
          <w:sz w:val="16"/>
        </w:rPr>
        <w:t xml:space="preserve">  app/                 交互、校验、调度、隔离与工具适配</w:t>
      </w:r>
    </w:p>
    <w:p>
      <w:pPr>
        <w:spacing w:line="264" w:lineRule="auto" w:after="20"/>
        <w:shd w:fill="F1F4F7"/>
      </w:pPr>
      <w:r>
        <w:rPr>
          <w:rFonts w:ascii="DejaVu Sans Mono" w:hAnsi="DejaVu Sans Mono"/>
          <w:sz w:val="16"/>
        </w:rPr>
        <w:t xml:space="preserve">  skills/              电路领域能力、规则及接口参考</w:t>
      </w:r>
    </w:p>
    <w:p>
      <w:pPr>
        <w:spacing w:line="264" w:lineRule="auto" w:after="20"/>
        <w:shd w:fill="F1F4F7"/>
      </w:pPr>
      <w:r>
        <w:rPr>
          <w:rFonts w:ascii="DejaVu Sans Mono" w:hAnsi="DejaVu Sans Mono"/>
          <w:sz w:val="16"/>
        </w:rPr>
        <w:t xml:space="preserve">  examples/            可审阅、可复验的实验规格</w:t>
      </w:r>
    </w:p>
    <w:p>
      <w:pPr>
        <w:spacing w:line="264" w:lineRule="auto" w:after="20"/>
        <w:shd w:fill="F1F4F7"/>
      </w:pPr>
      <w:r>
        <w:rPr>
          <w:rFonts w:ascii="DejaVu Sans Mono" w:hAnsi="DejaVu Sans Mono"/>
          <w:sz w:val="16"/>
        </w:rPr>
        <w:t xml:space="preserve">  runs/&lt;任务&gt;/         工作副本、阶段、波形、日志、报告与完整性</w:t>
      </w:r>
    </w:p>
    <w:p>
      <w:pPr>
        <w:spacing w:line="264" w:lineRule="auto" w:after="20"/>
        <w:shd w:fill="F1F4F7"/>
      </w:pPr>
      <w:r>
        <w:rPr>
          <w:rFonts w:ascii="DejaVu Sans Mono" w:hAnsi="DejaVu Sans Mono"/>
          <w:sz w:val="16"/>
        </w:rPr>
        <w:t xml:space="preserve">  experience/          SQLite经验索引及JSONL交换文件</w:t>
      </w:r>
    </w:p>
    <w:p>
      <w:pPr>
        <w:spacing w:line="264" w:lineRule="auto" w:after="20"/>
        <w:shd w:fill="F1F4F7"/>
      </w:pPr>
      <w:r>
        <w:rPr>
          <w:rFonts w:ascii="DejaVu Sans Mono" w:hAnsi="DejaVu Sans Mono"/>
          <w:sz w:val="16"/>
        </w:rPr>
        <w:t xml:space="preserve">  datasets/            带版本和来源的公开参考</w:t>
      </w:r>
    </w:p>
    <w:p>
      <w:pPr>
        <w:spacing w:line="264" w:lineRule="auto" w:after="20"/>
        <w:shd w:fill="F1F4F7"/>
      </w:pPr>
      <w:r>
        <w:rPr>
          <w:rFonts w:ascii="DejaVu Sans Mono" w:hAnsi="DejaVu Sans Mono"/>
          <w:sz w:val="16"/>
        </w:rPr>
        <w:t xml:space="preserve">  docs/technical-report/  技术报告及图表</w:t>
      </w:r>
    </w:p>
    <w:p>
      <w:r>
        <w:t>每次新实验创建新目录，不覆盖历史任务。best_experiment.json保存SRAM最佳完整容量/PVT配置或乘法器锁定位置分配，best_device_designs及widths.json另存单元尺寸；observations.jsonl导出阶段观测。完整运行、模型权重、经验和本机配置不进入助手代码仓库。</w:t>
      </w:r>
    </w:p>
    <w:p>
      <w:pPr>
        <w:pStyle w:val="Heading1"/>
      </w:pPr>
      <w:r>
        <w:t>6 持久经验与公开数据</w:t>
      </w:r>
    </w:p>
    <w:p>
      <w:pPr>
        <w:pStyle w:val="Heading2"/>
      </w:pPr>
      <w:r>
        <w:t>6.1 本地经验的记录与检索</w:t>
      </w:r>
    </w:p>
    <w:p>
      <w:r>
        <w:t>本地SQLite记录完整参数、约束、状态、实际指标、失败原因、源码与执行器指纹、工具环境、数据质量和证据路径。同任务重复导入保持幂等；结果修订保留历史版本；检索优先使用最新可信观测。</w:t>
      </w:r>
    </w:p>
    <w:p>
      <w:r>
        <w:t>经验按电路、尺寸、输入测试、PVT、负载、后端与环境匹配。同范围记录可以作为待复验候选；不同条件、旧数据或外部导入降为参考。历史成功不意味着新任务无须运行，历史失败也不意味着整个类型不可行。</w:t>
      </w:r>
    </w:p>
    <w:p>
      <w:r>
        <w:t>存储和检索接口不依赖DeepSeek品牌。标准JSON/JSONL可由其他模型的适配器读取，Ollama兼容模型也可切换后共用经验。这里的“持续学习”是持续积累观测并检索使用，不是自动梯度训练或在线更新权重。</w:t>
      </w:r>
    </w:p>
    <w:p>
      <w:pPr>
        <w:pStyle w:val="Heading2"/>
      </w:pPr>
      <w:r>
        <w:t>6.2 公开数据的接入与条件核对</w:t>
      </w:r>
    </w:p>
    <w:p>
      <w:r>
        <w:t>项目已归档公开8位乘法器数据的固定快照，包含50,000个唯一配置、九位置选择和五类标签，并建立来源与本地映射核验。[5] 参考检索只使用本地明确划分的训练部分，验证/测试部分不进入决策上下文；真正重新训练代理模型时，缩放参数应仅由训练集拟合。</w:t>
      </w:r>
    </w:p>
    <w:p>
      <w:r>
        <w:t>公开数据与本地生成及测量条件并未完全一致。已核验的公开样本40499，其发布MRED为0.01927266，而本地4096组、种子42的RTL复测为0.0216472906；按0.02阈值，前者看似通过，后者不通过。因此公开标签不能替代本地验收，也不能直接并入同条件训练集。</w:t>
      </w:r>
    </w:p>
    <w:p>
      <w:r>
        <w:t>当前接入用于检索参考和候选引入，没有执行GNN/LLM权重训练。数据附件保留原许可证声明，不将第三方数据改标为助手代码许可；公开数据条件、单位和来源版本仍需逐项审查。</w:t>
      </w:r>
    </w:p>
    <w:p>
      <w:pPr>
        <w:pStyle w:val="Heading1"/>
        <w:pageBreakBefore/>
      </w:pPr>
      <w:r>
        <w:t>7 实验设置与验证结果</w:t>
      </w:r>
    </w:p>
    <w:p>
      <w:pPr>
        <w:pStyle w:val="Heading2"/>
      </w:pPr>
      <w:r>
        <w:t>7.1 验证目的与环境</w:t>
      </w:r>
    </w:p>
    <w:p>
      <w:r>
        <w:t>本报告使用2026年10月8日至25日已保存的本机证据，报告生成时重新读取结果与完整性文件，不重新执行大规模搜索。本轮核心两级证据为2026年10月25日的小预算实验；历史DCiM后端记录用于说明基础工具链覆盖，不作为器件优化已回灌PE的证明。</w:t>
      </w:r>
    </w:p>
    <w:tbl>
      <w:tblPr>
        <w:tblStyle w:val="TableGrid"/>
        <w:tblW w:type="auto" w:w="0"/>
        <w:tblLayout w:type="fixed"/>
        <w:tblLook w:firstColumn="1" w:firstRow="1" w:lastColumn="0" w:lastRow="0" w:noHBand="0" w:noVBand="1" w:val="04A0"/>
      </w:tblPr>
      <w:tblGrid>
        <w:gridCol w:w="2304"/>
        <w:gridCol w:w="7200"/>
      </w:tblGrid>
      <w:tr>
        <w:trPr>
          <w:tblHeader/>
          <w:cantSplit/>
        </w:trPr>
        <w:tc>
          <w:tcPr>
            <w:tcW w:type="dxa" w:w="2304"/>
            <w:shd w:fill="15324F"/>
          </w:tcPr>
          <w:p>
            <w:pPr>
              <w:keepNext/>
              <w:spacing w:after="80" w:before="60" w:line="269" w:lineRule="auto"/>
            </w:pPr>
            <w:r>
              <w:rPr>
                <w:b/>
                <w:color w:val="FFFFFF"/>
                <w:sz w:val="18"/>
              </w:rPr>
              <w:t>项目</w:t>
            </w:r>
          </w:p>
        </w:tc>
        <w:tc>
          <w:tcPr>
            <w:tcW w:type="dxa" w:w="7200"/>
            <w:shd w:fill="15324F"/>
          </w:tcPr>
          <w:p>
            <w:pPr>
              <w:keepNext/>
              <w:spacing w:after="80" w:before="60" w:line="269" w:lineRule="auto"/>
            </w:pPr>
            <w:r>
              <w:rPr>
                <w:b/>
                <w:color w:val="FFFFFF"/>
                <w:sz w:val="18"/>
              </w:rPr>
              <w:t>本报告采用的范围</w:t>
            </w:r>
          </w:p>
        </w:tc>
      </w:tr>
      <w:tr>
        <w:trPr>
          <w:cantSplit/>
        </w:trPr>
        <w:tc>
          <w:tcPr>
            <w:tcW w:type="dxa" w:w="2304"/>
          </w:tcPr>
          <w:p>
            <w:pPr>
              <w:keepNext/>
              <w:spacing w:after="80" w:before="60" w:line="269" w:lineRule="auto"/>
            </w:pPr>
            <w:r>
              <w:rPr>
                <w:sz w:val="18"/>
              </w:rPr>
              <w:t>模型交互</w:t>
            </w:r>
          </w:p>
        </w:tc>
        <w:tc>
          <w:tcPr>
            <w:tcW w:type="dxa" w:w="7200"/>
          </w:tcPr>
          <w:p>
            <w:pPr>
              <w:keepNext/>
              <w:spacing w:after="80" w:before="60" w:line="269" w:lineRule="auto"/>
            </w:pPr>
            <w:r>
              <w:rPr>
                <w:sz w:val="18"/>
              </w:rPr>
              <w:t>本机Ollama中的deepseek-script；部署说明基于DeepSeek-Coder-V2 Lite量化模型，端点与模型名可配置</w:t>
            </w:r>
          </w:p>
        </w:tc>
      </w:tr>
      <w:tr>
        <w:trPr>
          <w:cantSplit/>
        </w:trPr>
        <w:tc>
          <w:tcPr>
            <w:tcW w:type="dxa" w:w="2304"/>
          </w:tcPr>
          <w:p>
            <w:pPr>
              <w:keepNext/>
              <w:spacing w:after="80" w:before="60" w:line="269" w:lineRule="auto"/>
            </w:pPr>
            <w:r>
              <w:rPr>
                <w:sz w:val="18"/>
              </w:rPr>
              <w:t>代理运行</w:t>
            </w:r>
          </w:p>
        </w:tc>
        <w:tc>
          <w:tcPr>
            <w:tcW w:type="dxa" w:w="7200"/>
          </w:tcPr>
          <w:p>
            <w:pPr>
              <w:keepNext/>
              <w:spacing w:after="80" w:before="60" w:line="269" w:lineRule="auto"/>
            </w:pPr>
            <w:r>
              <w:rPr>
                <w:sz w:val="18"/>
              </w:rPr>
              <w:t>原8/16位PEA-GNN；CPU推理；Torch 2.6.0 CPU与PyTorch Geometric 2.6.1依赖</w:t>
            </w:r>
          </w:p>
        </w:tc>
      </w:tr>
      <w:tr>
        <w:trPr>
          <w:cantSplit/>
        </w:trPr>
        <w:tc>
          <w:tcPr>
            <w:tcW w:type="dxa" w:w="2304"/>
          </w:tcPr>
          <w:p>
            <w:pPr>
              <w:keepNext/>
              <w:spacing w:after="80" w:before="60" w:line="269" w:lineRule="auto"/>
            </w:pPr>
            <w:r>
              <w:rPr>
                <w:sz w:val="18"/>
              </w:rPr>
              <w:t>数字实测</w:t>
            </w:r>
          </w:p>
        </w:tc>
        <w:tc>
          <w:tcPr>
            <w:tcW w:type="dxa" w:w="7200"/>
          </w:tcPr>
          <w:p>
            <w:pPr>
              <w:keepNext/>
              <w:spacing w:after="80" w:before="60" w:line="269" w:lineRule="auto"/>
            </w:pPr>
            <w:r>
              <w:rPr>
                <w:sz w:val="18"/>
              </w:rPr>
              <w:t>Icarus/vvp、Yosys、Nangate45 typical及OpenSTA；PDP使用动态功耗</w:t>
            </w:r>
          </w:p>
        </w:tc>
      </w:tr>
      <w:tr>
        <w:trPr>
          <w:cantSplit/>
        </w:trPr>
        <w:tc>
          <w:tcPr>
            <w:tcW w:type="dxa" w:w="2304"/>
          </w:tcPr>
          <w:p>
            <w:pPr>
              <w:keepNext/>
              <w:spacing w:after="80" w:before="60" w:line="269" w:lineRule="auto"/>
            </w:pPr>
            <w:r>
              <w:rPr>
                <w:sz w:val="18"/>
              </w:rPr>
              <w:t>乘法器活动条件</w:t>
            </w:r>
          </w:p>
        </w:tc>
        <w:tc>
          <w:tcPr>
            <w:tcW w:type="dxa" w:w="7200"/>
          </w:tcPr>
          <w:p>
            <w:pPr>
              <w:keepNext/>
              <w:spacing w:after="80" w:before="60" w:line="269" w:lineRule="auto"/>
            </w:pPr>
            <w:r>
              <w:rPr>
                <w:sz w:val="18"/>
              </w:rPr>
              <w:t>5ns输入活动周期、10fF输出负载；种子42；样本数按各项列出</w:t>
            </w:r>
          </w:p>
        </w:tc>
      </w:tr>
      <w:tr>
        <w:trPr>
          <w:cantSplit/>
        </w:trPr>
        <w:tc>
          <w:tcPr>
            <w:tcW w:type="dxa" w:w="2304"/>
          </w:tcPr>
          <w:p>
            <w:pPr>
              <w:keepNext/>
              <w:spacing w:after="80" w:before="60" w:line="269" w:lineRule="auto"/>
            </w:pPr>
            <w:r>
              <w:rPr>
                <w:sz w:val="18"/>
              </w:rPr>
              <w:t>SRAM鲁棒性冒烟</w:t>
            </w:r>
          </w:p>
        </w:tc>
        <w:tc>
          <w:tcPr>
            <w:tcW w:type="dxa" w:w="7200"/>
          </w:tcPr>
          <w:p>
            <w:pPr>
              <w:keepNext/>
              <w:spacing w:after="80" w:before="60" w:line="269" w:lineRule="auto"/>
            </w:pPr>
            <w:r>
              <w:rPr>
                <w:sz w:val="18"/>
              </w:rPr>
              <w:t>64bit容量、4bit输出；TT/27℃/1V及SS/85℃/0.9V；每角MC=2，相对标准差5%</w:t>
            </w:r>
          </w:p>
        </w:tc>
      </w:tr>
      <w:tr>
        <w:trPr>
          <w:cantSplit/>
        </w:trPr>
        <w:tc>
          <w:tcPr>
            <w:tcW w:type="dxa" w:w="2304"/>
          </w:tcPr>
          <w:p>
            <w:pPr>
              <w:spacing w:after="80" w:before="60" w:line="269" w:lineRule="auto"/>
            </w:pPr>
            <w:r>
              <w:rPr>
                <w:sz w:val="18"/>
              </w:rPr>
              <w:t>代码和来源</w:t>
            </w:r>
          </w:p>
        </w:tc>
        <w:tc>
          <w:tcPr>
            <w:tcW w:type="dxa" w:w="7200"/>
          </w:tcPr>
          <w:p>
            <w:pPr>
              <w:spacing w:after="80" w:before="60" w:line="269" w:lineRule="auto"/>
            </w:pPr>
            <w:r>
              <w:rPr>
                <w:sz w:val="18"/>
              </w:rPr>
              <w:t>助手提交8566e1a；原工程具体输入以各任务清单及SHA为准</w:t>
            </w:r>
          </w:p>
        </w:tc>
      </w:tr>
    </w:tbl>
    <w:p>
      <w:pPr>
        <w:spacing w:after="20"/>
      </w:pPr>
    </w:p>
    <w:p>
      <w:r>
        <w:t>样本数与预算均较小，适用于工程流程验证。尚不具备宣称搜索效率提升百分比、LLM最优性或统计良率的依据。</w:t>
      </w:r>
    </w:p>
    <w:p>
      <w:pPr>
        <w:pStyle w:val="Heading2"/>
      </w:pPr>
      <w:r>
        <w:t>7.2 SRAM固定容量的两级验证</w:t>
      </w:r>
    </w:p>
    <w:p>
      <w:r>
        <w:t>E01设置2个架构评价、1个入选组织和2个器件候选。架构阶段在相同标称条件下比较4×4×4与8×4×2，两者容量均为64bit，输出字宽均为4bit。入选8×4×2后，仅调整PD宽度，其他基线尺寸保持PU=90nm、PG=135nm、L=50nm。[E01]</w:t>
      </w:r>
    </w:p>
    <w:tbl>
      <w:tblPr>
        <w:tblStyle w:val="TableGrid"/>
        <w:tblW w:type="auto" w:w="0"/>
        <w:tblLayout w:type="fixed"/>
        <w:tblLook w:firstColumn="1" w:firstRow="1" w:lastColumn="0" w:lastRow="0" w:noHBand="0" w:noVBand="1" w:val="04A0"/>
      </w:tblPr>
      <w:tblGrid>
        <w:gridCol w:w="2880"/>
        <w:gridCol w:w="1584"/>
        <w:gridCol w:w="1584"/>
        <w:gridCol w:w="1584"/>
        <w:gridCol w:w="1872"/>
      </w:tblGrid>
      <w:tr>
        <w:trPr>
          <w:tblHeader/>
          <w:cantSplit/>
        </w:trPr>
        <w:tc>
          <w:tcPr>
            <w:tcW w:type="dxa" w:w="2880"/>
            <w:shd w:fill="15324F"/>
          </w:tcPr>
          <w:p>
            <w:pPr>
              <w:keepNext/>
              <w:spacing w:after="80" w:before="60" w:line="269" w:lineRule="auto"/>
            </w:pPr>
            <w:r>
              <w:rPr>
                <w:b/>
                <w:color w:val="FFFFFF"/>
                <w:sz w:val="17"/>
              </w:rPr>
              <w:t>阶段及候选</w:t>
            </w:r>
          </w:p>
        </w:tc>
        <w:tc>
          <w:tcPr>
            <w:tcW w:type="dxa" w:w="1584"/>
            <w:shd w:fill="15324F"/>
          </w:tcPr>
          <w:p>
            <w:pPr>
              <w:keepNext/>
              <w:spacing w:after="80" w:before="60" w:line="269" w:lineRule="auto"/>
            </w:pPr>
            <w:r>
              <w:rPr>
                <w:b/>
                <w:color w:val="FFFFFF"/>
                <w:sz w:val="17"/>
              </w:rPr>
              <w:t>读功耗估算/µW</w:t>
            </w:r>
          </w:p>
        </w:tc>
        <w:tc>
          <w:tcPr>
            <w:tcW w:type="dxa" w:w="1584"/>
            <w:shd w:fill="15324F"/>
          </w:tcPr>
          <w:p>
            <w:pPr>
              <w:keepNext/>
              <w:spacing w:after="80" w:before="60" w:line="269" w:lineRule="auto"/>
            </w:pPr>
            <w:r>
              <w:rPr>
                <w:b/>
                <w:color w:val="FFFFFF"/>
                <w:sz w:val="17"/>
              </w:rPr>
              <w:t>读延迟估算/ns</w:t>
            </w:r>
          </w:p>
        </w:tc>
        <w:tc>
          <w:tcPr>
            <w:tcW w:type="dxa" w:w="1584"/>
            <w:shd w:fill="15324F"/>
          </w:tcPr>
          <w:p>
            <w:pPr>
              <w:keepNext/>
              <w:spacing w:after="80" w:before="60" w:line="269" w:lineRule="auto"/>
            </w:pPr>
            <w:r>
              <w:rPr>
                <w:b/>
                <w:color w:val="FFFFFF"/>
                <w:sz w:val="17"/>
              </w:rPr>
              <w:t>SNM最小值/V</w:t>
            </w:r>
          </w:p>
        </w:tc>
        <w:tc>
          <w:tcPr>
            <w:tcW w:type="dxa" w:w="1872"/>
            <w:shd w:fill="15324F"/>
          </w:tcPr>
          <w:p>
            <w:pPr>
              <w:keepNext/>
              <w:spacing w:after="80" w:before="60" w:line="269" w:lineRule="auto"/>
            </w:pPr>
            <w:r>
              <w:rPr>
                <w:b/>
                <w:color w:val="FFFFFF"/>
                <w:sz w:val="17"/>
              </w:rPr>
              <w:t>本阶段FOM</w:t>
            </w:r>
          </w:p>
        </w:tc>
      </w:tr>
      <w:tr>
        <w:trPr>
          <w:cantSplit/>
        </w:trPr>
        <w:tc>
          <w:tcPr>
            <w:tcW w:type="dxa" w:w="2880"/>
          </w:tcPr>
          <w:p>
            <w:pPr>
              <w:keepNext/>
              <w:spacing w:after="80" w:before="60" w:line="269" w:lineRule="auto"/>
            </w:pPr>
            <w:r>
              <w:rPr>
                <w:sz w:val="17"/>
              </w:rPr>
              <w:t>架构：4×4×4，标称PD135nm</w:t>
            </w:r>
          </w:p>
        </w:tc>
        <w:tc>
          <w:tcPr>
            <w:tcW w:type="dxa" w:w="1584"/>
          </w:tcPr>
          <w:p>
            <w:pPr>
              <w:keepNext/>
              <w:spacing w:after="80" w:before="60" w:line="269" w:lineRule="auto"/>
            </w:pPr>
            <w:r>
              <w:rPr>
                <w:sz w:val="17"/>
              </w:rPr>
              <w:t>12.293779</w:t>
            </w:r>
          </w:p>
        </w:tc>
        <w:tc>
          <w:tcPr>
            <w:tcW w:type="dxa" w:w="1584"/>
          </w:tcPr>
          <w:p>
            <w:pPr>
              <w:keepNext/>
              <w:spacing w:after="80" w:before="60" w:line="269" w:lineRule="auto"/>
            </w:pPr>
            <w:r>
              <w:rPr>
                <w:sz w:val="17"/>
              </w:rPr>
              <w:t>0.719823</w:t>
            </w:r>
          </w:p>
        </w:tc>
        <w:tc>
          <w:tcPr>
            <w:tcW w:type="dxa" w:w="1584"/>
          </w:tcPr>
          <w:p>
            <w:pPr>
              <w:keepNext/>
              <w:spacing w:after="80" w:before="60" w:line="269" w:lineRule="auto"/>
            </w:pPr>
            <w:r>
              <w:rPr>
                <w:sz w:val="17"/>
              </w:rPr>
              <w:t>—</w:t>
            </w:r>
          </w:p>
        </w:tc>
        <w:tc>
          <w:tcPr>
            <w:tcW w:type="dxa" w:w="1872"/>
          </w:tcPr>
          <w:p>
            <w:pPr>
              <w:keepNext/>
              <w:spacing w:after="80" w:before="60" w:line="269" w:lineRule="auto"/>
            </w:pPr>
            <w:r>
              <w:rPr>
                <w:sz w:val="17"/>
              </w:rPr>
              <w:t>18.557527</w:t>
            </w:r>
          </w:p>
        </w:tc>
      </w:tr>
      <w:tr>
        <w:trPr>
          <w:cantSplit/>
        </w:trPr>
        <w:tc>
          <w:tcPr>
            <w:tcW w:type="dxa" w:w="2880"/>
          </w:tcPr>
          <w:p>
            <w:pPr>
              <w:keepNext/>
              <w:spacing w:after="80" w:before="60" w:line="269" w:lineRule="auto"/>
            </w:pPr>
            <w:r>
              <w:rPr>
                <w:sz w:val="17"/>
              </w:rPr>
              <w:t>架构：8×4×2，标称PD135nm</w:t>
            </w:r>
          </w:p>
        </w:tc>
        <w:tc>
          <w:tcPr>
            <w:tcW w:type="dxa" w:w="1584"/>
          </w:tcPr>
          <w:p>
            <w:pPr>
              <w:keepNext/>
              <w:spacing w:after="80" w:before="60" w:line="269" w:lineRule="auto"/>
            </w:pPr>
            <w:r>
              <w:rPr>
                <w:sz w:val="17"/>
              </w:rPr>
              <w:t>13.847376</w:t>
            </w:r>
          </w:p>
        </w:tc>
        <w:tc>
          <w:tcPr>
            <w:tcW w:type="dxa" w:w="1584"/>
          </w:tcPr>
          <w:p>
            <w:pPr>
              <w:keepNext/>
              <w:spacing w:after="80" w:before="60" w:line="269" w:lineRule="auto"/>
            </w:pPr>
            <w:r>
              <w:rPr>
                <w:sz w:val="17"/>
              </w:rPr>
              <w:t>0.577805</w:t>
            </w:r>
          </w:p>
        </w:tc>
        <w:tc>
          <w:tcPr>
            <w:tcW w:type="dxa" w:w="1584"/>
          </w:tcPr>
          <w:p>
            <w:pPr>
              <w:keepNext/>
              <w:spacing w:after="80" w:before="60" w:line="269" w:lineRule="auto"/>
            </w:pPr>
            <w:r>
              <w:rPr>
                <w:sz w:val="17"/>
              </w:rPr>
              <w:t>—</w:t>
            </w:r>
          </w:p>
        </w:tc>
        <w:tc>
          <w:tcPr>
            <w:tcW w:type="dxa" w:w="1872"/>
          </w:tcPr>
          <w:p>
            <w:pPr>
              <w:keepNext/>
              <w:spacing w:after="80" w:before="60" w:line="269" w:lineRule="auto"/>
            </w:pPr>
            <w:r>
              <w:rPr>
                <w:sz w:val="17"/>
              </w:rPr>
              <w:t>18.693364</w:t>
            </w:r>
          </w:p>
        </w:tc>
      </w:tr>
      <w:tr>
        <w:trPr>
          <w:cantSplit/>
        </w:trPr>
        <w:tc>
          <w:tcPr>
            <w:tcW w:type="dxa" w:w="2880"/>
          </w:tcPr>
          <w:p>
            <w:pPr>
              <w:keepNext/>
              <w:spacing w:after="80" w:before="60" w:line="269" w:lineRule="auto"/>
            </w:pPr>
            <w:r>
              <w:rPr>
                <w:sz w:val="17"/>
              </w:rPr>
              <w:t>器件：固定8×4×2，PD135nm，PVT/MC</w:t>
            </w:r>
          </w:p>
        </w:tc>
        <w:tc>
          <w:tcPr>
            <w:tcW w:type="dxa" w:w="1584"/>
          </w:tcPr>
          <w:p>
            <w:pPr>
              <w:keepNext/>
              <w:spacing w:after="80" w:before="60" w:line="269" w:lineRule="auto"/>
            </w:pPr>
            <w:r>
              <w:rPr>
                <w:sz w:val="17"/>
              </w:rPr>
              <w:t>13.874822</w:t>
            </w:r>
          </w:p>
        </w:tc>
        <w:tc>
          <w:tcPr>
            <w:tcW w:type="dxa" w:w="1584"/>
          </w:tcPr>
          <w:p>
            <w:pPr>
              <w:keepNext/>
              <w:spacing w:after="80" w:before="60" w:line="269" w:lineRule="auto"/>
            </w:pPr>
            <w:r>
              <w:rPr>
                <w:sz w:val="17"/>
              </w:rPr>
              <w:t>0.911298</w:t>
            </w:r>
          </w:p>
        </w:tc>
        <w:tc>
          <w:tcPr>
            <w:tcW w:type="dxa" w:w="1584"/>
          </w:tcPr>
          <w:p>
            <w:pPr>
              <w:keepNext/>
              <w:spacing w:after="80" w:before="60" w:line="269" w:lineRule="auto"/>
            </w:pPr>
            <w:r>
              <w:rPr>
                <w:sz w:val="17"/>
              </w:rPr>
              <w:t>0.155480</w:t>
            </w:r>
          </w:p>
        </w:tc>
        <w:tc>
          <w:tcPr>
            <w:tcW w:type="dxa" w:w="1872"/>
          </w:tcPr>
          <w:p>
            <w:pPr>
              <w:keepNext/>
              <w:spacing w:after="80" w:before="60" w:line="269" w:lineRule="auto"/>
            </w:pPr>
            <w:r>
              <w:rPr>
                <w:sz w:val="17"/>
              </w:rPr>
              <w:t>17.686300</w:t>
            </w:r>
          </w:p>
        </w:tc>
      </w:tr>
      <w:tr>
        <w:trPr>
          <w:cantSplit/>
        </w:trPr>
        <w:tc>
          <w:tcPr>
            <w:tcW w:type="dxa" w:w="2880"/>
          </w:tcPr>
          <w:p>
            <w:pPr>
              <w:spacing w:after="80" w:before="60" w:line="269" w:lineRule="auto"/>
            </w:pPr>
            <w:r>
              <w:rPr>
                <w:sz w:val="17"/>
              </w:rPr>
              <w:t>器件：固定8×4×2，PD180nm，PVT/MC</w:t>
            </w:r>
          </w:p>
        </w:tc>
        <w:tc>
          <w:tcPr>
            <w:tcW w:type="dxa" w:w="1584"/>
          </w:tcPr>
          <w:p>
            <w:pPr>
              <w:spacing w:after="80" w:before="60" w:line="269" w:lineRule="auto"/>
            </w:pPr>
            <w:r>
              <w:rPr>
                <w:sz w:val="17"/>
              </w:rPr>
              <w:t>13.936617</w:t>
            </w:r>
          </w:p>
        </w:tc>
        <w:tc>
          <w:tcPr>
            <w:tcW w:type="dxa" w:w="1584"/>
          </w:tcPr>
          <w:p>
            <w:pPr>
              <w:spacing w:after="80" w:before="60" w:line="269" w:lineRule="auto"/>
            </w:pPr>
            <w:r>
              <w:rPr>
                <w:sz w:val="17"/>
              </w:rPr>
              <w:t>0.894855</w:t>
            </w:r>
          </w:p>
        </w:tc>
        <w:tc>
          <w:tcPr>
            <w:tcW w:type="dxa" w:w="1584"/>
          </w:tcPr>
          <w:p>
            <w:pPr>
              <w:spacing w:after="80" w:before="60" w:line="269" w:lineRule="auto"/>
            </w:pPr>
            <w:r>
              <w:rPr>
                <w:sz w:val="17"/>
              </w:rPr>
              <w:t>0.169445</w:t>
            </w:r>
          </w:p>
        </w:tc>
        <w:tc>
          <w:tcPr>
            <w:tcW w:type="dxa" w:w="1872"/>
          </w:tcPr>
          <w:p>
            <w:pPr>
              <w:spacing w:after="80" w:before="60" w:line="269" w:lineRule="auto"/>
            </w:pPr>
            <w:r>
              <w:rPr>
                <w:sz w:val="17"/>
              </w:rPr>
              <w:t>17.727078</w:t>
            </w:r>
          </w:p>
        </w:tc>
      </w:tr>
    </w:tbl>
    <w:p>
      <w:pPr>
        <w:spacing w:after="20"/>
      </w:pPr>
    </w:p>
    <w:p>
      <w:r>
        <w:t>表中前两行采用FOM_arch，后两行采用FOM_robust，不跨阶段比较其数值大小。架构选择没有只按读功耗最小值判断；FOM同时考虑读写功率、延迟与面积。器件阶段相同PVT/MC条件下，PD180nm相对PD135nm的最小SNM提高约8.98%，读延迟降低约1.80%，读功耗增加约0.45%，体现了真实取舍。该结论仅对应本次两点及模型条件，不是普遍最优尺寸。</w:t>
      </w:r>
    </w:p>
    <w:p>
      <w:pPr>
        <w:keepNext/>
        <w:jc w:val="center"/>
      </w:pPr>
      <w:r>
        <w:drawing>
          <wp:inline xmlns:a="http://schemas.openxmlformats.org/drawingml/2006/main" xmlns:pic="http://schemas.openxmlformats.org/drawingml/2006/picture">
            <wp:extent cx="6035040" cy="2346960"/>
            <wp:docPr id="4" name="Picture 4"/>
            <wp:cNvGraphicFramePr>
              <a:graphicFrameLocks noChangeAspect="1"/>
            </wp:cNvGraphicFramePr>
            <a:graphic>
              <a:graphicData uri="http://schemas.openxmlformats.org/drawingml/2006/picture">
                <pic:pic>
                  <pic:nvPicPr>
                    <pic:cNvPr id="0" name="sram_tradeoff.png"/>
                    <pic:cNvPicPr/>
                  </pic:nvPicPr>
                  <pic:blipFill>
                    <a:blip r:embed="rId14"/>
                    <a:stretch>
                      <a:fillRect/>
                    </a:stretch>
                  </pic:blipFill>
                  <pic:spPr>
                    <a:xfrm>
                      <a:off x="0" y="0"/>
                      <a:ext cx="6035040" cy="2346960"/>
                    </a:xfrm>
                    <a:prstGeom prst="rect"/>
                  </pic:spPr>
                </pic:pic>
              </a:graphicData>
            </a:graphic>
          </wp:inline>
        </w:drawing>
      </w:r>
    </w:p>
    <w:p>
      <w:pPr>
        <w:pStyle w:val="Caption"/>
      </w:pPr>
      <w:r>
        <w:t>图4 固定入选SRAM组织后的器件取舍</w:t>
      </w:r>
    </w:p>
    <w:p>
      <w:r>
        <w:t>本项共执行6个阵列任务：2次标称架构评价，加上2个器件候选各2个PVT案例。最佳项bank面积估算为648.757583µm²，hold/read/write SNM分别为0.3303099V、0.1694452V和0.6825216V。该实验未要求SNM≥0.2V，不能声称已达到此阈值。4KB示例已提供配置与真实模型计划预览，本报告不将64bit冒烟当作4KB大规模优化结果。</w:t>
      </w:r>
    </w:p>
    <w:p>
      <w:pPr>
        <w:pStyle w:val="Heading2"/>
      </w:pPr>
      <w:r>
        <w:t>7.3 8/16位乘法器两级验证</w:t>
      </w:r>
    </w:p>
    <w:p>
      <w:r>
        <w:t>E02的8位架构阶段实际执行4次GNN评价，选择1项进行RTL/综合/STA复核，并执行2个单元器件候选；E03的16位流程用于验证另一原生模型及49位置结构的接通，架构、入选和器件预算均为1。[E02][E03]</w:t>
      </w:r>
    </w:p>
    <w:tbl>
      <w:tblPr>
        <w:tblStyle w:val="TableGrid"/>
        <w:tblW w:type="auto" w:w="0"/>
        <w:tblLayout w:type="fixed"/>
        <w:tblLook w:firstColumn="1" w:firstRow="1" w:lastColumn="0" w:lastRow="0" w:noHBand="0" w:noVBand="1" w:val="04A0"/>
      </w:tblPr>
      <w:tblGrid>
        <w:gridCol w:w="2160"/>
        <w:gridCol w:w="3672"/>
        <w:gridCol w:w="3672"/>
      </w:tblGrid>
      <w:tr>
        <w:trPr>
          <w:tblHeader/>
          <w:cantSplit/>
        </w:trPr>
        <w:tc>
          <w:tcPr>
            <w:tcW w:type="dxa" w:w="2160"/>
            <w:shd w:fill="15324F"/>
          </w:tcPr>
          <w:p>
            <w:pPr>
              <w:spacing w:after="80" w:before="60" w:line="269" w:lineRule="auto"/>
            </w:pPr>
            <w:r>
              <w:rPr>
                <w:b/>
                <w:color w:val="FFFFFF"/>
                <w:sz w:val="18"/>
              </w:rPr>
              <w:t>指标</w:t>
            </w:r>
          </w:p>
        </w:tc>
        <w:tc>
          <w:tcPr>
            <w:tcW w:type="dxa" w:w="3672"/>
            <w:shd w:fill="15324F"/>
          </w:tcPr>
          <w:p>
            <w:pPr>
              <w:spacing w:after="80" w:before="60" w:line="269" w:lineRule="auto"/>
            </w:pPr>
            <w:r>
              <w:rPr>
                <w:b/>
                <w:color w:val="FFFFFF"/>
                <w:sz w:val="18"/>
              </w:rPr>
              <w:t>8位参考候选，4096组</w:t>
            </w:r>
          </w:p>
        </w:tc>
        <w:tc>
          <w:tcPr>
            <w:tcW w:type="dxa" w:w="3672"/>
            <w:shd w:fill="15324F"/>
          </w:tcPr>
          <w:p>
            <w:pPr>
              <w:spacing w:after="80" w:before="60" w:line="269" w:lineRule="auto"/>
            </w:pPr>
            <w:r>
              <w:rPr>
                <w:b/>
                <w:color w:val="FFFFFF"/>
                <w:sz w:val="18"/>
              </w:rPr>
              <w:t>16位参考候选，256组</w:t>
            </w:r>
          </w:p>
        </w:tc>
      </w:tr>
      <w:tr>
        <w:trPr>
          <w:cantSplit/>
        </w:trPr>
        <w:tc>
          <w:tcPr>
            <w:tcW w:type="dxa" w:w="2160"/>
          </w:tcPr>
          <w:p>
            <w:pPr>
              <w:spacing w:after="80" w:before="60" w:line="269" w:lineRule="auto"/>
            </w:pPr>
            <w:r>
              <w:rPr>
                <w:sz w:val="18"/>
              </w:rPr>
              <w:t>MRED</w:t>
            </w:r>
          </w:p>
        </w:tc>
        <w:tc>
          <w:tcPr>
            <w:tcW w:type="dxa" w:w="3672"/>
          </w:tcPr>
          <w:p>
            <w:pPr>
              <w:spacing w:after="80" w:before="60" w:line="269" w:lineRule="auto"/>
            </w:pPr>
            <w:r>
              <w:rPr>
                <w:sz w:val="18"/>
              </w:rPr>
              <w:t>0.0136390362</w:t>
            </w:r>
          </w:p>
        </w:tc>
        <w:tc>
          <w:tcPr>
            <w:tcW w:type="dxa" w:w="3672"/>
          </w:tcPr>
          <w:p>
            <w:pPr>
              <w:spacing w:after="80" w:before="60" w:line="269" w:lineRule="auto"/>
            </w:pPr>
            <w:r>
              <w:rPr>
                <w:sz w:val="18"/>
              </w:rPr>
              <w:t>0.0005626603</w:t>
            </w:r>
          </w:p>
        </w:tc>
      </w:tr>
      <w:tr>
        <w:trPr>
          <w:cantSplit/>
        </w:trPr>
        <w:tc>
          <w:tcPr>
            <w:tcW w:type="dxa" w:w="2160"/>
          </w:tcPr>
          <w:p>
            <w:pPr>
              <w:spacing w:after="80" w:before="60" w:line="269" w:lineRule="auto"/>
            </w:pPr>
            <w:r>
              <w:rPr>
                <w:sz w:val="18"/>
              </w:rPr>
              <w:t>NMED</w:t>
            </w:r>
          </w:p>
        </w:tc>
        <w:tc>
          <w:tcPr>
            <w:tcW w:type="dxa" w:w="3672"/>
          </w:tcPr>
          <w:p>
            <w:pPr>
              <w:spacing w:after="80" w:before="60" w:line="269" w:lineRule="auto"/>
            </w:pPr>
            <w:r>
              <w:rPr>
                <w:sz w:val="18"/>
              </w:rPr>
              <w:t>0.0013711373</w:t>
            </w:r>
          </w:p>
        </w:tc>
        <w:tc>
          <w:tcPr>
            <w:tcW w:type="dxa" w:w="3672"/>
          </w:tcPr>
          <w:p>
            <w:pPr>
              <w:spacing w:after="80" w:before="60" w:line="269" w:lineRule="auto"/>
            </w:pPr>
            <w:r>
              <w:rPr>
                <w:sz w:val="18"/>
              </w:rPr>
              <w:t>0.0000191671</w:t>
            </w:r>
          </w:p>
        </w:tc>
      </w:tr>
      <w:tr>
        <w:trPr>
          <w:cantSplit/>
        </w:trPr>
        <w:tc>
          <w:tcPr>
            <w:tcW w:type="dxa" w:w="2160"/>
          </w:tcPr>
          <w:p>
            <w:pPr>
              <w:spacing w:after="80" w:before="60" w:line="269" w:lineRule="auto"/>
            </w:pPr>
            <w:r>
              <w:rPr>
                <w:sz w:val="18"/>
              </w:rPr>
              <w:t>与精确结果不同的输入数</w:t>
            </w:r>
          </w:p>
        </w:tc>
        <w:tc>
          <w:tcPr>
            <w:tcW w:type="dxa" w:w="3672"/>
          </w:tcPr>
          <w:p>
            <w:pPr>
              <w:spacing w:after="80" w:before="60" w:line="269" w:lineRule="auto"/>
            </w:pPr>
            <w:r>
              <w:rPr>
                <w:sz w:val="18"/>
              </w:rPr>
              <w:t>2674</w:t>
            </w:r>
          </w:p>
        </w:tc>
        <w:tc>
          <w:tcPr>
            <w:tcW w:type="dxa" w:w="3672"/>
          </w:tcPr>
          <w:p>
            <w:pPr>
              <w:spacing w:after="80" w:before="60" w:line="269" w:lineRule="auto"/>
            </w:pPr>
            <w:r>
              <w:rPr>
                <w:sz w:val="18"/>
              </w:rPr>
              <w:t>224</w:t>
            </w:r>
          </w:p>
        </w:tc>
      </w:tr>
      <w:tr>
        <w:trPr>
          <w:cantSplit/>
        </w:trPr>
        <w:tc>
          <w:tcPr>
            <w:tcW w:type="dxa" w:w="2160"/>
          </w:tcPr>
          <w:p>
            <w:pPr>
              <w:spacing w:after="80" w:before="60" w:line="269" w:lineRule="auto"/>
            </w:pPr>
            <w:r>
              <w:rPr>
                <w:sz w:val="18"/>
              </w:rPr>
              <w:t>Nangate45综合面积/µm²</w:t>
            </w:r>
          </w:p>
        </w:tc>
        <w:tc>
          <w:tcPr>
            <w:tcW w:type="dxa" w:w="3672"/>
          </w:tcPr>
          <w:p>
            <w:pPr>
              <w:spacing w:after="80" w:before="60" w:line="269" w:lineRule="auto"/>
            </w:pPr>
            <w:r>
              <w:rPr>
                <w:sz w:val="18"/>
              </w:rPr>
              <w:t>291.802</w:t>
            </w:r>
          </w:p>
        </w:tc>
        <w:tc>
          <w:tcPr>
            <w:tcW w:type="dxa" w:w="3672"/>
          </w:tcPr>
          <w:p>
            <w:pPr>
              <w:spacing w:after="80" w:before="60" w:line="269" w:lineRule="auto"/>
            </w:pPr>
            <w:r>
              <w:rPr>
                <w:sz w:val="18"/>
              </w:rPr>
              <w:t>1215.354</w:t>
            </w:r>
          </w:p>
        </w:tc>
      </w:tr>
      <w:tr>
        <w:trPr>
          <w:cantSplit/>
        </w:trPr>
        <w:tc>
          <w:tcPr>
            <w:tcW w:type="dxa" w:w="2160"/>
          </w:tcPr>
          <w:p>
            <w:pPr>
              <w:spacing w:after="80" w:before="60" w:line="269" w:lineRule="auto"/>
            </w:pPr>
            <w:r>
              <w:rPr>
                <w:sz w:val="18"/>
              </w:rPr>
              <w:t>STA延迟/ns</w:t>
            </w:r>
          </w:p>
        </w:tc>
        <w:tc>
          <w:tcPr>
            <w:tcW w:type="dxa" w:w="3672"/>
          </w:tcPr>
          <w:p>
            <w:pPr>
              <w:spacing w:after="80" w:before="60" w:line="269" w:lineRule="auto"/>
            </w:pPr>
            <w:r>
              <w:rPr>
                <w:sz w:val="18"/>
              </w:rPr>
              <w:t>0.74663091</w:t>
            </w:r>
          </w:p>
        </w:tc>
        <w:tc>
          <w:tcPr>
            <w:tcW w:type="dxa" w:w="3672"/>
          </w:tcPr>
          <w:p>
            <w:pPr>
              <w:spacing w:after="80" w:before="60" w:line="269" w:lineRule="auto"/>
            </w:pPr>
            <w:r>
              <w:rPr>
                <w:sz w:val="18"/>
              </w:rPr>
              <w:t>1.36742842</w:t>
            </w:r>
          </w:p>
        </w:tc>
      </w:tr>
      <w:tr>
        <w:trPr>
          <w:cantSplit/>
        </w:trPr>
        <w:tc>
          <w:tcPr>
            <w:tcW w:type="dxa" w:w="2160"/>
          </w:tcPr>
          <w:p>
            <w:pPr>
              <w:spacing w:after="80" w:before="60" w:line="269" w:lineRule="auto"/>
            </w:pPr>
            <w:r>
              <w:rPr>
                <w:sz w:val="18"/>
              </w:rPr>
              <w:t>指定活动下动态功耗/µW</w:t>
            </w:r>
          </w:p>
        </w:tc>
        <w:tc>
          <w:tcPr>
            <w:tcW w:type="dxa" w:w="3672"/>
          </w:tcPr>
          <w:p>
            <w:pPr>
              <w:spacing w:after="80" w:before="60" w:line="269" w:lineRule="auto"/>
            </w:pPr>
            <w:r>
              <w:rPr>
                <w:sz w:val="18"/>
              </w:rPr>
              <w:t>84.5899522</w:t>
            </w:r>
          </w:p>
        </w:tc>
        <w:tc>
          <w:tcPr>
            <w:tcW w:type="dxa" w:w="3672"/>
          </w:tcPr>
          <w:p>
            <w:pPr>
              <w:spacing w:after="80" w:before="60" w:line="269" w:lineRule="auto"/>
            </w:pPr>
            <w:r>
              <w:rPr>
                <w:sz w:val="18"/>
              </w:rPr>
              <w:t>313.9475160</w:t>
            </w:r>
          </w:p>
        </w:tc>
      </w:tr>
      <w:tr>
        <w:trPr>
          <w:cantSplit/>
        </w:trPr>
        <w:tc>
          <w:tcPr>
            <w:tcW w:type="dxa" w:w="2160"/>
          </w:tcPr>
          <w:p>
            <w:pPr>
              <w:spacing w:after="80" w:before="60" w:line="269" w:lineRule="auto"/>
            </w:pPr>
            <w:r>
              <w:rPr>
                <w:sz w:val="18"/>
              </w:rPr>
              <w:t>PDP/fJ</w:t>
            </w:r>
          </w:p>
        </w:tc>
        <w:tc>
          <w:tcPr>
            <w:tcW w:type="dxa" w:w="3672"/>
          </w:tcPr>
          <w:p>
            <w:pPr>
              <w:spacing w:after="80" w:before="60" w:line="269" w:lineRule="auto"/>
            </w:pPr>
            <w:r>
              <w:rPr>
                <w:sz w:val="18"/>
              </w:rPr>
              <w:t>63.1574730</w:t>
            </w:r>
          </w:p>
        </w:tc>
        <w:tc>
          <w:tcPr>
            <w:tcW w:type="dxa" w:w="3672"/>
          </w:tcPr>
          <w:p>
            <w:pPr>
              <w:spacing w:after="80" w:before="60" w:line="269" w:lineRule="auto"/>
            </w:pPr>
            <w:r>
              <w:rPr>
                <w:sz w:val="18"/>
              </w:rPr>
              <w:t>429.3007558</w:t>
            </w:r>
          </w:p>
        </w:tc>
      </w:tr>
      <w:tr>
        <w:trPr>
          <w:cantSplit/>
        </w:trPr>
        <w:tc>
          <w:tcPr>
            <w:tcW w:type="dxa" w:w="2160"/>
          </w:tcPr>
          <w:p>
            <w:pPr>
              <w:spacing w:after="80" w:before="60" w:line="269" w:lineRule="auto"/>
            </w:pPr>
            <w:r>
              <w:rPr>
                <w:sz w:val="18"/>
              </w:rPr>
              <w:t>有效活动标注引脚数</w:t>
            </w:r>
          </w:p>
        </w:tc>
        <w:tc>
          <w:tcPr>
            <w:tcW w:type="dxa" w:w="3672"/>
          </w:tcPr>
          <w:p>
            <w:pPr>
              <w:spacing w:after="80" w:before="60" w:line="269" w:lineRule="auto"/>
            </w:pPr>
            <w:r>
              <w:rPr>
                <w:sz w:val="18"/>
              </w:rPr>
              <w:t>909</w:t>
            </w:r>
          </w:p>
        </w:tc>
        <w:tc>
          <w:tcPr>
            <w:tcW w:type="dxa" w:w="3672"/>
          </w:tcPr>
          <w:p>
            <w:pPr>
              <w:spacing w:after="80" w:before="60" w:line="269" w:lineRule="auto"/>
            </w:pPr>
            <w:r>
              <w:rPr>
                <w:sz w:val="18"/>
              </w:rPr>
              <w:t>3731</w:t>
            </w:r>
          </w:p>
        </w:tc>
      </w:tr>
    </w:tbl>
    <w:p>
      <w:pPr>
        <w:spacing w:after="20"/>
      </w:pPr>
    </w:p>
    <w:p>
      <w:r>
        <w:t>两项样本数不同，不能直接据MRED或PDP比较架构优劣；表格展示的是两种位宽的可执行与可追溯性。近似候选存在较高的逐输入错误率，与较小平均相对误差可以同时出现，不能将MRED通过写成逐输入无错误。</w:t>
      </w:r>
    </w:p>
    <w:p>
      <w:r>
        <w:t>E05进一步在固定8位AKbar2配置上同时施加MRED≤0.02与PDP≤100fJ，实际分别为0.0136390362和63.1574730，均通过。该项保存best_experiment和器件最佳记录，并完成自动中文摘要。单元baseline为1.2V简化LEVEL_1条件下，延迟0.98284ns、功耗0.6731µW、PDP0.6615496fJ、面积估算5.4897µm²，16组目标真值全部通过；这些单元数字不能填入乘法器总体指标。[E05]</w:t>
      </w:r>
    </w:p>
    <w:p>
      <w:pPr>
        <w:pStyle w:val="Heading2"/>
      </w:pPr>
      <w:r>
        <w:t>7.4 真实DeepSeek与负例</w:t>
      </w:r>
    </w:p>
    <w:tbl>
      <w:tblPr>
        <w:tblStyle w:val="TableGrid"/>
        <w:tblW w:type="auto" w:w="0"/>
        <w:tblLayout w:type="fixed"/>
        <w:tblLook w:firstColumn="1" w:firstRow="1" w:lastColumn="0" w:lastRow="0" w:noHBand="0" w:noVBand="1" w:val="04A0"/>
      </w:tblPr>
      <w:tblGrid>
        <w:gridCol w:w="2160"/>
        <w:gridCol w:w="3672"/>
        <w:gridCol w:w="3672"/>
      </w:tblGrid>
      <w:tr>
        <w:trPr>
          <w:tblHeader/>
          <w:cantSplit/>
        </w:trPr>
        <w:tc>
          <w:tcPr>
            <w:tcW w:type="dxa" w:w="2160"/>
            <w:shd w:fill="15324F"/>
          </w:tcPr>
          <w:p>
            <w:pPr>
              <w:keepNext/>
              <w:spacing w:after="80" w:before="60" w:line="269" w:lineRule="auto"/>
            </w:pPr>
            <w:r>
              <w:rPr>
                <w:b/>
                <w:color w:val="FFFFFF"/>
                <w:sz w:val="18"/>
              </w:rPr>
              <w:t>验证项</w:t>
            </w:r>
          </w:p>
        </w:tc>
        <w:tc>
          <w:tcPr>
            <w:tcW w:type="dxa" w:w="3672"/>
            <w:shd w:fill="15324F"/>
          </w:tcPr>
          <w:p>
            <w:pPr>
              <w:keepNext/>
              <w:spacing w:after="80" w:before="60" w:line="269" w:lineRule="auto"/>
            </w:pPr>
            <w:r>
              <w:rPr>
                <w:b/>
                <w:color w:val="FFFFFF"/>
                <w:sz w:val="18"/>
              </w:rPr>
              <w:t>实际现象</w:t>
            </w:r>
          </w:p>
        </w:tc>
        <w:tc>
          <w:tcPr>
            <w:tcW w:type="dxa" w:w="3672"/>
            <w:shd w:fill="15324F"/>
          </w:tcPr>
          <w:p>
            <w:pPr>
              <w:keepNext/>
              <w:spacing w:after="80" w:before="60" w:line="269" w:lineRule="auto"/>
            </w:pPr>
            <w:r>
              <w:rPr>
                <w:b/>
                <w:color w:val="FFFFFF"/>
                <w:sz w:val="18"/>
              </w:rPr>
              <w:t>说明</w:t>
            </w:r>
          </w:p>
        </w:tc>
      </w:tr>
      <w:tr>
        <w:trPr>
          <w:cantSplit/>
        </w:trPr>
        <w:tc>
          <w:tcPr>
            <w:tcW w:type="dxa" w:w="2160"/>
          </w:tcPr>
          <w:p>
            <w:pPr>
              <w:keepNext/>
              <w:spacing w:after="80" w:before="60" w:line="269" w:lineRule="auto"/>
            </w:pPr>
            <w:r>
              <w:rPr>
                <w:sz w:val="18"/>
              </w:rPr>
              <w:t>真实架构选点 E04</w:t>
            </w:r>
          </w:p>
        </w:tc>
        <w:tc>
          <w:tcPr>
            <w:tcW w:type="dxa" w:w="3672"/>
          </w:tcPr>
          <w:p>
            <w:pPr>
              <w:keepNext/>
              <w:spacing w:after="80" w:before="60" w:line="269" w:lineRule="auto"/>
            </w:pPr>
            <w:r>
              <w:rPr>
                <w:sz w:val="18"/>
              </w:rPr>
              <w:t>2次架构评价含1次deepseek选择，保留request/reply/selection，未发生随机回退</w:t>
            </w:r>
          </w:p>
        </w:tc>
        <w:tc>
          <w:tcPr>
            <w:tcW w:type="dxa" w:w="3672"/>
          </w:tcPr>
          <w:p>
            <w:pPr>
              <w:keepNext/>
              <w:spacing w:after="80" w:before="60" w:line="269" w:lineRule="auto"/>
            </w:pPr>
            <w:r>
              <w:rPr>
                <w:sz w:val="18"/>
              </w:rPr>
              <w:t>验证模型接入搜索，不证明其优于随机或NSGA-II</w:t>
            </w:r>
          </w:p>
        </w:tc>
      </w:tr>
      <w:tr>
        <w:trPr>
          <w:cantSplit/>
        </w:trPr>
        <w:tc>
          <w:tcPr>
            <w:tcW w:type="dxa" w:w="2160"/>
          </w:tcPr>
          <w:p>
            <w:pPr>
              <w:keepNext/>
              <w:spacing w:after="80" w:before="60" w:line="269" w:lineRule="auto"/>
            </w:pPr>
            <w:r>
              <w:rPr>
                <w:sz w:val="18"/>
              </w:rPr>
              <w:t>严格PDP负例 E06</w:t>
            </w:r>
          </w:p>
        </w:tc>
        <w:tc>
          <w:tcPr>
            <w:tcW w:type="dxa" w:w="3672"/>
          </w:tcPr>
          <w:p>
            <w:pPr>
              <w:keepNext/>
              <w:spacing w:after="80" w:before="60" w:line="269" w:lineRule="auto"/>
            </w:pPr>
            <w:r>
              <w:rPr>
                <w:sz w:val="18"/>
              </w:rPr>
              <w:t>同类8位候选MRED通过，但PDP≤1fJ不通过，器件候选0、无最佳推荐</w:t>
            </w:r>
          </w:p>
        </w:tc>
        <w:tc>
          <w:tcPr>
            <w:tcW w:type="dxa" w:w="3672"/>
          </w:tcPr>
          <w:p>
            <w:pPr>
              <w:keepNext/>
              <w:spacing w:after="80" w:before="60" w:line="269" w:lineRule="auto"/>
            </w:pPr>
            <w:r>
              <w:rPr>
                <w:sz w:val="18"/>
              </w:rPr>
              <w:t>证明精度通过不能替代PPA验收</w:t>
            </w:r>
          </w:p>
        </w:tc>
      </w:tr>
      <w:tr>
        <w:trPr>
          <w:cantSplit/>
        </w:trPr>
        <w:tc>
          <w:tcPr>
            <w:tcW w:type="dxa" w:w="2160"/>
          </w:tcPr>
          <w:p>
            <w:pPr>
              <w:keepNext/>
              <w:spacing w:after="80" w:before="60" w:line="269" w:lineRule="auto"/>
            </w:pPr>
            <w:r>
              <w:rPr>
                <w:sz w:val="18"/>
              </w:rPr>
              <w:t>全sabetz负例 E07</w:t>
            </w:r>
          </w:p>
        </w:tc>
        <w:tc>
          <w:tcPr>
            <w:tcW w:type="dxa" w:w="3672"/>
          </w:tcPr>
          <w:p>
            <w:pPr>
              <w:keepNext/>
              <w:spacing w:after="80" w:before="60" w:line="269" w:lineRule="auto"/>
            </w:pPr>
            <w:r>
              <w:rPr>
                <w:sz w:val="18"/>
              </w:rPr>
              <w:t>固定类型、256组下MRED未满足0.02，未进入器件优化</w:t>
            </w:r>
          </w:p>
        </w:tc>
        <w:tc>
          <w:tcPr>
            <w:tcW w:type="dxa" w:w="3672"/>
          </w:tcPr>
          <w:p>
            <w:pPr>
              <w:keepNext/>
              <w:spacing w:after="80" w:before="60" w:line="269" w:lineRule="auto"/>
            </w:pPr>
            <w:r>
              <w:rPr>
                <w:sz w:val="18"/>
              </w:rPr>
              <w:t>尊重用户类型要求，不静默换成容易达标的压缩器</w:t>
            </w:r>
          </w:p>
        </w:tc>
      </w:tr>
      <w:tr>
        <w:trPr>
          <w:cantSplit/>
        </w:trPr>
        <w:tc>
          <w:tcPr>
            <w:tcW w:type="dxa" w:w="2160"/>
          </w:tcPr>
          <w:p>
            <w:pPr>
              <w:keepNext/>
              <w:spacing w:after="80" w:before="60" w:line="269" w:lineRule="auto"/>
            </w:pPr>
            <w:r>
              <w:rPr>
                <w:sz w:val="18"/>
              </w:rPr>
              <w:t>真实计划预览 E08</w:t>
            </w:r>
          </w:p>
        </w:tc>
        <w:tc>
          <w:tcPr>
            <w:tcW w:type="dxa" w:w="3672"/>
          </w:tcPr>
          <w:p>
            <w:pPr>
              <w:keepNext/>
              <w:spacing w:after="80" w:before="60" w:line="269" w:lineRule="auto"/>
            </w:pPr>
            <w:r>
              <w:rPr>
                <w:sz w:val="18"/>
              </w:rPr>
              <w:t>保留4KB容量、8bit输出、2候选及分阶段算法</w:t>
            </w:r>
          </w:p>
        </w:tc>
        <w:tc>
          <w:tcPr>
            <w:tcW w:type="dxa" w:w="3672"/>
          </w:tcPr>
          <w:p>
            <w:pPr>
              <w:keepNext/>
              <w:spacing w:after="80" w:before="60" w:line="269" w:lineRule="auto"/>
            </w:pPr>
            <w:r>
              <w:rPr>
                <w:sz w:val="18"/>
              </w:rPr>
              <w:t>验证完整规格落地；不代表已运行4KB搜索</w:t>
            </w:r>
          </w:p>
        </w:tc>
      </w:tr>
      <w:tr>
        <w:trPr>
          <w:cantSplit/>
        </w:trPr>
        <w:tc>
          <w:tcPr>
            <w:tcW w:type="dxa" w:w="2160"/>
          </w:tcPr>
          <w:p>
            <w:pPr>
              <w:spacing w:after="80" w:before="60" w:line="269" w:lineRule="auto"/>
            </w:pPr>
            <w:r>
              <w:rPr>
                <w:sz w:val="18"/>
              </w:rPr>
              <w:t>真实结果整理 E09</w:t>
            </w:r>
          </w:p>
        </w:tc>
        <w:tc>
          <w:tcPr>
            <w:tcW w:type="dxa" w:w="3672"/>
          </w:tcPr>
          <w:p>
            <w:pPr>
              <w:spacing w:after="80" w:before="60" w:line="269" w:lineRule="auto"/>
            </w:pPr>
            <w:r>
              <w:rPr>
                <w:sz w:val="18"/>
              </w:rPr>
              <w:t>metadata中的model_used=true，数字由可信事实渲染</w:t>
            </w:r>
          </w:p>
        </w:tc>
        <w:tc>
          <w:tcPr>
            <w:tcW w:type="dxa" w:w="3672"/>
          </w:tcPr>
          <w:p>
            <w:pPr>
              <w:spacing w:after="80" w:before="60" w:line="269" w:lineRule="auto"/>
            </w:pPr>
            <w:r>
              <w:rPr>
                <w:sz w:val="18"/>
              </w:rPr>
              <w:t>验证模型组织摘要，避免自由生成测量数值</w:t>
            </w:r>
          </w:p>
        </w:tc>
      </w:tr>
    </w:tbl>
    <w:p>
      <w:pPr>
        <w:spacing w:after="20"/>
      </w:pPr>
    </w:p>
    <w:p>
      <w:pPr>
        <w:pStyle w:val="Heading2"/>
      </w:pPr>
      <w:r>
        <w:t>7.5 历史内核与完整后端覆盖</w:t>
      </w:r>
    </w:p>
    <w:p>
      <w:r>
        <w:t>既有参考流程记录包含8位精确乘法器65,536对输入穷举、0错误，以及16×8 DCiM的12阶段后端。对应16×8参考宏、10ns配置的setup/hold slack为4.64506388ns/0.03318188ns，详细布线DRC为0，路由面积7800µm²，给定VCD活动下功耗251.239864µW。[E10]</w:t>
      </w:r>
    </w:p>
    <w:p>
      <w:r>
        <w:t>这些结果表明助手能够调用原内核及后端工具链。该PE使用原参考宏，不能解释为本报告SRAM器件最优点已完成内部版图、重新表征或物理回灌。历史多尺寸验证与浮点特殊值失败均保留在验证记录中；源代码模块名“Exact”不能代替独立功能证明。</w:t>
      </w:r>
    </w:p>
    <w:p>
      <w:pPr>
        <w:pStyle w:val="Heading2"/>
      </w:pPr>
      <w:r>
        <w:t>7.6 软件回归与源保护</w:t>
      </w:r>
    </w:p>
    <w:p>
      <w:r>
        <w:t>七项基础回归在独立Git源码快照、无本机runs/experience/datasets且原工程路径不可用的条件下通过，覆盖14项实际Landlock保护检查、计划恢复、总结事实约束、探索续跑、20,000组独立FP32参考对照、经验修订与检索、公开数据隔离和23类对话路由。check_acco另在具备原参考代码的工作目录验证容量、单位、预测隔离、预算、小种群NSGA-II及完整实验复验入口。[E11]</w:t>
      </w:r>
    </w:p>
    <w:p>
      <w:r>
        <w:t>核心两级任务的原始OpenACM完整性均为unchanged=true，核对2631个非Git文件。小种群初始重复、VCD切换周期不一致及模型自行添加延迟阈值等问题均曾被验证发现并修正；初版失败记录保留，不混入最终有效结果。</w:t>
      </w:r>
    </w:p>
    <w:p>
      <w:pPr>
        <w:pStyle w:val="Heading1"/>
      </w:pPr>
      <w:r>
        <w:t>8 核心亮点与应用价值</w:t>
      </w:r>
    </w:p>
    <w:p>
      <w:pPr>
        <w:pStyle w:val="Heading2"/>
      </w:pPr>
      <w:r>
        <w:t>8.1 面向研究任务的自然语言入口</w:t>
      </w:r>
    </w:p>
    <w:p>
      <w:r>
        <w:t>用户可以在同一对话中咨询能力、补充规格、修改设计、解释结果和启动复验。系统将交流连接到真实工具操作，降低重复手动改配置、找入口和读日志的成本。操作成本的实际减少仍需后续用户任务计时实验量化，不在此虚构效率提升比例。</w:t>
      </w:r>
    </w:p>
    <w:p>
      <w:pPr>
        <w:pStyle w:val="Heading2"/>
      </w:pPr>
      <w:r>
        <w:t>8.2 LLM、代理模型与优化器分工协作</w:t>
      </w:r>
    </w:p>
    <w:p>
      <w:r>
        <w:t>语言模型负责理解、计划与有限候选决策，GNN负责快速性能预测，NSGA-II或随机策略提供可选搜索基线，SPICE/RTL/EDA负责最终证据。该设计允许替换模型或搜索策略，同时保留统一实验规格和评价接口。</w:t>
      </w:r>
    </w:p>
    <w:p>
      <w:pPr>
        <w:pStyle w:val="Heading2"/>
      </w:pPr>
      <w:r>
        <w:t>8.3 遵循架构到器件的设计层级</w:t>
      </w:r>
    </w:p>
    <w:p>
      <w:r>
        <w:t>容量约束下的bank组织与固定组织后的尺寸调整分开处理；乘法器组合搜索与单元宽度细调也分别建模。系统保留父子关系和同条件baseline，避免将固定小阵列的局部最优泛化为整个DCiM系统优化。</w:t>
      </w:r>
    </w:p>
    <w:p>
      <w:pPr>
        <w:pStyle w:val="Heading2"/>
      </w:pPr>
      <w:r>
        <w:t>8.4 可追溯的结果与经验复用</w:t>
      </w:r>
    </w:p>
    <w:p>
      <w:r>
        <w:t>每项结论能够关联到任务、输入、源码指纹、工具输出和验收记录。观测以标准接口持续累积，便于跨模型检索、失败分析和后续构建“配置/图结构＋实测指标”的代理训练数据。</w:t>
      </w:r>
    </w:p>
    <w:p>
      <w:pPr>
        <w:pStyle w:val="Heading2"/>
      </w:pPr>
      <w:r>
        <w:t>8.5 使用价值与适用对象</w:t>
      </w:r>
    </w:p>
    <w:p>
      <w:r>
        <w:t>系统适用于近似算术与SRAM研究、数字存内计算实验教学、EDA工作流演示以及可审计的多策略设计空间探索。普通用户权限和本地模型部署有利于在共享服务器或实验室环境使用。工程数据留在本地的工作方式不等于所有第三方工具与模型均可免费商用；部署仍取决于各依赖及数据的实际许可。</w:t>
      </w:r>
    </w:p>
    <w:p>
      <w:pPr>
        <w:pStyle w:val="Heading1"/>
      </w:pPr>
      <w:r>
        <w:t>9 部署、演示与复验</w:t>
      </w:r>
    </w:p>
    <w:p>
      <w:pPr>
        <w:pStyle w:val="Heading2"/>
      </w:pPr>
      <w:r>
        <w:t>9.1 部署要求</w:t>
      </w:r>
    </w:p>
    <w:p>
      <w:r>
        <w:t>需要Python 3.10+、Linux x86_64及Landlock ABI≥3，另行准备只读OpenACM源目录和相应EDA工具。SRAM bank模型默认读取相邻OpenYield路径，可通过环境变量指定；GNN附加依赖由requirements.acco.lock.txt管理。用户级Ollama提供本地模型接口，模型名与地址可切换。无需sudo，不替换用户现有Conda环境。</w:t>
      </w:r>
    </w:p>
    <w:p>
      <w:pPr>
        <w:pStyle w:val="Heading2"/>
      </w:pPr>
      <w:r>
        <w:t>9.2 建议演示链路</w:t>
      </w:r>
    </w:p>
    <w:p>
      <w:r>
        <w:t>先展示“你能做什么”与能力说明，再预览一项明确的两级实验；运行小预算配置后，直接展示关键指标与验收；最后追问最佳配置，并展示同条件复测和本地经验记录。严苛阈值负例可以证明系统不会因为模型文字积极就宣布成功。</w:t>
      </w:r>
    </w:p>
    <w:p>
      <w:pPr>
        <w:spacing w:line="264" w:lineRule="auto" w:after="20"/>
        <w:shd w:fill="F1F4F7"/>
      </w:pPr>
      <w:r>
        <w:rPr>
          <w:rFonts w:ascii="DejaVu Sans Mono" w:hAnsi="DejaVu Sans Mono"/>
          <w:sz w:val="16"/>
        </w:rPr>
        <w:t>./openacm-assistant.sh chat</w:t>
      </w:r>
    </w:p>
    <w:p>
      <w:pPr>
        <w:spacing w:line="264" w:lineRule="auto" w:after="20"/>
        <w:shd w:fill="F1F4F7"/>
      </w:pPr>
      <w:r>
        <w:rPr>
          <w:rFonts w:ascii="DejaVu Sans Mono" w:hAnsi="DejaVu Sans Mono"/>
          <w:sz w:val="16"/>
        </w:rPr>
        <w:t>./openacm-assistant.sh acco --spec examples/acco-sram-smoke.json --plan-only</w:t>
      </w:r>
    </w:p>
    <w:p>
      <w:pPr>
        <w:spacing w:line="264" w:lineRule="auto" w:after="20"/>
        <w:shd w:fill="F1F4F7"/>
      </w:pPr>
      <w:r>
        <w:rPr>
          <w:rFonts w:ascii="DejaVu Sans Mono" w:hAnsi="DejaVu Sans Mono"/>
          <w:sz w:val="16"/>
        </w:rPr>
        <w:t>./openacm-assistant.sh acco --spec examples/acco-sram-smoke.json --without-model</w:t>
      </w:r>
    </w:p>
    <w:p>
      <w:pPr>
        <w:spacing w:line="264" w:lineRule="auto" w:after="20"/>
        <w:shd w:fill="F1F4F7"/>
      </w:pPr>
      <w:r>
        <w:rPr>
          <w:rFonts w:ascii="DejaVu Sans Mono" w:hAnsi="DejaVu Sans Mono"/>
          <w:sz w:val="16"/>
        </w:rPr>
        <w:t>./openacm-assistant.sh acco --spec examples/acco-multiplier-smoke.json --without-model</w:t>
      </w:r>
    </w:p>
    <w:p>
      <w:pPr>
        <w:spacing w:line="264" w:lineRule="auto" w:after="20"/>
        <w:shd w:fill="F1F4F7"/>
      </w:pPr>
      <w:r>
        <w:rPr>
          <w:rFonts w:ascii="DejaVu Sans Mono" w:hAnsi="DejaVu Sans Mono"/>
          <w:sz w:val="16"/>
        </w:rPr>
        <w:t>./openacm-assistant.sh summarize runs/&lt;已完成任务目录&gt; --no-model</w:t>
      </w:r>
    </w:p>
    <w:p>
      <w:pPr>
        <w:spacing w:line="264" w:lineRule="auto" w:after="20"/>
        <w:shd w:fill="F1F4F7"/>
      </w:pPr>
      <w:r>
        <w:rPr>
          <w:rFonts w:ascii="DejaVu Sans Mono" w:hAnsi="DejaVu Sans Mono"/>
          <w:sz w:val="16"/>
        </w:rPr>
        <w:t>./openacm-assistant.sh memory stats</w:t>
      </w:r>
    </w:p>
    <w:p>
      <w:r>
        <w:t>without-model将LLM求解器改为随机，原nsga2配置仍运行NSGA-II；不能把该演示写成DeepSeek选点。使用真实模型时保留决策审计，再核对是否发生回退。</w:t>
      </w:r>
    </w:p>
    <w:p>
      <w:pPr>
        <w:pStyle w:val="Heading2"/>
      </w:pPr>
      <w:r>
        <w:t>9.3 复验方法</w:t>
      </w:r>
    </w:p>
    <w:p>
      <w:r>
        <w:t>SRAM使用保存的best_experiment.json复验，以保留总容量、输出字宽、组织、器件及PVT；不能降为单阵列run后宣称相同bank实验。乘法器best_experiment锁定已验证压缩器位置分配；单元宽度另按widths.json复验。完整两级任务当前没有开放中途resume，旧单级任务仍使用原续跑入口。</w:t>
      </w:r>
    </w:p>
    <w:p>
      <w:r>
        <w:t>代码仓库为https://github.com/adsays520/OpenACMAssistant，本文对应提交8566e1a。原OpenACM/OpenYield、模型权重、EDA库和完整任务数据不随助手代码发布，需要在复验环境单独准备。仅凭本报告中的表格不能替代完整工作环境。</w:t>
      </w:r>
    </w:p>
    <w:p>
      <w:pPr>
        <w:pStyle w:val="Heading1"/>
        <w:pageBreakBefore/>
      </w:pPr>
      <w:r>
        <w:t>10 当前边界与后续研究</w:t>
      </w:r>
    </w:p>
    <w:tbl>
      <w:tblPr>
        <w:tblStyle w:val="TableGrid"/>
        <w:tblW w:type="auto" w:w="0"/>
        <w:tblLayout w:type="fixed"/>
        <w:tblLook w:firstColumn="1" w:firstRow="1" w:lastColumn="0" w:lastRow="0" w:noHBand="0" w:noVBand="1" w:val="04A0"/>
      </w:tblPr>
      <w:tblGrid>
        <w:gridCol w:w="2160"/>
        <w:gridCol w:w="3672"/>
        <w:gridCol w:w="3672"/>
      </w:tblGrid>
      <w:tr>
        <w:trPr>
          <w:tblHeader/>
          <w:cantSplit/>
        </w:trPr>
        <w:tc>
          <w:tcPr>
            <w:tcW w:type="dxa" w:w="2160"/>
            <w:shd w:fill="15324F"/>
          </w:tcPr>
          <w:p>
            <w:pPr>
              <w:keepNext/>
              <w:spacing w:after="80" w:before="60" w:line="269" w:lineRule="auto"/>
            </w:pPr>
            <w:r>
              <w:rPr>
                <w:b/>
                <w:color w:val="FFFFFF"/>
                <w:sz w:val="18"/>
              </w:rPr>
              <w:t>当前边界</w:t>
            </w:r>
          </w:p>
        </w:tc>
        <w:tc>
          <w:tcPr>
            <w:tcW w:type="dxa" w:w="3672"/>
            <w:shd w:fill="15324F"/>
          </w:tcPr>
          <w:p>
            <w:pPr>
              <w:keepNext/>
              <w:spacing w:after="80" w:before="60" w:line="269" w:lineRule="auto"/>
            </w:pPr>
            <w:r>
              <w:rPr>
                <w:b/>
                <w:color w:val="FFFFFF"/>
                <w:sz w:val="18"/>
              </w:rPr>
              <w:t>影响</w:t>
            </w:r>
          </w:p>
        </w:tc>
        <w:tc>
          <w:tcPr>
            <w:tcW w:type="dxa" w:w="3672"/>
            <w:shd w:fill="15324F"/>
          </w:tcPr>
          <w:p>
            <w:pPr>
              <w:keepNext/>
              <w:spacing w:after="80" w:before="60" w:line="269" w:lineRule="auto"/>
            </w:pPr>
            <w:r>
              <w:rPr>
                <w:b/>
                <w:color w:val="FFFFFF"/>
                <w:sz w:val="18"/>
              </w:rPr>
              <w:t>后续工作</w:t>
            </w:r>
          </w:p>
        </w:tc>
      </w:tr>
      <w:tr>
        <w:trPr>
          <w:cantSplit/>
        </w:trPr>
        <w:tc>
          <w:tcPr>
            <w:tcW w:type="dxa" w:w="2160"/>
          </w:tcPr>
          <w:p>
            <w:pPr>
              <w:keepNext/>
              <w:spacing w:after="80" w:before="60" w:line="269" w:lineRule="auto"/>
            </w:pPr>
            <w:r>
              <w:rPr>
                <w:sz w:val="18"/>
              </w:rPr>
              <w:t>仅原生8/16位接通已有GNN</w:t>
            </w:r>
          </w:p>
        </w:tc>
        <w:tc>
          <w:tcPr>
            <w:tcW w:type="dxa" w:w="3672"/>
          </w:tcPr>
          <w:p>
            <w:pPr>
              <w:keepNext/>
              <w:spacing w:after="80" w:before="60" w:line="269" w:lineRule="auto"/>
            </w:pPr>
            <w:r>
              <w:rPr>
                <w:sz w:val="18"/>
              </w:rPr>
              <w:t>不能用于任意尺寸或新库预测</w:t>
            </w:r>
          </w:p>
        </w:tc>
        <w:tc>
          <w:tcPr>
            <w:tcW w:type="dxa" w:w="3672"/>
          </w:tcPr>
          <w:p>
            <w:pPr>
              <w:keepNext/>
              <w:spacing w:after="80" w:before="60" w:line="269" w:lineRule="auto"/>
            </w:pPr>
            <w:r>
              <w:rPr>
                <w:sz w:val="18"/>
              </w:rPr>
              <w:t>构建条件完整的多尺寸数据，重新训练并独立测试</w:t>
            </w:r>
          </w:p>
        </w:tc>
      </w:tr>
      <w:tr>
        <w:trPr>
          <w:cantSplit/>
        </w:trPr>
        <w:tc>
          <w:tcPr>
            <w:tcW w:type="dxa" w:w="2160"/>
          </w:tcPr>
          <w:p>
            <w:pPr>
              <w:keepNext/>
              <w:spacing w:after="80" w:before="60" w:line="269" w:lineRule="auto"/>
            </w:pPr>
            <w:r>
              <w:rPr>
                <w:sz w:val="18"/>
              </w:rPr>
              <w:t>SRAM采用阵列SPICE＋bank解析模型</w:t>
            </w:r>
          </w:p>
        </w:tc>
        <w:tc>
          <w:tcPr>
            <w:tcW w:type="dxa" w:w="3672"/>
          </w:tcPr>
          <w:p>
            <w:pPr>
              <w:keepNext/>
              <w:spacing w:after="80" w:before="60" w:line="269" w:lineRule="auto"/>
            </w:pPr>
            <w:r>
              <w:rPr>
                <w:sz w:val="18"/>
              </w:rPr>
              <w:t>不是完整bank晶体管仿真或内部版图结果</w:t>
            </w:r>
          </w:p>
        </w:tc>
        <w:tc>
          <w:tcPr>
            <w:tcW w:type="dxa" w:w="3672"/>
          </w:tcPr>
          <w:p>
            <w:pPr>
              <w:keepNext/>
              <w:spacing w:after="80" w:before="60" w:line="269" w:lineRule="auto"/>
            </w:pPr>
            <w:r>
              <w:rPr>
                <w:sz w:val="18"/>
              </w:rPr>
              <w:t>校准外围模型，补内部布局与更强物理验证</w:t>
            </w:r>
          </w:p>
        </w:tc>
      </w:tr>
      <w:tr>
        <w:trPr>
          <w:cantSplit/>
        </w:trPr>
        <w:tc>
          <w:tcPr>
            <w:tcW w:type="dxa" w:w="2160"/>
          </w:tcPr>
          <w:p>
            <w:pPr>
              <w:keepNext/>
              <w:spacing w:after="80" w:before="60" w:line="269" w:lineRule="auto"/>
            </w:pPr>
            <w:r>
              <w:rPr>
                <w:sz w:val="18"/>
              </w:rPr>
              <w:t>压缩器模板为LEVEL_1且未回灌Liberty</w:t>
            </w:r>
          </w:p>
        </w:tc>
        <w:tc>
          <w:tcPr>
            <w:tcW w:type="dxa" w:w="3672"/>
          </w:tcPr>
          <w:p>
            <w:pPr>
              <w:keepNext/>
              <w:spacing w:after="80" w:before="60" w:line="269" w:lineRule="auto"/>
            </w:pPr>
            <w:r>
              <w:rPr>
                <w:sz w:val="18"/>
              </w:rPr>
              <w:t>单元收益不能直接成为整PE收益</w:t>
            </w:r>
          </w:p>
        </w:tc>
        <w:tc>
          <w:tcPr>
            <w:tcW w:type="dxa" w:w="3672"/>
          </w:tcPr>
          <w:p>
            <w:pPr>
              <w:keepNext/>
              <w:spacing w:after="80" w:before="60" w:line="269" w:lineRule="auto"/>
            </w:pPr>
            <w:r>
              <w:rPr>
                <w:sz w:val="18"/>
              </w:rPr>
              <w:t>标准工艺表征、重新综合及后端回灌</w:t>
            </w:r>
          </w:p>
        </w:tc>
      </w:tr>
      <w:tr>
        <w:trPr>
          <w:cantSplit/>
        </w:trPr>
        <w:tc>
          <w:tcPr>
            <w:tcW w:type="dxa" w:w="2160"/>
          </w:tcPr>
          <w:p>
            <w:pPr>
              <w:keepNext/>
              <w:spacing w:after="80" w:before="60" w:line="269" w:lineRule="auto"/>
            </w:pPr>
            <w:r>
              <w:rPr>
                <w:sz w:val="18"/>
              </w:rPr>
              <w:t>PVT/MC仅覆盖明确案例和有限样本</w:t>
            </w:r>
          </w:p>
        </w:tc>
        <w:tc>
          <w:tcPr>
            <w:tcW w:type="dxa" w:w="3672"/>
          </w:tcPr>
          <w:p>
            <w:pPr>
              <w:keepNext/>
              <w:spacing w:after="80" w:before="60" w:line="269" w:lineRule="auto"/>
            </w:pPr>
            <w:r>
              <w:rPr>
                <w:sz w:val="18"/>
              </w:rPr>
              <w:t>不能推断稀有失效与宏级良率</w:t>
            </w:r>
          </w:p>
        </w:tc>
        <w:tc>
          <w:tcPr>
            <w:tcW w:type="dxa" w:w="3672"/>
          </w:tcPr>
          <w:p>
            <w:pPr>
              <w:keepNext/>
              <w:spacing w:after="80" w:before="60" w:line="269" w:lineRule="auto"/>
            </w:pPr>
            <w:r>
              <w:rPr>
                <w:sz w:val="18"/>
              </w:rPr>
              <w:t>扩大条件和样本，验证统计假设及失效模型</w:t>
            </w:r>
          </w:p>
        </w:tc>
      </w:tr>
      <w:tr>
        <w:trPr>
          <w:cantSplit/>
        </w:trPr>
        <w:tc>
          <w:tcPr>
            <w:tcW w:type="dxa" w:w="2160"/>
          </w:tcPr>
          <w:p>
            <w:pPr>
              <w:keepNext/>
              <w:spacing w:after="80" w:before="60" w:line="269" w:lineRule="auto"/>
            </w:pPr>
            <w:r>
              <w:rPr>
                <w:sz w:val="18"/>
              </w:rPr>
              <w:t>PSNR/NN Top-1/Top-5未自动接通</w:t>
            </w:r>
          </w:p>
        </w:tc>
        <w:tc>
          <w:tcPr>
            <w:tcW w:type="dxa" w:w="3672"/>
          </w:tcPr>
          <w:p>
            <w:pPr>
              <w:keepNext/>
              <w:spacing w:after="80" w:before="60" w:line="269" w:lineRule="auto"/>
            </w:pPr>
            <w:r>
              <w:rPr>
                <w:sz w:val="18"/>
              </w:rPr>
              <w:t>当前算术误差不能替代应用质量</w:t>
            </w:r>
          </w:p>
        </w:tc>
        <w:tc>
          <w:tcPr>
            <w:tcW w:type="dxa" w:w="3672"/>
          </w:tcPr>
          <w:p>
            <w:pPr>
              <w:keepNext/>
              <w:spacing w:after="80" w:before="60" w:line="269" w:lineRule="auto"/>
            </w:pPr>
            <w:r>
              <w:rPr>
                <w:sz w:val="18"/>
              </w:rPr>
              <w:t>增加固定应用集和独立精度评价</w:t>
            </w:r>
          </w:p>
        </w:tc>
      </w:tr>
      <w:tr>
        <w:trPr>
          <w:cantSplit/>
        </w:trPr>
        <w:tc>
          <w:tcPr>
            <w:tcW w:type="dxa" w:w="2160"/>
          </w:tcPr>
          <w:p>
            <w:pPr>
              <w:spacing w:after="80" w:before="60" w:line="269" w:lineRule="auto"/>
            </w:pPr>
            <w:r>
              <w:rPr>
                <w:sz w:val="18"/>
              </w:rPr>
              <w:t>LLM选点仅有功能证据</w:t>
            </w:r>
          </w:p>
        </w:tc>
        <w:tc>
          <w:tcPr>
            <w:tcW w:type="dxa" w:w="3672"/>
          </w:tcPr>
          <w:p>
            <w:pPr>
              <w:spacing w:after="80" w:before="60" w:line="269" w:lineRule="auto"/>
            </w:pPr>
            <w:r>
              <w:rPr>
                <w:sz w:val="18"/>
              </w:rPr>
              <w:t>尚无算法优势或加速比结论</w:t>
            </w:r>
          </w:p>
        </w:tc>
        <w:tc>
          <w:tcPr>
            <w:tcW w:type="dxa" w:w="3672"/>
          </w:tcPr>
          <w:p>
            <w:pPr>
              <w:spacing w:after="80" w:before="60" w:line="269" w:lineRule="auto"/>
            </w:pPr>
            <w:r>
              <w:rPr>
                <w:sz w:val="18"/>
              </w:rPr>
              <w:t>相同预算、多种子、公平策略对照与消融</w:t>
            </w:r>
          </w:p>
        </w:tc>
      </w:tr>
    </w:tbl>
    <w:p>
      <w:pPr>
        <w:spacing w:after="20"/>
      </w:pPr>
    </w:p>
    <w:p>
      <w:r>
        <w:t>后续策略实验应固定电路域、baseline、代理模型、输入分布、验收约束及时间/调用预算，分别统计可行率、Pareto覆盖、最优值随预算曲线、真实EDA次数和墙钟时间。代理更新或经验检索变化也要作为显式实验因素，避免把额外数据或更多计算量误判为LLM决策能力提升。</w:t>
      </w:r>
    </w:p>
    <w:p>
      <w:pPr>
        <w:pStyle w:val="Heading1"/>
      </w:pPr>
      <w:r>
        <w:t>11 总结</w:t>
      </w:r>
    </w:p>
    <w:p>
      <w:r>
        <w:t>OpenACMAssistant将本地语言模型与OpenACM电路内核连接，形成从需求理解、结构化计划、两级探索到真实工具验收、中文总结与经验积累的工程闭环。已有验证支持“系统能够按明确条件执行并追溯结果”这一结论。作品的主要价值在于研究流程整合、可靠执行和交互式迭代；进一步的算法优越性、应用精度与物理收益仍需通过对应实验建立。</w:t>
      </w:r>
    </w:p>
    <w:p>
      <w:pPr>
        <w:pStyle w:val="Heading1"/>
        <w:pageBreakBefore/>
      </w:pPr>
      <w:r>
        <w:t>12 参考资料与证据索引</w:t>
      </w:r>
    </w:p>
    <w:p>
      <w:pPr>
        <w:pStyle w:val="Heading2"/>
      </w:pPr>
      <w:r>
        <w:t>12.1 参考资料</w:t>
      </w:r>
    </w:p>
    <w:p>
      <w:r>
        <w:t>[1] Yiqi Zhou等：OpenACM: An Open-Source SRAM-Based Approximate CiM Compiler。用户提供DATE.pdf，主要参考编译架构、SRAM/PE和评价流程。本文未核验其正式出版年份与版本状态。</w:t>
      </w:r>
    </w:p>
    <w:p>
      <w:r>
        <w:t>[2] Yiqi Zhou等：OpenACMv2: An Accuracy-Constrained Co-Optimization Framework for Approximate DCiM。用户提供DAC.pdf，主要参考ACCO、PEA-GNN及SRAM两级优化。本文不将论文报告提升作为本作品实测。</w:t>
      </w:r>
    </w:p>
    <w:p>
      <w:r>
        <w:t>[3] OpenACMAssistant，提交8566e1ac9eff28dc668404e10480ef2ac664a70b。代码仓库：https://github.com/adsays520/OpenACMAssistant。</w:t>
      </w:r>
    </w:p>
    <w:p>
      <w:r>
        <w:t>[4] 本机OpenACM/OpenYield源文件及助手app/worker.py、app/acco_models.py、app/acco_spec.py、app/acco.py。各实际复用文件的SHA记录于任务reference_manifest.json；工程边界见docs/OpenACM能力与需求指南.md和skills/openacm-design/references/acco.md。</w:t>
      </w:r>
    </w:p>
    <w:p>
      <w:r>
        <w:t>[5] 公开数据固定快照：xuzhuo0417/openacm-gnn-8bit-dataset，revision=72a0ad0ea83d5b724999c6c1a66d8e57fda7c1d1。接入、许可与条件核对见docs/公开数据接入.md；本地经验机制见docs/持久经验库.md。</w:t>
      </w:r>
    </w:p>
    <w:p>
      <w:pPr>
        <w:pStyle w:val="Heading2"/>
        <w:pageBreakBefore/>
      </w:pPr>
      <w:r>
        <w:t>12.2 实验与审计索引</w:t>
      </w:r>
    </w:p>
    <w:p>
      <w:r>
        <w:t>以下路径相对于OpenACMAssistant根目录。完整本机任务不随报告或Git仓库分发；本报告附evidence_snapshot.json保存用于表图的配置、指标、状态和文件哈希。</w:t>
      </w:r>
    </w:p>
    <w:tbl>
      <w:tblPr>
        <w:tblStyle w:val="TableGrid"/>
        <w:tblW w:type="auto" w:w="0"/>
        <w:tblLayout w:type="fixed"/>
        <w:tblLook w:firstColumn="1" w:firstRow="1" w:lastColumn="0" w:lastRow="0" w:noHBand="0" w:noVBand="1" w:val="04A0"/>
      </w:tblPr>
      <w:tblGrid>
        <w:gridCol w:w="648"/>
        <w:gridCol w:w="5256"/>
        <w:gridCol w:w="3600"/>
      </w:tblGrid>
      <w:tr>
        <w:trPr>
          <w:tblHeader/>
          <w:cantSplit/>
        </w:trPr>
        <w:tc>
          <w:tcPr>
            <w:tcW w:type="dxa" w:w="648"/>
            <w:shd w:fill="15324F"/>
          </w:tcPr>
          <w:p>
            <w:pPr>
              <w:spacing w:after="80" w:before="60" w:line="269" w:lineRule="auto"/>
            </w:pPr>
            <w:r>
              <w:rPr>
                <w:b/>
                <w:color w:val="FFFFFF"/>
                <w:sz w:val="18"/>
              </w:rPr>
              <w:t>编号</w:t>
            </w:r>
          </w:p>
        </w:tc>
        <w:tc>
          <w:tcPr>
            <w:tcW w:type="dxa" w:w="5256"/>
            <w:shd w:fill="15324F"/>
          </w:tcPr>
          <w:p>
            <w:pPr>
              <w:spacing w:after="80" w:before="60" w:line="269" w:lineRule="auto"/>
            </w:pPr>
            <w:r>
              <w:rPr>
                <w:b/>
                <w:color w:val="FFFFFF"/>
                <w:sz w:val="18"/>
              </w:rPr>
              <w:t>本机证据位置</w:t>
            </w:r>
          </w:p>
        </w:tc>
        <w:tc>
          <w:tcPr>
            <w:tcW w:type="dxa" w:w="3600"/>
            <w:shd w:fill="15324F"/>
          </w:tcPr>
          <w:p>
            <w:pPr>
              <w:spacing w:after="80" w:before="60" w:line="269" w:lineRule="auto"/>
            </w:pPr>
            <w:r>
              <w:rPr>
                <w:b/>
                <w:color w:val="FFFFFF"/>
                <w:sz w:val="18"/>
              </w:rPr>
              <w:t>主要用途</w:t>
            </w:r>
          </w:p>
        </w:tc>
      </w:tr>
      <w:tr>
        <w:trPr>
          <w:cantSplit/>
        </w:trPr>
        <w:tc>
          <w:tcPr>
            <w:tcW w:type="dxa" w:w="648"/>
          </w:tcPr>
          <w:p>
            <w:pPr>
              <w:spacing w:after="80" w:before="60" w:line="269" w:lineRule="auto"/>
            </w:pPr>
            <w:r>
              <w:rPr>
                <w:sz w:val="18"/>
              </w:rPr>
              <w:t>E01</w:t>
            </w:r>
          </w:p>
        </w:tc>
        <w:tc>
          <w:tcPr>
            <w:tcW w:type="dxa" w:w="5256"/>
          </w:tcPr>
          <w:p>
            <w:pPr>
              <w:spacing w:after="80" w:before="60" w:line="269" w:lineRule="auto"/>
            </w:pPr>
            <w:r>
              <w:rPr>
                <w:sz w:val="18"/>
              </w:rPr>
              <w:t>runs/20261025_134117_acco_sram_fb675e</w:t>
            </w:r>
          </w:p>
        </w:tc>
        <w:tc>
          <w:tcPr>
            <w:tcW w:type="dxa" w:w="3600"/>
          </w:tcPr>
          <w:p>
            <w:pPr>
              <w:spacing w:after="80" w:before="60" w:line="269" w:lineRule="auto"/>
            </w:pPr>
            <w:r>
              <w:rPr>
                <w:sz w:val="18"/>
              </w:rPr>
              <w:t>固定容量、PVT/MC与器件取舍</w:t>
            </w:r>
          </w:p>
        </w:tc>
      </w:tr>
      <w:tr>
        <w:trPr>
          <w:cantSplit/>
        </w:trPr>
        <w:tc>
          <w:tcPr>
            <w:tcW w:type="dxa" w:w="648"/>
          </w:tcPr>
          <w:p>
            <w:pPr>
              <w:spacing w:after="80" w:before="60" w:line="269" w:lineRule="auto"/>
            </w:pPr>
            <w:r>
              <w:rPr>
                <w:sz w:val="18"/>
              </w:rPr>
              <w:t>E02</w:t>
            </w:r>
          </w:p>
        </w:tc>
        <w:tc>
          <w:tcPr>
            <w:tcW w:type="dxa" w:w="5256"/>
          </w:tcPr>
          <w:p>
            <w:pPr>
              <w:spacing w:after="80" w:before="60" w:line="269" w:lineRule="auto"/>
            </w:pPr>
            <w:r>
              <w:rPr>
                <w:sz w:val="18"/>
              </w:rPr>
              <w:t>runs/20261025_132043_acco_multiplier_052c4b</w:t>
            </w:r>
          </w:p>
        </w:tc>
        <w:tc>
          <w:tcPr>
            <w:tcW w:type="dxa" w:w="3600"/>
          </w:tcPr>
          <w:p>
            <w:pPr>
              <w:spacing w:after="80" w:before="60" w:line="269" w:lineRule="auto"/>
            </w:pPr>
            <w:r>
              <w:rPr>
                <w:sz w:val="18"/>
              </w:rPr>
              <w:t>8位GNN、原NSGA-II与实测</w:t>
            </w:r>
          </w:p>
        </w:tc>
      </w:tr>
      <w:tr>
        <w:trPr>
          <w:cantSplit/>
        </w:trPr>
        <w:tc>
          <w:tcPr>
            <w:tcW w:type="dxa" w:w="648"/>
          </w:tcPr>
          <w:p>
            <w:pPr>
              <w:spacing w:after="80" w:before="60" w:line="269" w:lineRule="auto"/>
            </w:pPr>
            <w:r>
              <w:rPr>
                <w:sz w:val="18"/>
              </w:rPr>
              <w:t>E03</w:t>
            </w:r>
          </w:p>
        </w:tc>
        <w:tc>
          <w:tcPr>
            <w:tcW w:type="dxa" w:w="5256"/>
          </w:tcPr>
          <w:p>
            <w:pPr>
              <w:spacing w:after="80" w:before="60" w:line="269" w:lineRule="auto"/>
            </w:pPr>
            <w:r>
              <w:rPr>
                <w:sz w:val="18"/>
              </w:rPr>
              <w:t>runs/20261025_132307_acco_multiplier_4504d7</w:t>
            </w:r>
          </w:p>
        </w:tc>
        <w:tc>
          <w:tcPr>
            <w:tcW w:type="dxa" w:w="3600"/>
          </w:tcPr>
          <w:p>
            <w:pPr>
              <w:spacing w:after="80" w:before="60" w:line="269" w:lineRule="auto"/>
            </w:pPr>
            <w:r>
              <w:rPr>
                <w:sz w:val="18"/>
              </w:rPr>
              <w:t>16位原生模型与实测</w:t>
            </w:r>
          </w:p>
        </w:tc>
      </w:tr>
      <w:tr>
        <w:trPr>
          <w:cantSplit/>
        </w:trPr>
        <w:tc>
          <w:tcPr>
            <w:tcW w:type="dxa" w:w="648"/>
          </w:tcPr>
          <w:p>
            <w:pPr>
              <w:spacing w:after="80" w:before="60" w:line="269" w:lineRule="auto"/>
            </w:pPr>
            <w:r>
              <w:rPr>
                <w:sz w:val="18"/>
              </w:rPr>
              <w:t>E04</w:t>
            </w:r>
          </w:p>
        </w:tc>
        <w:tc>
          <w:tcPr>
            <w:tcW w:type="dxa" w:w="5256"/>
          </w:tcPr>
          <w:p>
            <w:pPr>
              <w:spacing w:after="80" w:before="60" w:line="269" w:lineRule="auto"/>
            </w:pPr>
            <w:r>
              <w:rPr>
                <w:sz w:val="18"/>
              </w:rPr>
              <w:t>runs/20261025_132333_acco_multiplier_5f789e</w:t>
            </w:r>
          </w:p>
        </w:tc>
        <w:tc>
          <w:tcPr>
            <w:tcW w:type="dxa" w:w="3600"/>
          </w:tcPr>
          <w:p>
            <w:pPr>
              <w:spacing w:after="80" w:before="60" w:line="269" w:lineRule="auto"/>
            </w:pPr>
            <w:r>
              <w:rPr>
                <w:sz w:val="18"/>
              </w:rPr>
              <w:t>真实DeepSeek架构决策</w:t>
            </w:r>
          </w:p>
        </w:tc>
      </w:tr>
      <w:tr>
        <w:trPr>
          <w:cantSplit/>
        </w:trPr>
        <w:tc>
          <w:tcPr>
            <w:tcW w:type="dxa" w:w="648"/>
          </w:tcPr>
          <w:p>
            <w:pPr>
              <w:spacing w:after="80" w:before="60" w:line="269" w:lineRule="auto"/>
            </w:pPr>
            <w:r>
              <w:rPr>
                <w:sz w:val="18"/>
              </w:rPr>
              <w:t>E05</w:t>
            </w:r>
          </w:p>
        </w:tc>
        <w:tc>
          <w:tcPr>
            <w:tcW w:type="dxa" w:w="5256"/>
          </w:tcPr>
          <w:p>
            <w:pPr>
              <w:spacing w:after="80" w:before="60" w:line="269" w:lineRule="auto"/>
            </w:pPr>
            <w:r>
              <w:rPr>
                <w:sz w:val="18"/>
              </w:rPr>
              <w:t>runs/20261025_134246_acco_multiplier_b21791</w:t>
            </w:r>
          </w:p>
        </w:tc>
        <w:tc>
          <w:tcPr>
            <w:tcW w:type="dxa" w:w="3600"/>
          </w:tcPr>
          <w:p>
            <w:pPr>
              <w:spacing w:after="80" w:before="60" w:line="269" w:lineRule="auto"/>
            </w:pPr>
            <w:r>
              <w:rPr>
                <w:sz w:val="18"/>
              </w:rPr>
              <w:t>双约束、器件尺寸及自动摘要</w:t>
            </w:r>
          </w:p>
        </w:tc>
      </w:tr>
      <w:tr>
        <w:trPr>
          <w:cantSplit/>
        </w:trPr>
        <w:tc>
          <w:tcPr>
            <w:tcW w:type="dxa" w:w="648"/>
          </w:tcPr>
          <w:p>
            <w:pPr>
              <w:spacing w:after="80" w:before="60" w:line="269" w:lineRule="auto"/>
            </w:pPr>
            <w:r>
              <w:rPr>
                <w:sz w:val="18"/>
              </w:rPr>
              <w:t>E06</w:t>
            </w:r>
          </w:p>
        </w:tc>
        <w:tc>
          <w:tcPr>
            <w:tcW w:type="dxa" w:w="5256"/>
          </w:tcPr>
          <w:p>
            <w:pPr>
              <w:spacing w:after="80" w:before="60" w:line="269" w:lineRule="auto"/>
            </w:pPr>
            <w:r>
              <w:rPr>
                <w:sz w:val="18"/>
              </w:rPr>
              <w:t>runs/20261025_133552_acco_multiplier_84cbab</w:t>
            </w:r>
          </w:p>
        </w:tc>
        <w:tc>
          <w:tcPr>
            <w:tcW w:type="dxa" w:w="3600"/>
          </w:tcPr>
          <w:p>
            <w:pPr>
              <w:spacing w:after="80" w:before="60" w:line="269" w:lineRule="auto"/>
            </w:pPr>
            <w:r>
              <w:rPr>
                <w:sz w:val="18"/>
              </w:rPr>
              <w:t>精度通过但PDP未通过的负例</w:t>
            </w:r>
          </w:p>
        </w:tc>
      </w:tr>
      <w:tr>
        <w:trPr>
          <w:cantSplit/>
        </w:trPr>
        <w:tc>
          <w:tcPr>
            <w:tcW w:type="dxa" w:w="648"/>
          </w:tcPr>
          <w:p>
            <w:pPr>
              <w:spacing w:after="80" w:before="60" w:line="269" w:lineRule="auto"/>
            </w:pPr>
            <w:r>
              <w:rPr>
                <w:sz w:val="18"/>
              </w:rPr>
              <w:t>E07</w:t>
            </w:r>
          </w:p>
        </w:tc>
        <w:tc>
          <w:tcPr>
            <w:tcW w:type="dxa" w:w="5256"/>
          </w:tcPr>
          <w:p>
            <w:pPr>
              <w:spacing w:after="80" w:before="60" w:line="269" w:lineRule="auto"/>
            </w:pPr>
            <w:r>
              <w:rPr>
                <w:sz w:val="18"/>
              </w:rPr>
              <w:t>runs/20261025_132614_acco_multiplier_ae5f8b</w:t>
            </w:r>
          </w:p>
        </w:tc>
        <w:tc>
          <w:tcPr>
            <w:tcW w:type="dxa" w:w="3600"/>
          </w:tcPr>
          <w:p>
            <w:pPr>
              <w:spacing w:after="80" w:before="60" w:line="269" w:lineRule="auto"/>
            </w:pPr>
            <w:r>
              <w:rPr>
                <w:sz w:val="18"/>
              </w:rPr>
              <w:t>固定全sabetz未达标负例</w:t>
            </w:r>
          </w:p>
        </w:tc>
      </w:tr>
      <w:tr>
        <w:trPr>
          <w:cantSplit/>
        </w:trPr>
        <w:tc>
          <w:tcPr>
            <w:tcW w:type="dxa" w:w="648"/>
          </w:tcPr>
          <w:p>
            <w:pPr>
              <w:spacing w:after="80" w:before="60" w:line="269" w:lineRule="auto"/>
            </w:pPr>
            <w:r>
              <w:rPr>
                <w:sz w:val="18"/>
              </w:rPr>
              <w:t>E08</w:t>
            </w:r>
          </w:p>
        </w:tc>
        <w:tc>
          <w:tcPr>
            <w:tcW w:type="dxa" w:w="5256"/>
          </w:tcPr>
          <w:p>
            <w:pPr>
              <w:spacing w:after="80" w:before="60" w:line="269" w:lineRule="auto"/>
            </w:pPr>
            <w:r>
              <w:rPr>
                <w:sz w:val="18"/>
              </w:rPr>
              <w:t>runs/20261025_133919_planning_6cad2c</w:t>
            </w:r>
          </w:p>
        </w:tc>
        <w:tc>
          <w:tcPr>
            <w:tcW w:type="dxa" w:w="3600"/>
          </w:tcPr>
          <w:p>
            <w:pPr>
              <w:spacing w:after="80" w:before="60" w:line="269" w:lineRule="auto"/>
            </w:pPr>
            <w:r>
              <w:rPr>
                <w:sz w:val="18"/>
              </w:rPr>
              <w:t>真实4KB完整规格计划预览</w:t>
            </w:r>
          </w:p>
        </w:tc>
      </w:tr>
      <w:tr>
        <w:trPr>
          <w:cantSplit/>
        </w:trPr>
        <w:tc>
          <w:tcPr>
            <w:tcW w:type="dxa" w:w="648"/>
          </w:tcPr>
          <w:p>
            <w:pPr>
              <w:spacing w:after="80" w:before="60" w:line="269" w:lineRule="auto"/>
            </w:pPr>
            <w:r>
              <w:rPr>
                <w:sz w:val="18"/>
              </w:rPr>
              <w:t>E09</w:t>
            </w:r>
          </w:p>
        </w:tc>
        <w:tc>
          <w:tcPr>
            <w:tcW w:type="dxa" w:w="5256"/>
          </w:tcPr>
          <w:p>
            <w:pPr>
              <w:spacing w:after="80" w:before="60" w:line="269" w:lineRule="auto"/>
            </w:pPr>
            <w:r>
              <w:rPr>
                <w:sz w:val="18"/>
              </w:rPr>
              <w:t>runs/20261025_134015_acco_multiplier_eff2af/reports/summaries</w:t>
            </w:r>
          </w:p>
        </w:tc>
        <w:tc>
          <w:tcPr>
            <w:tcW w:type="dxa" w:w="3600"/>
          </w:tcPr>
          <w:p>
            <w:pPr>
              <w:spacing w:after="80" w:before="60" w:line="269" w:lineRule="auto"/>
            </w:pPr>
            <w:r>
              <w:rPr>
                <w:sz w:val="18"/>
              </w:rPr>
              <w:t>model_used=true的真实结果整理</w:t>
            </w:r>
          </w:p>
        </w:tc>
      </w:tr>
      <w:tr>
        <w:trPr>
          <w:cantSplit/>
        </w:trPr>
        <w:tc>
          <w:tcPr>
            <w:tcW w:type="dxa" w:w="648"/>
          </w:tcPr>
          <w:p>
            <w:pPr>
              <w:spacing w:after="80" w:before="60" w:line="269" w:lineRule="auto"/>
            </w:pPr>
            <w:r>
              <w:rPr>
                <w:sz w:val="18"/>
              </w:rPr>
              <w:t>E10</w:t>
            </w:r>
          </w:p>
        </w:tc>
        <w:tc>
          <w:tcPr>
            <w:tcW w:type="dxa" w:w="5256"/>
          </w:tcPr>
          <w:p>
            <w:pPr>
              <w:spacing w:after="80" w:before="60" w:line="269" w:lineRule="auto"/>
            </w:pPr>
            <w:r>
              <w:rPr>
                <w:sz w:val="18"/>
              </w:rPr>
              <w:t>runs/20261010_144501_full_flow_89aabc</w:t>
            </w:r>
          </w:p>
        </w:tc>
        <w:tc>
          <w:tcPr>
            <w:tcW w:type="dxa" w:w="3600"/>
          </w:tcPr>
          <w:p>
            <w:pPr>
              <w:spacing w:after="80" w:before="60" w:line="269" w:lineRule="auto"/>
            </w:pPr>
            <w:r>
              <w:rPr>
                <w:sz w:val="18"/>
              </w:rPr>
              <w:t>历史精确穷举与16×8参考PE后端</w:t>
            </w:r>
          </w:p>
        </w:tc>
      </w:tr>
      <w:tr>
        <w:trPr>
          <w:cantSplit/>
        </w:trPr>
        <w:tc>
          <w:tcPr>
            <w:tcW w:type="dxa" w:w="648"/>
          </w:tcPr>
          <w:p>
            <w:pPr>
              <w:spacing w:after="80" w:before="60" w:line="269" w:lineRule="auto"/>
            </w:pPr>
            <w:r>
              <w:rPr>
                <w:sz w:val="18"/>
              </w:rPr>
              <w:t>E11</w:t>
            </w:r>
          </w:p>
        </w:tc>
        <w:tc>
          <w:tcPr>
            <w:tcW w:type="dxa" w:w="5256"/>
          </w:tcPr>
          <w:p>
            <w:pPr>
              <w:spacing w:after="80" w:before="60" w:line="269" w:lineRule="auto"/>
            </w:pPr>
            <w:r>
              <w:rPr>
                <w:sz w:val="18"/>
              </w:rPr>
              <w:t>verification/release_regression.json、verification/acco_validation.json</w:t>
            </w:r>
          </w:p>
        </w:tc>
        <w:tc>
          <w:tcPr>
            <w:tcW w:type="dxa" w:w="3600"/>
          </w:tcPr>
          <w:p>
            <w:pPr>
              <w:spacing w:after="80" w:before="60" w:line="269" w:lineRule="auto"/>
            </w:pPr>
            <w:r>
              <w:rPr>
                <w:sz w:val="18"/>
              </w:rPr>
              <w:t>独立发布回归与两级完整性汇总</w:t>
            </w:r>
          </w:p>
        </w:tc>
      </w:tr>
    </w:tbl>
    <w:p>
      <w:pPr>
        <w:spacing w:after="20"/>
      </w:pPr>
    </w:p>
    <w:p>
      <w:r>
        <w:t>技术报告日期采用北京时间。表中小数按显示精度舍入，完整数值以附带证据快照及原任务为准；本文没有新增或覆盖原始仿真结果。</w:t>
      </w:r>
    </w:p>
    <w:sectPr w:rsidR="00FC693F" w:rsidRPr="0006063C" w:rsidSect="00034616">
      <w:headerReference w:type="default" r:id="rId9"/>
      <w:footerReference w:type="default" r:id="rId10"/>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技术报告 V1.0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OpenACMAssistant  |  本地智能设计与两级探索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DejaVu Sans" w:hAnsi="DejaVu Sans" w:eastAsia="Noto Serif CJK SC"/>
      <w:b w:val="0"/>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eastAsia="Noto Sans CJK SC"/>
      <w:b w:val="0"/>
      <w:color w:val="65778A"/>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eastAsia="Noto Sans CJK SC"/>
      <w:b w:val="0"/>
      <w:color w:val="65778A"/>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eastAsia="Noto Sans CJK SC"/>
      <w:b/>
      <w:bCs/>
      <w:color w:val="15324F"/>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DejaVu Sans" w:hAnsi="DejaVu Sans" w:eastAsia="Noto Sans CJK SC"/>
      <w:b/>
      <w:bCs/>
      <w:color w:val="15324F"/>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DejaVu Sans" w:hAnsi="DejaVu Sans" w:eastAsia="Noto Sans CJK SC"/>
      <w:b/>
      <w:bCs/>
      <w:color w:val="15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DejaVu Sans" w:hAnsi="DejaVu Sans" w:eastAsia="Noto Sans CJK SC"/>
      <w:b w:val="0"/>
      <w:bCs/>
      <w:color w:val="65778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OpenACMAssistant 技术报告</dc:title>
  <dc:subject>近似存内计算电路的本地智能设计与ACCO两级探索</dc:subject>
  <dc:creator>OpenACMAssistant 项目</dc:creator>
  <cp:keywords>OpenACM, DeepSeek, ACCO, GNN, SRAM, 设计空间探索</cp:keywords>
  <dc:description>generated by python-docx</dc:description>
  <cp:lastModifiedBy/>
  <cp:revision>1</cp:revision>
  <dcterms:created xsi:type="dcterms:W3CDTF">2013-12-23T23:15:00Z</dcterms:created>
  <dcterms:modified xsi:type="dcterms:W3CDTF">2013-12-23T23:15:00Z</dcterms:modified>
  <cp:category/>
</cp:coreProperties>
</file>