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1C24CD">
      <w:pPr>
        <w:bidi w:val="0"/>
        <w:spacing w:line="240" w:lineRule="exact" w:before="0" w:after="0"/>
        <w:jc w:val="center"/>
        <w:rPr>
          <w:rFonts w:hint="eastAsia" w:ascii="黑体" w:hAnsi="黑体" w:eastAsia="黑体" w:cs="黑体"/>
          <w:sz w:val="44"/>
          <w:szCs w:val="44"/>
        </w:rPr>
        <w:snapToGrid w:val="0"/>
      </w:pPr>
    </w:p>
    <w:p w14:paraId="57D4C5F1">
      <w:pPr>
        <w:bidi w:val="0"/>
        <w:spacing w:line="240" w:lineRule="exact" w:before="0" w:after="0"/>
        <w:jc w:val="center"/>
        <w:rPr>
          <w:rFonts w:hint="eastAsia" w:ascii="黑体" w:hAnsi="黑体" w:eastAsia="黑体" w:cs="黑体"/>
          <w:sz w:val="44"/>
          <w:szCs w:val="44"/>
        </w:rPr>
        <w:snapToGrid w:val="0"/>
      </w:pPr>
    </w:p>
    <w:p w14:paraId="01B6171A">
      <w:pPr>
        <w:bidi w:val="0"/>
        <w:spacing w:line="240" w:lineRule="exact" w:before="0" w:after="0"/>
        <w:jc w:val="center"/>
        <w:rPr>
          <w:rFonts w:hint="eastAsia" w:ascii="黑体" w:hAnsi="黑体" w:eastAsia="黑体" w:cs="黑体"/>
          <w:sz w:val="44"/>
          <w:szCs w:val="44"/>
        </w:rPr>
        <w:snapToGrid w:val="0"/>
      </w:pPr>
    </w:p>
    <w:p w14:paraId="500BCE55">
      <w:pPr>
        <w:keepNext w:val="0"/>
        <w:keepLines w:val="0"/>
        <w:pageBreakBefore w:val="0"/>
        <w:widowControl w:val="0"/>
        <w:kinsoku/>
        <w:wordWrap/>
        <w:overflowPunct/>
        <w:topLinePunct w:val="0"/>
        <w:autoSpaceDE/>
        <w:autoSpaceDN/>
        <w:bidi w:val="0"/>
        <w:adjustRightInd/>
        <w:spacing w:line="616" w:lineRule="exact"/>
        <w:ind w:firstLine="0" w:firstLineChars="0"/>
        <w:jc w:val="center"/>
        <w:textAlignment w:val="auto"/>
        <w:rPr>
          <w:rFonts w:hint="eastAsia" w:ascii="黑体" w:hAnsi="黑体" w:eastAsia="黑体" w:cs="黑体"/>
          <w:sz w:val="44"/>
          <w:szCs w:val="44"/>
        </w:rPr>
        <w:snapToGrid w:val="0"/>
      </w:pPr>
      <w:r>
        <w:rPr>
          <w:rFonts w:hint="eastAsia" w:ascii="黑体" w:hAnsi="黑体" w:eastAsia="黑体" w:cs="黑体"/>
          <w:sz w:val="44"/>
          <w:szCs w:val="44"/>
        </w:rPr>
        <w:t>202</w:t>
      </w:r>
      <w:r>
        <w:rPr>
          <w:rFonts w:hint="eastAsia" w:ascii="黑体" w:hAnsi="黑体" w:eastAsia="黑体" w:cs="黑体"/>
          <w:sz w:val="44"/>
          <w:szCs w:val="44"/>
          <w:lang w:val="en-US" w:eastAsia="zh-CN"/>
        </w:rPr>
        <w:t>6</w:t>
      </w:r>
      <w:r>
        <w:rPr>
          <w:rFonts w:hint="eastAsia" w:ascii="黑体" w:hAnsi="黑体" w:eastAsia="黑体" w:cs="黑体"/>
          <w:sz w:val="44"/>
          <w:szCs w:val="44"/>
        </w:rPr>
        <w:t>年第</w:t>
      </w:r>
      <w:r>
        <w:rPr>
          <w:rFonts w:hint="eastAsia" w:ascii="黑体" w:hAnsi="黑体" w:eastAsia="黑体" w:cs="黑体"/>
          <w:sz w:val="44"/>
          <w:szCs w:val="44"/>
          <w:lang w:val="en-US" w:eastAsia="zh-CN"/>
        </w:rPr>
        <w:t>八</w:t>
      </w:r>
      <w:r>
        <w:rPr>
          <w:rFonts w:hint="eastAsia" w:ascii="黑体" w:hAnsi="黑体" w:eastAsia="黑体" w:cs="黑体"/>
          <w:sz w:val="44"/>
          <w:szCs w:val="44"/>
        </w:rPr>
        <w:t>届</w:t>
      </w:r>
    </w:p>
    <w:p w14:paraId="03F25C83">
      <w:pPr>
        <w:keepNext w:val="0"/>
        <w:keepLines w:val="0"/>
        <w:pageBreakBefore w:val="0"/>
        <w:widowControl w:val="0"/>
        <w:kinsoku/>
        <w:wordWrap/>
        <w:overflowPunct/>
        <w:topLinePunct w:val="0"/>
        <w:autoSpaceDE/>
        <w:autoSpaceDN/>
        <w:bidi w:val="0"/>
        <w:adjustRightInd/>
        <w:spacing w:line="616" w:lineRule="exact"/>
        <w:ind w:firstLine="0" w:firstLineChars="0"/>
        <w:jc w:val="center"/>
        <w:textAlignment w:val="auto"/>
        <w:rPr>
          <w:rFonts w:hint="eastAsia" w:ascii="黑体" w:hAnsi="黑体" w:eastAsia="黑体" w:cs="黑体"/>
          <w:sz w:val="44"/>
          <w:szCs w:val="44"/>
        </w:rPr>
        <w:snapToGrid w:val="0"/>
      </w:pPr>
      <w:r>
        <w:rPr>
          <w:rFonts w:hint="eastAsia" w:ascii="黑体" w:hAnsi="黑体" w:eastAsia="黑体" w:cs="黑体"/>
          <w:sz w:val="44"/>
          <w:szCs w:val="44"/>
        </w:rPr>
        <w:t>全球校园人工智能算法精英大赛</w:t>
      </w:r>
    </w:p>
    <w:p w14:paraId="546126F9">
      <w:pPr>
        <w:keepNext w:val="0"/>
        <w:keepLines w:val="0"/>
        <w:pageBreakBefore w:val="0"/>
        <w:widowControl w:val="0"/>
        <w:kinsoku/>
        <w:wordWrap/>
        <w:overflowPunct/>
        <w:topLinePunct w:val="0"/>
        <w:autoSpaceDE/>
        <w:autoSpaceDN/>
        <w:bidi w:val="0"/>
        <w:adjustRightInd/>
        <w:spacing w:line="240" w:lineRule="exact" w:before="0" w:after="0"/>
        <w:ind w:left="0" w:leftChars="0" w:firstLine="0" w:firstLineChars="0"/>
        <w:textAlignment w:val="auto"/>
        <w:rPr>
          <w:rFonts w:hint="eastAsia" w:ascii="黑体" w:hAnsi="黑体" w:eastAsia="黑体" w:cs="黑体"/>
          <w:sz w:val="44"/>
          <w:szCs w:val="44"/>
        </w:rPr>
        <w:snapToGrid w:val="0"/>
      </w:pPr>
    </w:p>
    <w:p w14:paraId="5A4EEFDB">
      <w:pPr>
        <w:keepNext w:val="0"/>
        <w:keepLines w:val="0"/>
        <w:pageBreakBefore w:val="0"/>
        <w:widowControl w:val="0"/>
        <w:kinsoku/>
        <w:wordWrap/>
        <w:overflowPunct/>
        <w:topLinePunct w:val="0"/>
        <w:autoSpaceDE/>
        <w:autoSpaceDN/>
        <w:bidi w:val="0"/>
        <w:adjustRightInd/>
        <w:spacing w:line="560" w:lineRule="exact"/>
        <w:ind w:firstLine="0" w:firstLineChars="0"/>
        <w:jc w:val="center"/>
        <w:textAlignment w:val="auto"/>
        <w:rPr>
          <w:rFonts w:hint="eastAsia" w:ascii="黑体" w:hAnsi="黑体" w:eastAsia="黑体" w:cs="黑体"/>
          <w:sz w:val="40"/>
          <w:szCs w:val="40"/>
        </w:rPr>
        <w:snapToGrid w:val="0"/>
      </w:pPr>
      <w:r>
        <w:rPr>
          <w:rFonts w:hint="eastAsia" w:ascii="黑体" w:hAnsi="黑体" w:eastAsia="黑体" w:cs="黑体"/>
          <w:sz w:val="40"/>
          <w:szCs w:val="40"/>
        </w:rPr>
        <w:t>算法</w:t>
      </w:r>
      <w:r>
        <w:rPr>
          <w:rFonts w:hint="eastAsia" w:ascii="黑体" w:hAnsi="黑体" w:eastAsia="黑体" w:cs="黑体"/>
          <w:sz w:val="40"/>
          <w:szCs w:val="40"/>
          <w:lang w:val="en-US" w:eastAsia="zh-CN"/>
        </w:rPr>
        <w:t>主题</w:t>
      </w:r>
      <w:r>
        <w:rPr>
          <w:rFonts w:hint="eastAsia" w:ascii="黑体" w:hAnsi="黑体" w:eastAsia="黑体" w:cs="黑体"/>
          <w:sz w:val="40"/>
          <w:szCs w:val="40"/>
        </w:rPr>
        <w:t>赛</w:t>
      </w:r>
    </w:p>
    <w:p w14:paraId="51005281">
      <w:pPr>
        <w:keepNext w:val="0"/>
        <w:keepLines w:val="0"/>
        <w:pageBreakBefore w:val="0"/>
        <w:widowControl w:val="0"/>
        <w:kinsoku/>
        <w:wordWrap/>
        <w:overflowPunct/>
        <w:topLinePunct w:val="0"/>
        <w:autoSpaceDE/>
        <w:autoSpaceDN/>
        <w:bidi w:val="0"/>
        <w:adjustRightInd/>
        <w:spacing w:line="504" w:lineRule="exact"/>
        <w:ind w:firstLine="0" w:firstLineChars="0"/>
        <w:jc w:val="center"/>
        <w:textAlignment w:val="auto"/>
        <w:rPr>
          <w:rFonts w:hint="eastAsia" w:ascii="黑体" w:hAnsi="黑体" w:eastAsia="黑体" w:cs="黑体"/>
          <w:sz w:val="36"/>
          <w:szCs w:val="36"/>
          <w:lang w:val="en-US" w:eastAsia="zh-CN"/>
        </w:rPr>
        <w:snapToGrid w:val="0"/>
      </w:pPr>
      <w:r>
        <w:rPr>
          <w:rFonts w:hint="eastAsia" w:ascii="黑体" w:hAnsi="黑体" w:eastAsia="黑体" w:cs="黑体"/>
          <w:sz w:val="36"/>
          <w:szCs w:val="36"/>
          <w:lang w:val="en-US" w:eastAsia="zh-CN"/>
        </w:rPr>
        <w:t>（赛题名称）</w:t>
      </w:r>
    </w:p>
    <w:p w14:paraId="0E3F1FF0">
      <w:pPr>
        <w:keepNext w:val="0"/>
        <w:keepLines w:val="0"/>
        <w:pageBreakBefore w:val="0"/>
        <w:widowControl w:val="0"/>
        <w:kinsoku/>
        <w:wordWrap/>
        <w:overflowPunct/>
        <w:topLinePunct w:val="0"/>
        <w:autoSpaceDE/>
        <w:autoSpaceDN/>
        <w:bidi w:val="0"/>
        <w:adjustRightInd/>
        <w:spacing w:line="560" w:lineRule="exact"/>
        <w:ind w:firstLine="0" w:firstLineChars="0"/>
        <w:jc w:val="center"/>
        <w:textAlignment w:val="auto"/>
        <w:rPr>
          <w:rFonts w:hint="eastAsia" w:ascii="黑体" w:hAnsi="黑体" w:eastAsia="黑体" w:cs="黑体"/>
          <w:sz w:val="44"/>
          <w:szCs w:val="44"/>
        </w:rPr>
        <w:snapToGrid w:val="0"/>
      </w:pPr>
      <w:r>
        <w:rPr>
          <w:rFonts w:hint="eastAsia" w:ascii="黑体" w:hAnsi="黑体" w:eastAsia="黑体" w:cs="黑体"/>
          <w:sz w:val="40"/>
          <w:szCs w:val="40"/>
        </w:rPr>
        <w:t>技术报告</w:t>
      </w:r>
    </w:p>
    <w:p w14:paraId="7865ADD2">
      <w:pPr>
        <w:bidi w:val="0"/>
        <w:spacing w:line="240" w:lineRule="exact" w:before="0" w:after="0"/>
        <w:rPr>
          <w:rFonts w:hint="eastAsia" w:ascii="黑体" w:hAnsi="黑体" w:eastAsia="黑体" w:cs="黑体"/>
          <w:sz w:val="44"/>
          <w:szCs w:val="44"/>
        </w:rPr>
        <w:snapToGrid w:val="0"/>
      </w:pPr>
    </w:p>
    <w:p w14:paraId="759B02AA">
      <w:pPr>
        <w:bidi w:val="0"/>
        <w:spacing w:line="448" w:lineRule="exact"/>
        <w:ind w:left="0" w:leftChars="0" w:firstLine="2320" w:firstLineChars="725"/>
        <w:rPr>
          <w:rFonts w:hint="eastAsia" w:ascii="仿宋" w:hAnsi="仿宋" w:eastAsia="仿宋" w:cs="仿宋"/>
          <w:sz w:val="32"/>
          <w:szCs w:val="32"/>
          <w:u w:val="single"/>
        </w:rPr>
        <w:snapToGrid w:val="0"/>
      </w:pPr>
      <w:r>
        <w:rPr>
          <w:rFonts w:hint="eastAsia" w:ascii="仿宋" w:hAnsi="仿宋" w:eastAsia="仿宋" w:cs="仿宋"/>
          <w:sz w:val="32"/>
          <w:szCs w:val="32"/>
          <w:lang w:val="en-US" w:eastAsia="zh-CN"/>
        </w:rPr>
        <w:t>团队名称</w:t>
      </w:r>
      <w:r>
        <w:rPr>
          <w:rFonts w:hint="eastAsia" w:ascii="仿宋" w:hAnsi="仿宋" w:eastAsia="仿宋" w:cs="仿宋"/>
          <w:sz w:val="32"/>
          <w:szCs w:val="32"/>
        </w:rPr>
        <w:t>：</w:t>
      </w:r>
      <w:r>
        <w:rPr>
          <w:rFonts w:hint="eastAsia" w:ascii="仿宋" w:hAnsi="仿宋" w:eastAsia="仿宋" w:cs="仿宋"/>
          <w:sz w:val="32"/>
          <w:szCs w:val="32"/>
          <w:u w:val="single"/>
        </w:rPr>
        <w:t xml:space="preserve">             </w:t>
      </w:r>
    </w:p>
    <w:p w14:paraId="2D8B3896">
      <w:pPr>
        <w:bidi w:val="0"/>
        <w:spacing w:line="448" w:lineRule="exact"/>
        <w:ind w:left="0" w:leftChars="0" w:firstLine="2320" w:firstLineChars="725"/>
        <w:rPr>
          <w:rFonts w:hint="default" w:ascii="仿宋" w:hAnsi="仿宋" w:eastAsia="仿宋" w:cs="仿宋"/>
          <w:sz w:val="32"/>
          <w:szCs w:val="32"/>
          <w:u w:val="single"/>
          <w:lang w:val="en-US" w:eastAsia="zh-CN"/>
        </w:rPr>
        <w:snapToGrid w:val="0"/>
      </w:pPr>
      <w:r>
        <w:rPr>
          <w:rFonts w:hint="eastAsia" w:ascii="仿宋" w:hAnsi="仿宋" w:eastAsia="仿宋" w:cs="仿宋"/>
          <w:sz w:val="32"/>
          <w:szCs w:val="32"/>
          <w:lang w:val="en-US" w:eastAsia="zh-CN"/>
        </w:rPr>
        <w:t>参赛编号</w:t>
      </w:r>
      <w:r>
        <w:rPr>
          <w:rFonts w:hint="eastAsia" w:ascii="仿宋" w:hAnsi="仿宋" w:cs="仿宋"/>
          <w:sz w:val="32"/>
          <w:szCs w:val="32"/>
          <w:u w:val="none"/>
          <w:lang w:val="en-US" w:eastAsia="zh-CN"/>
        </w:rPr>
        <w:t>：</w:t>
      </w:r>
      <w:r>
        <w:rPr>
          <w:rFonts w:hint="eastAsia" w:ascii="仿宋" w:hAnsi="仿宋" w:cs="仿宋"/>
          <w:sz w:val="32"/>
          <w:szCs w:val="32"/>
          <w:u w:val="single"/>
          <w:lang w:val="en-US" w:eastAsia="zh-CN"/>
        </w:rPr>
        <w:t xml:space="preserve">AIC-2026-    </w:t>
      </w:r>
    </w:p>
    <w:p w14:paraId="2545E92A">
      <w:pPr>
        <w:bidi w:val="0"/>
        <w:spacing w:line="448" w:lineRule="exact"/>
        <w:ind w:left="0" w:leftChars="0" w:firstLine="2320" w:firstLineChars="725"/>
        <w:rPr>
          <w:rFonts w:hint="eastAsia" w:ascii="黑体" w:hAnsi="黑体" w:eastAsia="黑体" w:cs="黑体"/>
          <w:sz w:val="44"/>
          <w:szCs w:val="44"/>
        </w:rPr>
        <w:snapToGrid w:val="0"/>
      </w:pPr>
      <w:r>
        <w:rPr>
          <w:rFonts w:hint="eastAsia" w:ascii="仿宋" w:hAnsi="仿宋" w:eastAsia="仿宋" w:cs="仿宋"/>
          <w:sz w:val="32"/>
          <w:szCs w:val="32"/>
        </w:rPr>
        <w:t>作品名称：</w:t>
      </w:r>
      <w:r>
        <w:rPr>
          <w:rFonts w:hint="eastAsia" w:ascii="仿宋" w:hAnsi="仿宋" w:eastAsia="仿宋" w:cs="仿宋"/>
          <w:sz w:val="32"/>
          <w:szCs w:val="32"/>
          <w:u w:val="single"/>
        </w:rPr>
        <w:t xml:space="preserve">             </w:t>
      </w:r>
    </w:p>
    <w:p w14:paraId="39715D37">
      <w:pPr>
        <w:bidi w:val="0"/>
        <w:spacing w:line="240" w:lineRule="exact" w:before="0" w:after="0"/>
        <w:rPr>
          <w:rFonts w:hint="eastAsia" w:ascii="黑体" w:hAnsi="黑体" w:eastAsia="黑体" w:cs="黑体"/>
          <w:sz w:val="44"/>
          <w:szCs w:val="44"/>
        </w:rPr>
        <w:snapToGrid w:val="0"/>
      </w:pPr>
    </w:p>
    <w:p w14:paraId="2BC8A359">
      <w:pPr>
        <w:bidi w:val="0"/>
        <w:spacing w:line="240" w:lineRule="exact" w:before="0" w:after="0"/>
        <w:rPr>
          <w:rFonts w:hint="eastAsia" w:ascii="黑体" w:hAnsi="黑体" w:eastAsia="黑体" w:cs="黑体"/>
          <w:sz w:val="44"/>
          <w:szCs w:val="44"/>
        </w:rPr>
        <w:snapToGrid w:val="0"/>
      </w:pPr>
    </w:p>
    <w:p w14:paraId="5A3F1C46">
      <w:pPr>
        <w:bidi w:val="0"/>
        <w:spacing w:line="240" w:lineRule="exact" w:before="0" w:after="0"/>
        <w:rPr>
          <w:rFonts w:hint="eastAsia" w:ascii="黑体" w:hAnsi="黑体" w:eastAsia="黑体" w:cs="黑体"/>
          <w:sz w:val="44"/>
          <w:szCs w:val="44"/>
        </w:rPr>
        <w:snapToGrid w:val="0"/>
      </w:pPr>
    </w:p>
    <w:p w14:paraId="551E5641">
      <w:pPr>
        <w:bidi w:val="0"/>
        <w:spacing w:line="240" w:lineRule="exact" w:before="0" w:after="0"/>
        <w:rPr>
          <w:rFonts w:hint="eastAsia" w:ascii="黑体" w:hAnsi="黑体" w:eastAsia="黑体" w:cs="黑体"/>
          <w:sz w:val="44"/>
          <w:szCs w:val="44"/>
        </w:rPr>
        <w:snapToGrid w:val="0"/>
      </w:pPr>
    </w:p>
    <w:p w14:paraId="030FC0B7">
      <w:pPr>
        <w:bidi w:val="0"/>
        <w:spacing w:line="240" w:lineRule="exact" w:before="0" w:after="0"/>
        <w:rPr>
          <w:rFonts w:hint="eastAsia" w:ascii="黑体" w:hAnsi="黑体" w:eastAsia="黑体" w:cs="黑体"/>
          <w:sz w:val="44"/>
          <w:szCs w:val="44"/>
        </w:rPr>
        <w:snapToGrid w:val="0"/>
      </w:pPr>
    </w:p>
    <w:p w14:paraId="00A4804F">
      <w:pPr>
        <w:bidi w:val="0"/>
        <w:spacing w:line="240" w:lineRule="exact" w:before="0" w:after="0"/>
        <w:rPr>
          <w:rFonts w:hint="eastAsia" w:ascii="黑体" w:hAnsi="黑体" w:eastAsia="黑体" w:cs="黑体"/>
          <w:sz w:val="44"/>
          <w:szCs w:val="44"/>
        </w:rPr>
        <w:snapToGrid w:val="0"/>
      </w:pPr>
    </w:p>
    <w:p w14:paraId="27BC3C9D">
      <w:pPr>
        <w:bidi w:val="0"/>
        <w:spacing w:line="448" w:lineRule="exact"/>
        <w:ind w:left="0" w:leftChars="0" w:firstLine="2320" w:firstLineChars="725"/>
        <w:rPr>
          <w:rFonts w:hint="eastAsia" w:ascii="仿宋" w:hAnsi="仿宋" w:cs="仿宋"/>
          <w:sz w:val="32"/>
          <w:szCs w:val="32"/>
          <w:u w:val="none"/>
          <w:lang w:val="en-US" w:eastAsia="zh-CN"/>
        </w:rPr>
        <w:sectPr>
          <w:headerReference r:id="rId6" w:type="first"/>
          <w:footerReference r:id="rId8" w:type="first"/>
          <w:headerReference r:id="rId5" w:type="default"/>
          <w:footerReference r:id="rId7" w:type="default"/>
          <w:pgSz w:w="11906" w:h="16838"/>
          <w:pgMar w:top="1417" w:right="1701" w:bottom="1417" w:left="1701" w:header="850" w:footer="850" w:gutter="0"/>
          <w:pgBorders>
            <w:top w:val="none" w:sz="0" w:space="0"/>
            <w:left w:val="none" w:sz="0" w:space="0"/>
            <w:bottom w:val="none" w:sz="0" w:space="0"/>
            <w:right w:val="none" w:sz="0" w:space="0"/>
          </w:pgBorders>
          <w:pgNumType w:fmt="upperRoman" w:start="1"/>
          <w:cols w:space="720" w:num="1"/>
          <w:rtlGutter w:val="0"/>
          <w:docGrid w:type="lines" w:linePitch="333" w:charSpace="0"/>
        </w:sectPr>
        <w:snapToGrid w:val="0"/>
      </w:pPr>
      <w:r>
        <w:rPr>
          <w:rFonts w:hint="eastAsia" w:ascii="仿宋" w:hAnsi="仿宋" w:cs="仿宋"/>
          <w:sz w:val="32"/>
          <w:szCs w:val="32"/>
          <w:u w:val="none"/>
          <w:lang w:val="en-US" w:eastAsia="zh-CN"/>
        </w:rPr>
        <w:t>日期：2026年10月30日</w:t>
      </w:r>
      <w:bookmarkStart w:id="44" w:name="_GoBack"/>
      <w:bookmarkEnd w:id="44"/>
    </w:p>
    <w:sdt>
      <w:sdtPr>
        <w:rPr>
          <w:rFonts w:ascii="宋体" w:hAnsi="宋体" w:eastAsia="宋体" w:cs="Times New Roman"/>
          <w:kern w:val="2"/>
          <w:sz w:val="21"/>
          <w:szCs w:val="24"/>
          <w:lang w:val="en-US" w:eastAsia="zh-CN" w:bidi="ar-SA"/>
        </w:rPr>
        <w:id w:val="147463759"/>
        <w15:color w:val="DBDBDB"/>
        <w:docPartObj>
          <w:docPartGallery w:val="Table of Contents"/>
          <w:docPartUnique/>
        </w:docPartObj>
      </w:sdtPr>
      <w:sdtEndPr>
        <w:rPr>
          <w:rFonts w:hint="eastAsia" w:ascii="黑体" w:hAnsi="黑体" w:eastAsia="黑体" w:cs="黑体"/>
          <w:bCs/>
          <w:kern w:val="0"/>
          <w:sz w:val="24"/>
          <w:szCs w:val="24"/>
          <w:lang w:val="en-US" w:eastAsia="zh-CN" w:bidi="ar-SA"/>
        </w:rPr>
      </w:sdtEndPr>
      <w:sdtContent>
        <w:p w14:paraId="063DA430">
          <w:pPr>
            <w:pStyle w:val="5"/>
            <w:bidi w:val="0"/>
            <w:jc w:val="center"/>
            <w:snapToGrid w:val="0"/>
          </w:pPr>
          <w:bookmarkStart w:id="0" w:name="_Toc17032"/>
          <w:r>
            <w:rPr>
              <w:rFonts w:hint="default" w:ascii="粗体" w:hAnsi="粗体" w:eastAsia="宋体" w:cs="粗体"/>
              <w:sz w:val="44"/>
              <w:szCs w:val="44"/>
            </w:rPr>
            <w:t>目录</w:t>
          </w:r>
        </w:p>
        <w:p w14:paraId="4E8E8E28">
          <w:pPr>
            <w:pStyle w:val="6"/>
            <w:tabs>
              <w:tab w:val="right" w:leader="dot" w:pos="8504"/>
              <w:tab w:val="clear" w:pos="8296"/>
            </w:tabs>
            <w:snapToGrid w:val="0"/>
          </w:pPr>
          <w:r>
            <w:rPr>
              <w:rFonts w:hint="eastAsia" w:ascii="黑体" w:hAnsi="黑体" w:eastAsia="黑体" w:cs="黑体"/>
              <w:bCs/>
              <w:kern w:val="0"/>
              <w:sz w:val="24"/>
              <w:szCs w:val="24"/>
            </w:rPr>
            <w:fldChar w:fldCharType="begin"/>
          </w:r>
          <w:r>
            <w:rPr>
              <w:rFonts w:hint="eastAsia" w:ascii="黑体" w:hAnsi="黑体" w:eastAsia="黑体" w:cs="黑体"/>
              <w:bCs/>
              <w:kern w:val="0"/>
              <w:sz w:val="24"/>
              <w:szCs w:val="24"/>
            </w:rPr>
            <w:instrText xml:space="preserve">TOC \o "1-1" \h \u </w:instrText>
          </w:r>
          <w:r>
            <w:rPr>
              <w:rFonts w:hint="eastAsia" w:ascii="黑体" w:hAnsi="黑体" w:eastAsia="黑体" w:cs="黑体"/>
              <w:bCs/>
              <w:kern w:val="0"/>
              <w:sz w:val="24"/>
              <w:szCs w:val="24"/>
            </w:rPr>
            <w:fldChar w:fldCharType="separate"/>
          </w:r>
          <w:r>
            <w:rPr>
              <w:rFonts w:hint="eastAsia" w:ascii="黑体" w:hAnsi="黑体" w:eastAsia="黑体" w:cs="黑体"/>
              <w:bCs/>
              <w:kern w:val="0"/>
              <w:szCs w:val="24"/>
            </w:rPr>
            <w:fldChar w:fldCharType="begin"/>
          </w:r>
          <w:r>
            <w:rPr>
              <w:rFonts w:hint="eastAsia" w:ascii="黑体" w:hAnsi="黑体" w:eastAsia="黑体" w:cs="黑体"/>
              <w:bCs/>
              <w:kern w:val="0"/>
              <w:szCs w:val="24"/>
            </w:rPr>
            <w:instrText xml:space="preserve"> HYPERLINK \l _Toc19229 </w:instrText>
          </w:r>
          <w:r>
            <w:rPr>
              <w:rFonts w:hint="eastAsia" w:ascii="黑体" w:hAnsi="黑体" w:eastAsia="黑体" w:cs="黑体"/>
              <w:bCs/>
              <w:kern w:val="0"/>
              <w:szCs w:val="24"/>
            </w:rPr>
            <w:fldChar w:fldCharType="separate"/>
          </w:r>
          <w:r>
            <w:rPr>
              <w:rFonts w:hint="eastAsia"/>
              <w:lang w:val="en-US" w:eastAsia="zh-CN"/>
            </w:rPr>
            <w:t>作品简介</w:t>
          </w:r>
          <w:r>
            <w:tab/>
          </w:r>
          <w:r>
            <w:fldChar w:fldCharType="begin"/>
          </w:r>
          <w:r>
            <w:instrText xml:space="preserve"> PAGEREF _Toc19229 \h </w:instrText>
          </w:r>
          <w:r>
            <w:fldChar w:fldCharType="separate"/>
          </w:r>
          <w:r>
            <w:t>2</w:t>
          </w:r>
          <w:r>
            <w:fldChar w:fldCharType="end"/>
          </w:r>
          <w:r>
            <w:rPr>
              <w:rFonts w:hint="eastAsia" w:ascii="黑体" w:hAnsi="黑体" w:eastAsia="黑体" w:cs="黑体"/>
              <w:bCs/>
              <w:kern w:val="0"/>
              <w:szCs w:val="24"/>
            </w:rPr>
            <w:fldChar w:fldCharType="end"/>
          </w:r>
        </w:p>
        <w:p w14:paraId="66847B2A">
          <w:pPr>
            <w:pStyle w:val="6"/>
            <w:tabs>
              <w:tab w:val="right" w:leader="dot" w:pos="8504"/>
              <w:tab w:val="clear" w:pos="8296"/>
            </w:tabs>
            <w:snapToGrid w:val="0"/>
          </w:pPr>
          <w:r>
            <w:rPr>
              <w:rFonts w:hint="eastAsia" w:ascii="黑体" w:hAnsi="黑体" w:eastAsia="黑体" w:cs="黑体"/>
              <w:bCs/>
              <w:kern w:val="0"/>
              <w:szCs w:val="24"/>
            </w:rPr>
            <w:fldChar w:fldCharType="begin"/>
          </w:r>
          <w:r>
            <w:rPr>
              <w:rFonts w:hint="eastAsia" w:ascii="黑体" w:hAnsi="黑体" w:eastAsia="黑体" w:cs="黑体"/>
              <w:bCs/>
              <w:kern w:val="0"/>
              <w:szCs w:val="24"/>
            </w:rPr>
            <w:instrText xml:space="preserve"> HYPERLINK \l _Toc18077 </w:instrText>
          </w:r>
          <w:r>
            <w:rPr>
              <w:rFonts w:hint="eastAsia" w:ascii="黑体" w:hAnsi="黑体" w:eastAsia="黑体" w:cs="黑体"/>
              <w:bCs/>
              <w:kern w:val="0"/>
              <w:szCs w:val="24"/>
            </w:rPr>
            <w:fldChar w:fldCharType="separate"/>
          </w:r>
          <w:r>
            <w:rPr>
              <w:rFonts w:cs="宋体"/>
            </w:rPr>
            <w:t>一、作品概述</w:t>
          </w:r>
          <w:r>
            <w:tab/>
          </w:r>
          <w:r>
            <w:fldChar w:fldCharType="begin"/>
          </w:r>
          <w:r>
            <w:instrText xml:space="preserve"> PAGEREF _Toc18077 \h </w:instrText>
          </w:r>
          <w:r>
            <w:fldChar w:fldCharType="separate"/>
          </w:r>
          <w:r>
            <w:t>3</w:t>
          </w:r>
          <w:r>
            <w:fldChar w:fldCharType="end"/>
          </w:r>
          <w:r>
            <w:rPr>
              <w:rFonts w:hint="eastAsia" w:ascii="黑体" w:hAnsi="黑体" w:eastAsia="黑体" w:cs="黑体"/>
              <w:bCs/>
              <w:kern w:val="0"/>
              <w:szCs w:val="24"/>
            </w:rPr>
            <w:fldChar w:fldCharType="end"/>
          </w:r>
        </w:p>
        <w:p w14:paraId="031FD35B">
          <w:pPr>
            <w:pStyle w:val="6"/>
            <w:tabs>
              <w:tab w:val="right" w:leader="dot" w:pos="8504"/>
              <w:tab w:val="clear" w:pos="8296"/>
            </w:tabs>
            <w:snapToGrid w:val="0"/>
          </w:pPr>
          <w:r>
            <w:rPr>
              <w:rFonts w:hint="eastAsia" w:ascii="黑体" w:hAnsi="黑体" w:eastAsia="黑体" w:cs="黑体"/>
              <w:bCs/>
              <w:kern w:val="0"/>
              <w:szCs w:val="24"/>
            </w:rPr>
            <w:fldChar w:fldCharType="begin"/>
          </w:r>
          <w:r>
            <w:rPr>
              <w:rFonts w:hint="eastAsia" w:ascii="黑体" w:hAnsi="黑体" w:eastAsia="黑体" w:cs="黑体"/>
              <w:bCs/>
              <w:kern w:val="0"/>
              <w:szCs w:val="24"/>
            </w:rPr>
            <w:instrText xml:space="preserve"> HYPERLINK \l _Toc24325 </w:instrText>
          </w:r>
          <w:r>
            <w:rPr>
              <w:rFonts w:hint="eastAsia" w:ascii="黑体" w:hAnsi="黑体" w:eastAsia="黑体" w:cs="黑体"/>
              <w:bCs/>
              <w:kern w:val="0"/>
              <w:szCs w:val="24"/>
            </w:rPr>
            <w:fldChar w:fldCharType="separate"/>
          </w:r>
          <w:r>
            <w:rPr>
              <w:rFonts w:cs="宋体"/>
            </w:rPr>
            <w:t>二、需求分析</w:t>
          </w:r>
          <w:r>
            <w:tab/>
          </w:r>
          <w:r>
            <w:fldChar w:fldCharType="begin"/>
          </w:r>
          <w:r>
            <w:instrText xml:space="preserve"> PAGEREF _Toc24325 \h </w:instrText>
          </w:r>
          <w:r>
            <w:fldChar w:fldCharType="separate"/>
          </w:r>
          <w:r>
            <w:t>4</w:t>
          </w:r>
          <w:r>
            <w:fldChar w:fldCharType="end"/>
          </w:r>
          <w:r>
            <w:rPr>
              <w:rFonts w:hint="eastAsia" w:ascii="黑体" w:hAnsi="黑体" w:eastAsia="黑体" w:cs="黑体"/>
              <w:bCs/>
              <w:kern w:val="0"/>
              <w:szCs w:val="24"/>
            </w:rPr>
            <w:fldChar w:fldCharType="end"/>
          </w:r>
        </w:p>
        <w:p w14:paraId="6CA42E4E">
          <w:pPr>
            <w:pStyle w:val="6"/>
            <w:tabs>
              <w:tab w:val="right" w:leader="dot" w:pos="8504"/>
              <w:tab w:val="clear" w:pos="8296"/>
            </w:tabs>
            <w:snapToGrid w:val="0"/>
          </w:pPr>
          <w:r>
            <w:rPr>
              <w:rFonts w:hint="eastAsia" w:ascii="黑体" w:hAnsi="黑体" w:eastAsia="黑体" w:cs="黑体"/>
              <w:bCs/>
              <w:kern w:val="0"/>
              <w:szCs w:val="24"/>
            </w:rPr>
            <w:fldChar w:fldCharType="begin"/>
          </w:r>
          <w:r>
            <w:rPr>
              <w:rFonts w:hint="eastAsia" w:ascii="黑体" w:hAnsi="黑体" w:eastAsia="黑体" w:cs="黑体"/>
              <w:bCs/>
              <w:kern w:val="0"/>
              <w:szCs w:val="24"/>
            </w:rPr>
            <w:instrText xml:space="preserve"> HYPERLINK \l _Toc28804 </w:instrText>
          </w:r>
          <w:r>
            <w:rPr>
              <w:rFonts w:hint="eastAsia" w:ascii="黑体" w:hAnsi="黑体" w:eastAsia="黑体" w:cs="黑体"/>
              <w:bCs/>
              <w:kern w:val="0"/>
              <w:szCs w:val="24"/>
            </w:rPr>
            <w:fldChar w:fldCharType="separate"/>
          </w:r>
          <w:r>
            <w:rPr>
              <w:rFonts w:cs="宋体"/>
            </w:rPr>
            <w:t>三、AI技术工具选择与运用</w:t>
          </w:r>
          <w:r>
            <w:tab/>
          </w:r>
          <w:r>
            <w:fldChar w:fldCharType="begin"/>
          </w:r>
          <w:r>
            <w:instrText xml:space="preserve"> PAGEREF _Toc28804 \h </w:instrText>
          </w:r>
          <w:r>
            <w:fldChar w:fldCharType="separate"/>
          </w:r>
          <w:r>
            <w:t>5</w:t>
          </w:r>
          <w:r>
            <w:fldChar w:fldCharType="end"/>
          </w:r>
          <w:r>
            <w:rPr>
              <w:rFonts w:hint="eastAsia" w:ascii="黑体" w:hAnsi="黑体" w:eastAsia="黑体" w:cs="黑体"/>
              <w:bCs/>
              <w:kern w:val="0"/>
              <w:szCs w:val="24"/>
            </w:rPr>
            <w:fldChar w:fldCharType="end"/>
          </w:r>
        </w:p>
        <w:p w14:paraId="5A72CF20">
          <w:pPr>
            <w:pStyle w:val="6"/>
            <w:tabs>
              <w:tab w:val="right" w:leader="dot" w:pos="8504"/>
              <w:tab w:val="clear" w:pos="8296"/>
            </w:tabs>
            <w:snapToGrid w:val="0"/>
          </w:pPr>
          <w:r>
            <w:rPr>
              <w:rFonts w:hint="eastAsia" w:ascii="黑体" w:hAnsi="黑体" w:eastAsia="黑体" w:cs="黑体"/>
              <w:bCs/>
              <w:kern w:val="0"/>
              <w:szCs w:val="24"/>
            </w:rPr>
            <w:fldChar w:fldCharType="begin"/>
          </w:r>
          <w:r>
            <w:rPr>
              <w:rFonts w:hint="eastAsia" w:ascii="黑体" w:hAnsi="黑体" w:eastAsia="黑体" w:cs="黑体"/>
              <w:bCs/>
              <w:kern w:val="0"/>
              <w:szCs w:val="24"/>
            </w:rPr>
            <w:instrText xml:space="preserve"> HYPERLINK \l _Toc31119 </w:instrText>
          </w:r>
          <w:r>
            <w:rPr>
              <w:rFonts w:hint="eastAsia" w:ascii="黑体" w:hAnsi="黑体" w:eastAsia="黑体" w:cs="黑体"/>
              <w:bCs/>
              <w:kern w:val="0"/>
              <w:szCs w:val="24"/>
            </w:rPr>
            <w:fldChar w:fldCharType="separate"/>
          </w:r>
          <w:r>
            <w:rPr>
              <w:rFonts w:cs="宋体"/>
            </w:rPr>
            <w:t>四、项目实施</w:t>
          </w:r>
          <w:r>
            <w:tab/>
          </w:r>
          <w:r>
            <w:fldChar w:fldCharType="begin"/>
          </w:r>
          <w:r>
            <w:instrText xml:space="preserve"> PAGEREF _Toc31119 \h </w:instrText>
          </w:r>
          <w:r>
            <w:fldChar w:fldCharType="separate"/>
          </w:r>
          <w:r>
            <w:t>8</w:t>
          </w:r>
          <w:r>
            <w:fldChar w:fldCharType="end"/>
          </w:r>
          <w:r>
            <w:rPr>
              <w:rFonts w:hint="eastAsia" w:ascii="黑体" w:hAnsi="黑体" w:eastAsia="黑体" w:cs="黑体"/>
              <w:bCs/>
              <w:kern w:val="0"/>
              <w:szCs w:val="24"/>
            </w:rPr>
            <w:fldChar w:fldCharType="end"/>
          </w:r>
        </w:p>
        <w:p w14:paraId="68812788">
          <w:pPr>
            <w:pStyle w:val="6"/>
            <w:tabs>
              <w:tab w:val="right" w:leader="dot" w:pos="8504"/>
              <w:tab w:val="clear" w:pos="8296"/>
            </w:tabs>
            <w:snapToGrid w:val="0"/>
          </w:pPr>
          <w:r>
            <w:rPr>
              <w:rFonts w:hint="eastAsia" w:ascii="黑体" w:hAnsi="黑体" w:eastAsia="黑体" w:cs="黑体"/>
              <w:bCs/>
              <w:kern w:val="0"/>
              <w:szCs w:val="24"/>
            </w:rPr>
            <w:fldChar w:fldCharType="begin"/>
          </w:r>
          <w:r>
            <w:rPr>
              <w:rFonts w:hint="eastAsia" w:ascii="黑体" w:hAnsi="黑体" w:eastAsia="黑体" w:cs="黑体"/>
              <w:bCs/>
              <w:kern w:val="0"/>
              <w:szCs w:val="24"/>
            </w:rPr>
            <w:instrText xml:space="preserve"> HYPERLINK \l _Toc31940 </w:instrText>
          </w:r>
          <w:r>
            <w:rPr>
              <w:rFonts w:hint="eastAsia" w:ascii="黑体" w:hAnsi="黑体" w:eastAsia="黑体" w:cs="黑体"/>
              <w:bCs/>
              <w:kern w:val="0"/>
              <w:szCs w:val="24"/>
            </w:rPr>
            <w:fldChar w:fldCharType="separate"/>
          </w:r>
          <w:r>
            <w:rPr>
              <w:rFonts w:cs="宋体"/>
            </w:rPr>
            <w:t>五、应用成效</w:t>
          </w:r>
          <w:r>
            <w:tab/>
          </w:r>
          <w:r>
            <w:fldChar w:fldCharType="begin"/>
          </w:r>
          <w:r>
            <w:instrText xml:space="preserve"> PAGEREF _Toc31940 \h </w:instrText>
          </w:r>
          <w:r>
            <w:fldChar w:fldCharType="separate"/>
          </w:r>
          <w:r>
            <w:t>12</w:t>
          </w:r>
          <w:r>
            <w:fldChar w:fldCharType="end"/>
          </w:r>
          <w:r>
            <w:rPr>
              <w:rFonts w:hint="eastAsia" w:ascii="黑体" w:hAnsi="黑体" w:eastAsia="黑体" w:cs="黑体"/>
              <w:bCs/>
              <w:kern w:val="0"/>
              <w:szCs w:val="24"/>
            </w:rPr>
            <w:fldChar w:fldCharType="end"/>
          </w:r>
        </w:p>
        <w:p w14:paraId="1BBED8DC">
          <w:pPr>
            <w:pStyle w:val="6"/>
            <w:tabs>
              <w:tab w:val="right" w:leader="dot" w:pos="8504"/>
              <w:tab w:val="clear" w:pos="8296"/>
            </w:tabs>
            <w:snapToGrid w:val="0"/>
          </w:pPr>
          <w:r>
            <w:rPr>
              <w:rFonts w:hint="eastAsia" w:ascii="黑体" w:hAnsi="黑体" w:eastAsia="黑体" w:cs="黑体"/>
              <w:bCs/>
              <w:kern w:val="0"/>
              <w:szCs w:val="24"/>
            </w:rPr>
            <w:fldChar w:fldCharType="begin"/>
          </w:r>
          <w:r>
            <w:rPr>
              <w:rFonts w:hint="eastAsia" w:ascii="黑体" w:hAnsi="黑体" w:eastAsia="黑体" w:cs="黑体"/>
              <w:bCs/>
              <w:kern w:val="0"/>
              <w:szCs w:val="24"/>
            </w:rPr>
            <w:instrText xml:space="preserve"> HYPERLINK \l _Toc21333 </w:instrText>
          </w:r>
          <w:r>
            <w:rPr>
              <w:rFonts w:hint="eastAsia" w:ascii="黑体" w:hAnsi="黑体" w:eastAsia="黑体" w:cs="黑体"/>
              <w:bCs/>
              <w:kern w:val="0"/>
              <w:szCs w:val="24"/>
            </w:rPr>
            <w:fldChar w:fldCharType="separate"/>
          </w:r>
          <w:r>
            <w:rPr>
              <w:rFonts w:cs="宋体"/>
            </w:rPr>
            <w:t>六、总结与展望</w:t>
          </w:r>
          <w:r>
            <w:tab/>
          </w:r>
          <w:r>
            <w:fldChar w:fldCharType="begin"/>
          </w:r>
          <w:r>
            <w:instrText xml:space="preserve"> PAGEREF _Toc21333 \h </w:instrText>
          </w:r>
          <w:r>
            <w:fldChar w:fldCharType="separate"/>
          </w:r>
          <w:r>
            <w:t>17</w:t>
          </w:r>
          <w:r>
            <w:fldChar w:fldCharType="end"/>
          </w:r>
          <w:r>
            <w:rPr>
              <w:rFonts w:hint="eastAsia" w:ascii="黑体" w:hAnsi="黑体" w:eastAsia="黑体" w:cs="黑体"/>
              <w:bCs/>
              <w:kern w:val="0"/>
              <w:szCs w:val="24"/>
            </w:rPr>
            <w:fldChar w:fldCharType="end"/>
          </w:r>
        </w:p>
        <w:p w14:paraId="011D40F5">
          <w:pPr>
            <w:pStyle w:val="6"/>
            <w:tabs>
              <w:tab w:val="right" w:leader="dot" w:pos="8504"/>
              <w:tab w:val="clear" w:pos="8296"/>
            </w:tabs>
            <w:snapToGrid w:val="0"/>
          </w:pPr>
          <w:r>
            <w:rPr>
              <w:rFonts w:hint="eastAsia" w:ascii="黑体" w:hAnsi="黑体" w:eastAsia="黑体" w:cs="黑体"/>
              <w:bCs/>
              <w:kern w:val="0"/>
              <w:szCs w:val="24"/>
            </w:rPr>
            <w:fldChar w:fldCharType="begin"/>
          </w:r>
          <w:r>
            <w:rPr>
              <w:rFonts w:hint="eastAsia" w:ascii="黑体" w:hAnsi="黑体" w:eastAsia="黑体" w:cs="黑体"/>
              <w:bCs/>
              <w:kern w:val="0"/>
              <w:szCs w:val="24"/>
            </w:rPr>
            <w:instrText xml:space="preserve"> HYPERLINK \l _Toc15744 </w:instrText>
          </w:r>
          <w:r>
            <w:rPr>
              <w:rFonts w:hint="eastAsia" w:ascii="黑体" w:hAnsi="黑体" w:eastAsia="黑体" w:cs="黑体"/>
              <w:bCs/>
              <w:kern w:val="0"/>
              <w:szCs w:val="24"/>
            </w:rPr>
            <w:fldChar w:fldCharType="separate"/>
          </w:r>
          <w:r>
            <w:rPr>
              <w:rFonts w:cs="宋体"/>
            </w:rPr>
            <w:t>七、附录</w:t>
          </w:r>
          <w:r>
            <w:tab/>
          </w:r>
          <w:r>
            <w:fldChar w:fldCharType="begin"/>
          </w:r>
          <w:r>
            <w:instrText xml:space="preserve"> PAGEREF _Toc15744 \h </w:instrText>
          </w:r>
          <w:r>
            <w:fldChar w:fldCharType="separate"/>
          </w:r>
          <w:r>
            <w:t>17</w:t>
          </w:r>
          <w:r>
            <w:fldChar w:fldCharType="end"/>
          </w:r>
          <w:r>
            <w:rPr>
              <w:rFonts w:hint="eastAsia" w:ascii="黑体" w:hAnsi="黑体" w:eastAsia="黑体" w:cs="黑体"/>
              <w:bCs/>
              <w:kern w:val="0"/>
              <w:szCs w:val="24"/>
            </w:rPr>
            <w:fldChar w:fldCharType="end"/>
          </w:r>
        </w:p>
        <w:p w14:paraId="30AF8DFB">
          <w:pPr>
            <w:pStyle w:val="6"/>
            <w:keepNext w:val="0"/>
            <w:keepLines w:val="0"/>
            <w:pageBreakBefore w:val="0"/>
            <w:widowControl w:val="0"/>
            <w:kinsoku/>
            <w:wordWrap/>
            <w:overflowPunct/>
            <w:topLinePunct w:val="0"/>
            <w:autoSpaceDE/>
            <w:autoSpaceDN/>
            <w:bidi w:val="0"/>
            <w:adjustRightInd/>
            <w:spacing w:line="400" w:lineRule="exact"/>
            <w:ind w:firstLine="0" w:firstLineChars="0"/>
            <w:textAlignment w:val="auto"/>
            <w:rPr>
              <w:rFonts w:hint="eastAsia" w:ascii="黑体" w:hAnsi="黑体" w:eastAsia="黑体" w:cs="黑体"/>
              <w:bCs/>
              <w:kern w:val="0"/>
              <w:sz w:val="24"/>
              <w:szCs w:val="24"/>
              <w:lang w:val="en-US" w:eastAsia="zh-CN" w:bidi="ar-SA"/>
            </w:rPr>
            <w:sectPr>
              <w:footerReference r:id="rId9" w:type="default"/>
              <w:pgSz w:w="11906" w:h="16838"/>
              <w:pgMar w:top="1417" w:right="1701" w:bottom="1417" w:left="1701" w:header="850" w:footer="992" w:gutter="0"/>
              <w:pgBorders>
                <w:top w:val="none" w:sz="0" w:space="0"/>
                <w:left w:val="none" w:sz="0" w:space="0"/>
                <w:bottom w:val="none" w:sz="0" w:space="0"/>
                <w:right w:val="none" w:sz="0" w:space="0"/>
              </w:pgBorders>
              <w:pgNumType w:start="1"/>
              <w:cols w:space="720" w:num="1"/>
              <w:rtlGutter w:val="0"/>
              <w:docGrid w:type="lines" w:linePitch="333" w:charSpace="0"/>
            </w:sectPr>
            <w:snapToGrid w:val="0"/>
          </w:pPr>
          <w:r>
            <w:rPr>
              <w:rFonts w:hint="eastAsia" w:ascii="黑体" w:hAnsi="黑体" w:eastAsia="黑体" w:cs="黑体"/>
              <w:bCs/>
              <w:kern w:val="0"/>
              <w:szCs w:val="24"/>
            </w:rPr>
            <w:fldChar w:fldCharType="end"/>
          </w:r>
        </w:p>
      </w:sdtContent>
    </w:sdt>
    <w:p w14:paraId="7D9E7461">
      <w:pPr>
        <w:pStyle w:val="9"/>
        <w:bidi w:val="0"/>
        <w:ind w:left="0" w:leftChars="0" w:firstLine="0" w:firstLineChars="0"/>
        <w:jc w:val="center"/>
        <w:rPr>
          <w:rFonts w:hint="default" w:eastAsia="宋体"/>
          <w:lang w:val="en-US" w:eastAsia="zh-CN"/>
        </w:rPr>
        <w:snapToGrid w:val="0"/>
      </w:pPr>
      <w:bookmarkStart w:id="1" w:name="_Toc13090"/>
      <w:bookmarkStart w:id="2" w:name="_Toc19229"/>
      <w:r>
        <w:rPr>
          <w:rFonts w:hint="eastAsia"/>
          <w:lang w:val="en-US" w:eastAsia="zh-CN"/>
        </w:rPr>
        <w:t>作品简介</w:t>
      </w:r>
      <w:bookmarkEnd w:id="1"/>
      <w:bookmarkEnd w:id="2"/>
    </w:p>
    <w:p w14:paraId="3665DFCA">
      <w:pPr>
        <w:widowControl/>
        <w:spacing w:line="360" w:lineRule="exact"/>
        <w:ind w:firstLine="420"/>
        <w:rPr>
          <w:rFonts w:hint="eastAsia"/>
        </w:rPr>
        <w:snapToGrid w:val="0"/>
      </w:pPr>
      <w:r>
        <w:rPr>
          <w:rFonts w:cs="宋体"/>
        </w:rPr>
        <w:t>OpenACM-Assistant是面向数字存内计算的本地智能电路设计平台。作品以“连续对话、目标驱动的自由探索、真实工具验证”为核心：用户给出电路规格、精度预算、优化目标与运行预算，系统在合法设计空间中逐轮选择候选、执行评价并利用反馈继续探索，最终输出可复查的可行方案、权衡关系与实验报告。</w:t>
      </w:r>
    </w:p>
    <w:p w14:paraId="7D471B06">
      <w:pPr>
        <w:widowControl/>
        <w:spacing w:line="360" w:lineRule="exact"/>
        <w:ind w:firstLine="420"/>
        <w:rPr>
          <w:rFonts w:hint="eastAsia"/>
        </w:rPr>
        <w:snapToGrid w:val="0"/>
      </w:pPr>
      <w:r>
        <w:rPr>
          <w:rFonts w:cs="宋体"/>
        </w:rPr>
        <w:t>本项目自研连续自然语言交互、探索调度、任务级脚本编排、独立经验库和证据审计模块，复用OpenACM/OpenACMv2的电路生成、PEA-GNN及ACCO相关基础。现有能力覆盖自由探索、架构—器件分层评价、同条件方法对照和跨模型经验复用；已接入50000组公开8位乘法器参考配置，并完成真实乘法器探索、SRAM多PVT评价及16×8参考DCiM后端验证。</w:t>
      </w:r>
    </w:p>
    <w:p w14:paraId="3946D1EB">
      <w:pPr>
        <w:widowControl/>
        <w:spacing w:line="360" w:lineRule="exact"/>
        <w:ind w:firstLine="420"/>
        <w:rPr>
          <w:rFonts w:hint="eastAsia"/>
        </w:rPr>
        <w:snapToGrid w:val="0"/>
      </w:pPr>
      <w:r>
        <w:rPr>
          <w:rFonts w:cs="宋体"/>
        </w:rPr>
        <w:t>在10ns时钟约束下，16×8精确DCiM任务完成65536组乘法输入穷举验证，错误数为0；后端setup与hold slack分别为4.64506ns和0.0331819ns，详细布线DRC为0，12个后端阶段完成。实验展示了平台从需求输入、结构化配置到电路验证和物理后端的自动化执行能力。</w:t>
      </w:r>
      <w:r>
        <w:rPr>
          <w:rFonts w:cs="宋体"/>
        </w:rPr>
        <w:t>[9，E5、E6]</w:t>
      </w:r>
    </w:p>
    <w:p w14:paraId="20385803">
      <w:pPr>
        <w:ind w:firstLine="480" w:firstLineChars="200"/>
        <w:rPr>
          <w:rFonts w:ascii="宋体" w:hAnsi="宋体"/>
          <w:sz w:val="24"/>
          <w:szCs w:val="28"/>
        </w:rPr>
        <w:snapToGrid w:val="0"/>
      </w:pPr>
    </w:p>
    <w:p w14:paraId="2D1929E1">
      <w:pPr>
        <w:spacing w:line="20" w:lineRule="exact" w:before="0" w:after="0"/>
        <w:ind w:firstLine="640" w:firstLineChars="200"/>
        <w:jc w:val="center"/>
        <w:rPr>
          <w:rFonts w:hint="eastAsia" w:ascii="楷体" w:hAnsi="楷体" w:eastAsia="楷体"/>
          <w:sz w:val="32"/>
          <w:szCs w:val="32"/>
        </w:rPr>
        <w:sectPr>
          <w:footerReference r:id="rId10" w:type="default"/>
          <w:pgSz w:w="11906" w:h="16838"/>
          <w:pgMar w:top="1417" w:right="1701" w:bottom="1417" w:left="1701" w:header="850" w:footer="992" w:gutter="0"/>
          <w:pgBorders>
            <w:top w:val="none" w:sz="0" w:space="0"/>
            <w:left w:val="none" w:sz="0" w:space="0"/>
            <w:bottom w:val="none" w:sz="0" w:space="0"/>
            <w:right w:val="none" w:sz="0" w:space="0"/>
          </w:pgBorders>
          <w:cols w:space="720" w:num="1"/>
          <w:rtlGutter w:val="0"/>
          <w:docGrid w:type="lines" w:linePitch="333" w:charSpace="0"/>
        </w:sectPr>
        <w:snapToGrid w:val="0"/>
      </w:pPr>
    </w:p>
    <w:bookmarkEnd w:id="0"/>
    <w:p w14:paraId="0211CB47">
      <w:pPr>
        <w:pStyle w:val="2"/>
        <w:spacing w:line="440" w:lineRule="exact"/>
        <w:rPr>
          <w:rFonts w:hint="eastAsia"/>
        </w:rPr>
        <w:keepNext/>
        <w:snapToGrid w:val="0"/>
      </w:pPr>
      <w:bookmarkStart w:id="3" w:name="_Toc244189562"/>
      <w:bookmarkStart w:id="4" w:name="_Toc18077"/>
      <w:bookmarkStart w:id="5" w:name="_Toc12201"/>
      <w:r>
        <w:rPr>
          <w:rFonts w:cs="宋体"/>
        </w:rPr>
        <w:t>一、作品概述</w:t>
      </w:r>
      <w:bookmarkEnd w:id="3"/>
      <w:bookmarkEnd w:id="4"/>
    </w:p>
    <w:p w14:paraId="7FB01AFC">
      <w:pPr>
        <w:pStyle w:val="3"/>
        <w:spacing w:line="400" w:lineRule="exact"/>
        <w:rPr>
          <w:rFonts w:hint="eastAsia"/>
        </w:rPr>
        <w:keepNext/>
        <w:snapToGrid w:val="0"/>
      </w:pPr>
      <w:bookmarkStart w:id="6" w:name="_Toc244189563"/>
      <w:r>
        <w:rPr>
          <w:rFonts w:cs="宋体"/>
        </w:rPr>
        <w:t>（一）项目背景与意义</w:t>
      </w:r>
      <w:bookmarkEnd w:id="6"/>
    </w:p>
    <w:p w14:paraId="22083E98">
      <w:pPr>
        <w:widowControl/>
        <w:spacing w:line="360" w:lineRule="exact"/>
        <w:ind w:firstLine="420"/>
        <w:rPr>
          <w:rFonts w:hint="eastAsia"/>
        </w:rPr>
        <w:snapToGrid w:val="0"/>
      </w:pPr>
      <w:r>
        <w:rPr>
          <w:rFonts w:cs="宋体"/>
        </w:rPr>
        <w:t>随着卷积神经网络、智能传感器和边缘推理应用快速发展，芯片需要在有限的功耗、面积和时延条件下完成大量乘累加运算。传统冯·诺依曼架构需要在存储器与计算单元之间频繁搬运数据，由此产生的“存储墙”问题已经成为限制AI芯片能效的重要因素。</w:t>
      </w:r>
    </w:p>
    <w:p w14:paraId="3156202A">
      <w:pPr>
        <w:widowControl/>
        <w:spacing w:line="360" w:lineRule="exact"/>
        <w:ind w:firstLine="420"/>
        <w:rPr>
          <w:rFonts w:hint="eastAsia"/>
        </w:rPr>
        <w:snapToGrid w:val="0"/>
      </w:pPr>
      <w:r>
        <w:rPr>
          <w:rFonts w:cs="宋体"/>
        </w:rPr>
        <w:t>数字存内计算通过在SRAM内部或邻近位置执行计算，可以减少数据搬运，同时保持与数字集成电路设计流程的兼容性，适合应用于边缘AI芯片、可穿戴设备和智能传感器。</w:t>
      </w:r>
    </w:p>
    <w:p w14:paraId="501CC805">
      <w:pPr>
        <w:widowControl/>
        <w:spacing w:line="360" w:lineRule="exact"/>
        <w:ind w:firstLine="420"/>
        <w:rPr>
          <w:rFonts w:hint="eastAsia"/>
        </w:rPr>
        <w:snapToGrid w:val="0"/>
      </w:pPr>
      <w:r>
        <w:rPr>
          <w:rFonts w:cs="宋体"/>
        </w:rPr>
        <w:t>部分神经网络和信号处理任务对小幅数值误差具有一定容忍能力，因此可以使用近似乘法器和近似压缩器，在满足任务精度要求的前提下降低功耗、面积和时延。但是，近似数字存内计算需要同时考虑乘法器压缩树、压缩器类型与位置、SRAM阵列组织、晶体管尺寸和PVT条件，设计空间十分庞大。</w:t>
      </w:r>
    </w:p>
    <w:p w14:paraId="7B323CB5">
      <w:pPr>
        <w:widowControl/>
        <w:spacing w:line="360" w:lineRule="exact"/>
        <w:ind w:firstLine="420"/>
        <w:rPr>
          <w:rFonts w:hint="eastAsia"/>
        </w:rPr>
        <w:snapToGrid w:val="0"/>
      </w:pPr>
      <w:r>
        <w:rPr>
          <w:rFonts w:cs="宋体"/>
        </w:rPr>
        <w:t>以8位近似乘法器为例，其压缩树包含9个可配置位置，每个位置可以选择8种压缩器，仅压缩器组合便达到：</w:t>
      </w:r>
    </w:p>
    <w:p w14:paraId="514FE43D">
      <w:pPr>
        <w:widowControl/>
        <w:ind w:firstLine="420"/>
        <w:rPr>
          <w:rFonts w:hint="eastAsia"/>
        </w:rPr>
        <w:snapToGrid w:val="0"/>
      </w:pPr>
      <m:oMathPara>
        <m:oMath>
          <m:sSup>
            <m:sSupPr>
              <m:ctrlPr>
                <w:rPr>
                  <w:rFonts w:ascii="Cambria Math" w:hAnsi="Cambria Math"/>
                </w:rPr>
              </m:ctrlPr>
            </m:sSupPr>
            <m:e>
              <m:r>
                <m:rPr/>
                <w:rPr>
                  <w:rFonts w:ascii="Cambria Math" w:hAnsi="Cambria Math"/>
                </w:rPr>
                <m:t>8</m:t>
              </m:r>
              <m:ctrlPr>
                <w:rPr>
                  <w:rFonts w:ascii="Cambria Math" w:hAnsi="Cambria Math"/>
                </w:rPr>
              </m:ctrlPr>
            </m:e>
            <m:sup>
              <m:r>
                <m:rPr/>
                <w:rPr>
                  <w:rFonts w:ascii="Cambria Math" w:hAnsi="Cambria Math"/>
                </w:rPr>
                <m:t>9</m:t>
              </m:r>
              <m:ctrlPr>
                <w:rPr>
                  <w:rFonts w:ascii="Cambria Math" w:hAnsi="Cambria Math"/>
                </w:rPr>
              </m:ctrlPr>
            </m:sup>
          </m:sSup>
          <m:r>
            <m:rPr/>
            <w:rPr>
              <w:rFonts w:ascii="Cambria Math" w:hAnsi="Cambria Math"/>
            </w:rPr>
            <m:t>=134217728</m:t>
          </m:r>
        </m:oMath>
      </m:oMathPara>
    </w:p>
    <w:p w14:paraId="00F3D500">
      <w:pPr>
        <w:widowControl/>
        <w:spacing w:line="360" w:lineRule="exact"/>
        <w:ind w:firstLine="420"/>
        <w:rPr>
          <w:rFonts w:hint="eastAsia"/>
        </w:rPr>
        <w:snapToGrid w:val="0"/>
      </w:pPr>
      <w:r>
        <w:rPr>
          <w:rFonts w:cs="宋体"/>
        </w:rPr>
        <w:t>如果继续加入SRAM行列结构、列复用、器件尺寸、电源电压和工艺角，依靠人工经验逐一综合和仿真已经难以满足快速设计需求。</w:t>
      </w:r>
    </w:p>
    <w:p w14:paraId="253F1680">
      <w:pPr>
        <w:widowControl/>
        <w:spacing w:line="360" w:lineRule="exact"/>
        <w:ind w:firstLine="420"/>
        <w:rPr>
          <w:rFonts w:hint="eastAsia"/>
        </w:rPr>
        <w:snapToGrid w:val="0"/>
      </w:pPr>
      <w:r>
        <w:rPr>
          <w:rFonts w:cs="宋体"/>
        </w:rPr>
        <w:t>面对大规模离散结构与连续器件参数耦合的设计空间，本项目采用“自然语言规划—代理模型筛选—确定性工具验证”的技术路径。通过统一任务参数、评价指标与实验记录，将电路设计中的需求理解、候选生成和结果分析组织在同一工作流中，为开源EDA环境下的数字存内计算研究提供自动化工具。</w:t>
      </w:r>
    </w:p>
    <w:p w14:paraId="004EFA81">
      <w:pPr>
        <w:pStyle w:val="3"/>
        <w:spacing w:line="400" w:lineRule="exact"/>
        <w:rPr>
          <w:rFonts w:hint="eastAsia"/>
        </w:rPr>
        <w:keepNext/>
        <w:snapToGrid w:val="0"/>
      </w:pPr>
      <w:bookmarkStart w:id="7" w:name="_Toc244189564"/>
      <w:r>
        <w:rPr>
          <w:rFonts w:cs="宋体"/>
        </w:rPr>
        <w:t>（二）项目目标</w:t>
      </w:r>
      <w:bookmarkEnd w:id="7"/>
    </w:p>
    <w:p w14:paraId="70ECE936">
      <w:pPr>
        <w:widowControl/>
        <w:spacing w:line="360" w:lineRule="exact"/>
        <w:ind w:firstLine="420"/>
        <w:rPr>
          <w:rFonts w:hint="eastAsia"/>
        </w:rPr>
        <w:snapToGrid w:val="0"/>
      </w:pPr>
      <w:r>
        <w:rPr>
          <w:rFonts w:cs="宋体"/>
        </w:rPr>
        <w:t>本项目面向近似数字存内计算电路的生成、优化和验证，</w:t>
      </w:r>
      <w:r>
        <w:rPr>
          <w:rStyle w:val="12"/>
          <w:rFonts w:cs="宋体"/>
        </w:rPr>
        <w:t>在已有 OpenACMv2 开源框架的 ACCO 两级协同优化基础之上，扩展构建 OpenACM</w:t>
      </w:r>
      <w:r>
        <w:rPr>
          <w:rStyle w:val="12"/>
          <w:rFonts w:cs="宋体"/>
        </w:rPr>
        <w:noBreakHyphen/>
      </w:r>
      <w:r>
        <w:rPr>
          <w:rStyle w:val="12"/>
          <w:rFonts w:cs="宋体"/>
        </w:rPr>
        <w:t>Assistant，搭建由本地大模型、AI 代理模型、设计经验库和确定性 EDA 执行器组成的自动设计平台</w:t>
      </w:r>
      <w:r>
        <w:rPr>
          <w:rFonts w:cs="宋体"/>
        </w:rPr>
        <w:t>。</w:t>
      </w:r>
    </w:p>
    <w:p w14:paraId="4BBBA39B">
      <w:pPr>
        <w:widowControl/>
        <w:spacing w:line="360" w:lineRule="exact"/>
        <w:ind w:firstLine="420"/>
        <w:rPr>
          <w:rFonts w:hint="eastAsia"/>
        </w:rPr>
        <w:snapToGrid w:val="0"/>
      </w:pPr>
      <w:r>
        <w:t>平台建立连续自然语言设计入口，使用户能够直接描述电路功能、误差预算、PVT条件和优化目标。对于探索任务，用户无需枚举每一个参数组合；系统构造合法候选、保留固定规格，在候选数与墙钟预算内组织多轮选择和验证。执行反馈、失败记录与当前最佳结果共同成为下一轮决策依据，历史任务通过本地经验库积累为可复用资料。</w:t>
      </w:r>
    </w:p>
    <w:p w14:paraId="78805FF9">
      <w:pPr>
        <w:widowControl/>
        <w:spacing w:line="360" w:lineRule="exact"/>
        <w:ind w:firstLine="420"/>
        <w:rPr>
          <w:rFonts w:hint="eastAsia"/>
        </w:rPr>
        <w:snapToGrid w:val="0"/>
      </w:pPr>
      <w:r>
        <w:rPr>
          <w:rFonts w:cs="宋体"/>
        </w:rPr>
        <w:t>系统复用PEA-GNN对原生8/16位近似乘法器候选进行误差与PPA预测；SRAM当前以阵列SPICE及显式bank外围、面积估算完成评价，并保留TabPFN等表格代理模型的后续适配方向。在此基础上组织架构搜索、入选项复核、固定架构器件调整与指定PVT验证；参考PE任务接入OpenROAD等工具，输出RTL/网表、ODB、DEF、SPEF、SDF与报告等实际产物。</w:t>
      </w:r>
      <w:r>
        <w:rPr>
          <w:rFonts w:cs="宋体"/>
        </w:rPr>
      </w:r>
      <w:r>
        <w:rPr>
          <w:rFonts w:cs="宋体"/>
        </w:rPr>
      </w:r>
    </w:p>
    <w:p w14:paraId="6FEEDE85">
      <w:pPr>
        <w:widowControl/>
        <w:spacing w:line="360" w:lineRule="exact"/>
        <w:ind w:firstLine="420"/>
        <w:rPr>
          <w:rFonts w:hint="eastAsia"/>
        </w:rPr>
        <w:snapToGrid w:val="0"/>
      </w:pPr>
      <w:r>
        <w:rPr>
          <w:rFonts w:cs="宋体"/>
        </w:rPr>
        <w:t>平台以结构化任务作为各模块之间的统一接口，将电路规格、测试条件、资源预算和验收指标转换为可执行配置。每个任务对应独立的工作目录，设计文件、运行日志与评价结果按任务编号归档，形成从用户需求到实验结果的完整记录。</w:t>
      </w:r>
    </w:p>
    <w:p w14:paraId="39DB9951">
      <w:pPr>
        <w:pStyle w:val="3"/>
        <w:spacing w:line="400" w:lineRule="exact"/>
        <w:rPr>
          <w:rFonts w:hint="eastAsia"/>
        </w:rPr>
        <w:keepNext/>
        <w:snapToGrid w:val="0"/>
      </w:pPr>
      <w:bookmarkStart w:id="8" w:name="_Toc244189565"/>
      <w:r>
        <w:rPr>
          <w:rFonts w:cs="宋体"/>
        </w:rPr>
        <w:t>（三）赛题方向定位</w:t>
      </w:r>
      <w:bookmarkEnd w:id="8"/>
    </w:p>
    <w:p w14:paraId="38957BC9">
      <w:pPr>
        <w:widowControl/>
        <w:spacing w:line="360" w:lineRule="exact"/>
        <w:ind w:firstLine="420"/>
        <w:rPr>
          <w:rFonts w:hint="eastAsia"/>
        </w:rPr>
        <w:snapToGrid w:val="0"/>
      </w:pPr>
      <w:r>
        <w:rPr>
          <w:rFonts w:cs="宋体"/>
        </w:rPr>
        <w:t>本项目属于“AI+集成电路”方向。人工智能技术主要应用于自然语言需求理解、设计流程规划、脚本生成、候选性能预测、设计空间搜索和历史经验复用等环节。</w:t>
      </w:r>
    </w:p>
    <w:p w14:paraId="59BAB32C">
      <w:pPr>
        <w:widowControl/>
        <w:spacing w:line="360" w:lineRule="exact"/>
        <w:ind w:firstLine="420"/>
        <w:rPr>
          <w:rFonts w:hint="eastAsia"/>
        </w:rPr>
        <w:snapToGrid w:val="0"/>
      </w:pPr>
      <w:r>
        <w:rPr>
          <w:rFonts w:cs="宋体"/>
        </w:rPr>
        <w:t>本项目以人工智能连接电路设计需求与专业工具链。本地语言模型承担需求理解与流程规划，专用代理模型承担候选预测，确定性执行器完成参数检查与工具调度，RTL、SPICE和OpenROAD完成电路评价。各模块通过结构化数据协作，支持近似数字存内计算的设计与验证。</w:t>
      </w:r>
    </w:p>
    <w:p w14:paraId="6A788110">
      <w:pPr>
        <w:pStyle w:val="2"/>
        <w:spacing w:line="440" w:lineRule="exact"/>
        <w:rPr>
          <w:rFonts w:hint="eastAsia"/>
        </w:rPr>
        <w:keepNext/>
        <w:snapToGrid w:val="0"/>
      </w:pPr>
      <w:bookmarkStart w:id="9" w:name="_Toc244189566"/>
      <w:bookmarkStart w:id="10" w:name="_Toc24325"/>
      <w:r>
        <w:rPr>
          <w:rFonts w:cs="宋体"/>
        </w:rPr>
        <w:t>二、需求分析</w:t>
      </w:r>
      <w:bookmarkEnd w:id="9"/>
      <w:bookmarkEnd w:id="10"/>
    </w:p>
    <w:p w14:paraId="2BFC3A1A">
      <w:pPr>
        <w:pStyle w:val="3"/>
        <w:spacing w:line="400" w:lineRule="exact"/>
        <w:rPr>
          <w:rFonts w:hint="eastAsia"/>
        </w:rPr>
        <w:keepNext/>
        <w:snapToGrid w:val="0"/>
      </w:pPr>
      <w:bookmarkStart w:id="11" w:name="_Toc244189567"/>
      <w:r>
        <w:rPr>
          <w:rFonts w:cs="宋体"/>
        </w:rPr>
        <w:t>（一）设计任务特征</w:t>
      </w:r>
      <w:bookmarkEnd w:id="11"/>
    </w:p>
    <w:p w14:paraId="064DB185">
      <w:pPr>
        <w:widowControl/>
        <w:spacing w:line="360" w:lineRule="exact"/>
        <w:ind w:firstLine="420"/>
        <w:rPr>
          <w:rFonts w:hint="eastAsia"/>
        </w:rPr>
        <w:snapToGrid w:val="0"/>
      </w:pPr>
      <w:r>
        <w:rPr>
          <w:rFonts w:cs="宋体"/>
        </w:rPr>
        <w:t>近似数字存内计算同时涉及乘法器压缩树、SRAM组织、晶体管尺寸和PVT条件。乘法器设计以位宽、压缩器选型、误差预算和PPA为主要参数；SRAM设计以容量、行列结构、列复用、器件尺寸和稳定性为主要参数；完整处理单元还需要综合、布局布线、寄生提取和时序分析。</w:t>
      </w:r>
    </w:p>
    <w:p w14:paraId="6D9FE606">
      <w:pPr>
        <w:widowControl/>
        <w:spacing w:line="360" w:lineRule="exact"/>
        <w:ind w:firstLine="420"/>
        <w:rPr>
          <w:rFonts w:hint="eastAsia"/>
        </w:rPr>
        <w:snapToGrid w:val="0"/>
      </w:pPr>
      <w:r>
        <w:rPr>
          <w:rFonts w:cs="宋体"/>
        </w:rPr>
        <w:t>不同任务之间存在参数传递和结果复用关系。架构搜索需要统一候选编码与评价条件，器件优化需要保持拓扑和容量约束，物理后端需要明确时钟、参考库、活动信息和宏接口。平台通过统一任务描述与分层执行组织这些依赖关系。</w:t>
      </w:r>
    </w:p>
    <w:p w14:paraId="2A48628D">
      <w:pPr>
        <w:pStyle w:val="3"/>
        <w:spacing w:line="400" w:lineRule="exact"/>
        <w:rPr>
          <w:rFonts w:hint="eastAsia"/>
        </w:rPr>
        <w:keepNext/>
        <w:snapToGrid w:val="0"/>
      </w:pPr>
      <w:bookmarkStart w:id="12" w:name="_Toc244189568"/>
      <w:r>
        <w:rPr>
          <w:rFonts w:cs="宋体"/>
        </w:rPr>
        <w:t>（二）功能需求</w:t>
      </w:r>
      <w:bookmarkEnd w:id="12"/>
    </w:p>
    <w:p w14:paraId="35F98421">
      <w:pPr>
        <w:widowControl/>
        <w:spacing w:line="360" w:lineRule="exact"/>
        <w:ind w:firstLine="420"/>
        <w:rPr>
          <w:rFonts w:hint="eastAsia"/>
        </w:rPr>
        <w:snapToGrid w:val="0"/>
      </w:pPr>
      <w:r>
        <w:rPr>
          <w:rFonts w:cs="宋体"/>
        </w:rPr>
        <w:t>系统需要支持精确、近似和对数整数乘法器，并覆盖多种位宽；支持SRAM读写、保持噪声容限、读噪声容限、写噪声容限以及PVT和Monte Carlo仿真；支持近似压缩器与6T SRAM晶体管尺寸优化；支持数字存内计算处理单元的生成、功能验证和物理实现。</w:t>
      </w:r>
    </w:p>
    <w:p w14:paraId="404EB5B6">
      <w:pPr>
        <w:widowControl/>
        <w:spacing w:line="360" w:lineRule="exact"/>
        <w:ind w:firstLine="420"/>
        <w:rPr>
          <w:rFonts w:hint="eastAsia"/>
        </w:rPr>
        <w:snapToGrid w:val="0"/>
      </w:pPr>
      <w:r>
        <w:rPr>
          <w:rFonts w:cs="宋体"/>
        </w:rPr>
        <w:t>系统需要识别位宽、容量、供电、温度、工艺角、器件尺寸、误差阈值和优化目标，并将其转换为结构化参数。能力咨询、参数解释、运行、结果分析与后续修改共享设计上下文；用户既可指定单点配置，也可只给出目标、约束和预算，由系统组织合法空间中的自由探索。</w:t>
      </w:r>
    </w:p>
    <w:p w14:paraId="269DEB26">
      <w:pPr>
        <w:widowControl/>
        <w:spacing w:line="360" w:lineRule="exact"/>
        <w:ind w:firstLine="420"/>
        <w:rPr>
          <w:rFonts w:hint="eastAsia"/>
        </w:rPr>
        <w:snapToGrid w:val="0"/>
      </w:pPr>
      <w:r>
        <w:rPr>
          <w:rFonts w:cs="宋体"/>
        </w:rPr>
        <w:t>探索过程中需要分别管理基线、固定条件、可调变量、候选预算、代理查询及真实EDA复核，保存每轮候选菜单、模型选择和工具反馈。系统应提供已评价可行最优、Pareto候选和停止原因，并将参数、指标、失败与环境统一归档，支持后续比较、复测和有条件的继续探索。</w:t>
      </w:r>
    </w:p>
    <w:p w14:paraId="1352D717">
      <w:pPr>
        <w:pStyle w:val="3"/>
        <w:spacing w:line="400" w:lineRule="exact"/>
        <w:rPr>
          <w:rFonts w:hint="eastAsia"/>
        </w:rPr>
        <w:keepNext/>
        <w:snapToGrid w:val="0"/>
      </w:pPr>
      <w:bookmarkStart w:id="13" w:name="_Toc244189569"/>
      <w:r>
        <w:rPr>
          <w:rFonts w:cs="宋体"/>
        </w:rPr>
        <w:t>（三）工程与可复现需求</w:t>
      </w:r>
      <w:bookmarkEnd w:id="13"/>
    </w:p>
    <w:p w14:paraId="6C124F5D">
      <w:pPr>
        <w:widowControl/>
        <w:spacing w:line="360" w:lineRule="exact"/>
        <w:ind w:firstLine="420"/>
        <w:rPr>
          <w:rFonts w:hint="eastAsia"/>
        </w:rPr>
        <w:snapToGrid w:val="0"/>
      </w:pPr>
      <w:r>
        <w:rPr>
          <w:rFonts w:cs="宋体"/>
        </w:rPr>
        <w:t>系统采用独立任务目录管理输入配置、生成电路、测试向量、工具版本、运行日志与结果报告。任务执行前后进行源文件完整性检查，关键数据通过哈希与任务编号建立关联。</w:t>
      </w:r>
    </w:p>
    <w:p w14:paraId="157BA3F7">
      <w:pPr>
        <w:widowControl/>
        <w:spacing w:line="360" w:lineRule="exact"/>
        <w:ind w:firstLine="420"/>
        <w:rPr>
          <w:rFonts w:hint="eastAsia"/>
        </w:rPr>
        <w:snapToGrid w:val="0"/>
      </w:pPr>
      <w:r>
        <w:rPr>
          <w:rFonts w:cs="宋体"/>
        </w:rPr>
        <w:t>电路指标按评价来源记录：RTL输出功能与误差，SPICE输出阵列读写与稳定性，STA输出时序，活动信息与单元库共同用于功耗评价，物理后端输出布局布线文件及对应报告。统一记录测试种子、工艺条件和资源预算，为方案比较提供一致的评价基础。</w:t>
      </w:r>
    </w:p>
    <w:p w14:paraId="434DF3E7">
      <w:pPr>
        <w:pStyle w:val="2"/>
        <w:spacing w:line="440" w:lineRule="exact"/>
        <w:rPr>
          <w:rFonts w:hint="eastAsia"/>
        </w:rPr>
        <w:keepNext/>
        <w:snapToGrid w:val="0"/>
      </w:pPr>
      <w:bookmarkStart w:id="14" w:name="_Toc244189570"/>
      <w:bookmarkStart w:id="15" w:name="_Toc28804"/>
      <w:r>
        <w:rPr>
          <w:rFonts w:cs="宋体"/>
        </w:rPr>
        <w:t>三、AI技术工具选择与运用</w:t>
      </w:r>
      <w:bookmarkEnd w:id="14"/>
      <w:bookmarkEnd w:id="15"/>
    </w:p>
    <w:p w14:paraId="2092AF19">
      <w:pPr>
        <w:pStyle w:val="3"/>
        <w:spacing w:line="400" w:lineRule="exact"/>
        <w:rPr>
          <w:rFonts w:hint="eastAsia"/>
        </w:rPr>
        <w:keepNext/>
        <w:snapToGrid w:val="0"/>
      </w:pPr>
      <w:bookmarkStart w:id="16" w:name="_Toc244189571"/>
      <w:r>
        <w:rPr>
          <w:rFonts w:cs="宋体"/>
        </w:rPr>
        <w:t>（一）AI技术总体选型</w:t>
      </w:r>
      <w:bookmarkEnd w:id="16"/>
    </w:p>
    <w:p w14:paraId="3654252E">
      <w:pPr>
        <w:widowControl/>
        <w:spacing w:line="360" w:lineRule="exact"/>
        <w:ind w:firstLine="420"/>
        <w:rPr>
          <w:rFonts w:hint="eastAsia"/>
        </w:rPr>
        <w:snapToGrid w:val="0"/>
      </w:pPr>
      <w:r>
        <w:rPr>
          <w:rFonts w:cs="宋体"/>
        </w:rPr>
        <w:t>本项目采用“本地大模型设计智能体 + OpenACMv2 底层框架 + 独立本地经验库 + EDA 验证工具”的技术体系。</w:t>
      </w:r>
    </w:p>
    <w:p w14:paraId="55231A0B">
      <w:pPr>
        <w:widowControl/>
        <w:spacing w:line="360" w:lineRule="exact"/>
        <w:ind w:firstLine="420"/>
        <w:rPr>
          <w:rFonts w:hint="eastAsia"/>
        </w:rPr>
        <w:snapToGrid w:val="0"/>
      </w:pPr>
      <w:r>
        <w:rPr>
          <w:rFonts w:cs="宋体"/>
        </w:rPr>
        <w:t>本地大模型承担自然语言理解、结构化规划与候选选择；自研外部执行器负责规格校验、预算调度、工作目录和证据归档。底层复用OpenACM的电路生成与仿真组件、原生PEA-GNN及NSGA-II等算法代码，并参考ACCO组织架构—器件两级流程。各模块通过受约束的参数接口协作，新的配置与辅助文件由执行器生成，历史观测写入项目独立经验库。</w:t>
      </w:r>
      <w:r>
        <w:rPr>
          <w:rFonts w:cs="宋体"/>
        </w:rPr>
      </w:r>
      <w:r>
        <w:rPr>
          <w:rFonts w:cs="宋体"/>
        </w:rPr>
      </w:r>
      <w:r>
        <w:rPr>
          <w:rFonts w:cs="宋体"/>
        </w:rPr>
      </w:r>
      <w:r>
        <w:rPr>
          <w:rFonts w:cs="宋体"/>
        </w:rPr>
      </w:r>
    </w:p>
    <w:p w14:paraId="3EAB0B03">
      <w:pPr>
        <w:widowControl/>
        <w:spacing w:line="360" w:lineRule="exact"/>
        <w:ind w:firstLine="420"/>
        <w:rPr>
          <w:rFonts w:hint="eastAsia"/>
        </w:rPr>
        <w:snapToGrid w:val="0"/>
      </w:pPr>
      <w:r>
        <w:rPr>
          <w:rFonts w:cs="宋体"/>
        </w:rPr>
        <w:t>平台将语言决策与数值评价分工：语言模型根据目标、近期历史和允许菜单选择下一项实验，PEA-GNN在支持的乘法器范围内提供快速预测，RTL、SPICE、综合与STA提供相应复核。SRAM当前采用阵列SPICE与bank估算；TabPFN属于可扩展的表格代理方向，不作为本报告已验证的默认执行环节。</w:t>
      </w:r>
    </w:p>
    <w:p w14:paraId="42D244F6">
      <w:pPr>
        <w:pStyle w:val="3"/>
        <w:spacing w:line="400" w:lineRule="exact"/>
        <w:rPr>
          <w:rFonts w:hint="eastAsia"/>
        </w:rPr>
        <w:keepNext/>
        <w:snapToGrid w:val="0"/>
      </w:pPr>
      <w:bookmarkStart w:id="17" w:name="_Toc244189572"/>
      <w:r>
        <w:rPr>
          <w:rFonts w:cs="宋体"/>
        </w:rPr>
        <w:t>（二）OpenACMv2底层框架</w:t>
      </w:r>
      <w:bookmarkEnd w:id="17"/>
    </w:p>
    <w:p w14:paraId="17AC672A">
      <w:pPr>
        <w:widowControl/>
        <w:spacing w:line="360" w:lineRule="exact"/>
        <w:ind w:firstLine="420"/>
        <w:rPr>
          <w:rFonts w:hint="eastAsia"/>
        </w:rPr>
        <w:snapToGrid w:val="0"/>
      </w:pPr>
      <w:r>
        <w:rPr>
          <w:rFonts w:cs="宋体"/>
        </w:rPr>
        <w:t>OpenACM/OpenACMv2提供电路编译、代理评价和协同优化的基础组件。本作品在原始程序只读的条件下，通过普通工作副本和外部适配层组织这些能力，增加自然语言任务契约、自由探索调度、实测验收及跨任务记录。底层组件的复用与上层新增功能在接口及证据中分别说明。</w:t>
      </w:r>
    </w:p>
    <w:p w14:paraId="4BFE68E9">
      <w:pPr>
        <w:widowControl/>
        <w:spacing w:line="360" w:lineRule="exact"/>
        <w:ind w:firstLine="420"/>
        <w:rPr>
          <w:rFonts w:hint="eastAsia"/>
        </w:rPr>
        <w:snapToGrid w:val="0"/>
      </w:pPr>
      <w:r>
        <w:rPr>
          <w:rFonts w:cs="宋体"/>
        </w:rPr>
        <w:t>框架内部搭载</w:t>
      </w:r>
      <w:r>
        <w:rPr>
          <w:rStyle w:val="12"/>
          <w:rFonts w:cs="宋体"/>
        </w:rPr>
        <w:t>PEA</w:t>
      </w:r>
      <w:r>
        <w:rPr>
          <w:rStyle w:val="12"/>
          <w:rFonts w:cs="宋体"/>
        </w:rPr>
        <w:noBreakHyphen/>
      </w:r>
      <w:r>
        <w:rPr>
          <w:rStyle w:val="12"/>
          <w:rFonts w:cs="宋体"/>
        </w:rPr>
        <w:t>GNN 乘法器预测模型</w:t>
      </w:r>
      <w:r>
        <w:rPr>
          <w:rFonts w:cs="宋体"/>
        </w:rPr>
        <w:t>，利用图神经网络对乘法器部分积压缩树拓扑进行建模，把全加器、半加器、4</w:t>
      </w:r>
      <w:r>
        <w:rPr>
          <w:rFonts w:cs="宋体"/>
        </w:rPr>
        <w:noBreakHyphen/>
      </w:r>
      <w:r>
        <w:rPr>
          <w:rFonts w:cs="宋体"/>
        </w:rPr>
        <w:t>2 压缩器作为图节点，信号互连作为边，学习压缩器配置和电路 MRED、NMED、面积、时延、功耗之间映射关系，对海量候选做快速预测排序，缩小待仿真候选集合；经过筛选的候选依旧需要生成 RTL，完成功能仿真、误差统计与综合时序功耗分析。</w:t>
      </w:r>
    </w:p>
    <w:p w14:paraId="7A0B8463">
      <w:pPr>
        <w:widowControl/>
        <w:spacing w:line="360" w:lineRule="exact"/>
        <w:ind w:firstLine="420"/>
        <w:rPr>
          <w:rFonts w:hint="eastAsia"/>
        </w:rPr>
        <w:snapToGrid w:val="0"/>
      </w:pPr>
      <w:r>
        <w:rPr>
          <w:rFonts w:cs="宋体"/>
        </w:rPr>
        <w:t>SRAM评价使用固定容量与输出字宽约束构建合法组织，调用实际阵列SPICE获得读写延迟、功耗和噪声容限，再结合bank片选、复用与面积模型进行组织比较。原框架中的TabPFN思路可用于后续表格代理适配；本报告所列SRAM实验的依据为SPICE与显式模型估算，未以TabPFN预测替代实测。</w:t>
      </w:r>
      <w:r>
        <w:rPr>
          <w:rStyle w:val="12"/>
          <w:rFonts w:cs="宋体"/>
        </w:rPr>
      </w:r>
      <w:r>
        <w:rPr>
          <w:rFonts w:cs="宋体"/>
        </w:rPr>
      </w:r>
      <w:r>
        <w:rPr>
          <w:rFonts w:cs="宋体"/>
        </w:rPr>
      </w:r>
      <w:r>
        <w:rPr>
          <w:rFonts w:cs="宋体"/>
        </w:rPr>
      </w:r>
    </w:p>
    <w:p w14:paraId="26E2D0B0">
      <w:pPr>
        <w:widowControl/>
        <w:spacing w:line="360" w:lineRule="exact"/>
        <w:ind w:firstLine="420"/>
        <w:rPr>
          <w:rFonts w:hint="eastAsia"/>
        </w:rPr>
        <w:snapToGrid w:val="0"/>
      </w:pPr>
      <w:r>
        <w:t xml:space="preserve">面向应用级协同设计，可将乘法器与SRAM的目标统一表述为：联合设计变量为 </w:t>
      </w:r>
      <m:oMath>
        <m:r>
          <m:rPr/>
          <w:rPr>
            <w:rFonts w:ascii="Cambria Math"/>
          </w:rPr>
          <m:t>x=(</m:t>
        </m:r>
        <m:sSub>
          <m:sSubPr>
            <m:ctrlPr>
              <w:rPr>
                <w:rFonts w:ascii="Cambria Math" w:hAnsi="Cambria Math"/>
              </w:rPr>
            </m:ctrlPr>
          </m:sSubPr>
          <m:e>
            <m:r>
              <m:rPr/>
              <w:rPr>
                <w:rFonts w:ascii="Cambria Math"/>
              </w:rPr>
              <m:t>x</m:t>
            </m:r>
            <m:ctrlPr>
              <w:rPr>
                <w:rFonts w:ascii="Cambria Math" w:hAnsi="Cambria Math"/>
              </w:rPr>
            </m:ctrlPr>
          </m:e>
          <m:sub>
            <m:r>
              <m:rPr>
                <m:sty m:val="p"/>
              </m:rPr>
              <w:rPr>
                <w:rFonts w:ascii="Cambria Math"/>
              </w:rPr>
              <m:t>mul</m:t>
            </m:r>
            <m:ctrlPr>
              <w:rPr>
                <w:rFonts w:ascii="Cambria Math" w:hAnsi="Cambria Math"/>
              </w:rPr>
            </m:ctrlPr>
          </m:sub>
        </m:sSub>
        <m:r>
          <m:rPr/>
          <w:rPr>
            <w:rFonts w:ascii="Cambria Math"/>
          </w:rPr>
          <m:t>,</m:t>
        </m:r>
        <m:sSub>
          <m:sSubPr>
            <m:ctrlPr>
              <w:rPr>
                <w:rFonts w:ascii="Cambria Math" w:hAnsi="Cambria Math"/>
              </w:rPr>
            </m:ctrlPr>
          </m:sSubPr>
          <m:e>
            <m:r>
              <m:rPr/>
              <w:rPr>
                <w:rFonts w:ascii="Cambria Math"/>
              </w:rPr>
              <m:t>x</m:t>
            </m:r>
            <m:ctrlPr>
              <w:rPr>
                <w:rFonts w:ascii="Cambria Math" w:hAnsi="Cambria Math"/>
              </w:rPr>
            </m:ctrlPr>
          </m:e>
          <m:sub>
            <m:r>
              <m:rPr>
                <m:sty m:val="p"/>
              </m:rPr>
              <w:rPr>
                <w:rFonts w:ascii="Cambria Math"/>
              </w:rPr>
              <m:t>SRAM</m:t>
            </m:r>
            <m:ctrlPr>
              <w:rPr>
                <w:rFonts w:ascii="Cambria Math" w:hAnsi="Cambria Math"/>
              </w:rPr>
            </m:ctrlPr>
          </m:sub>
        </m:sSub>
        <m:r>
          <m:rPr/>
          <w:rPr>
            <w:rFonts w:ascii="Cambria Math"/>
          </w:rPr>
          <m:t>)</m:t>
        </m:r>
      </m:oMath>
      <w:r>
        <w:t xml:space="preserve">，优化目标 </w:t>
      </w:r>
      <m:oMath>
        <m:func>
          <m:funcPr>
            <m:ctrlPr>
              <w:rPr>
                <w:rFonts w:ascii="Cambria Math" w:hAnsi="Cambria Math"/>
              </w:rPr>
            </m:ctrlPr>
          </m:funcPr>
          <m:fName>
            <m:limLow>
              <m:limLowPr>
                <m:ctrlPr>
                  <w:rPr>
                    <w:rFonts w:ascii="Cambria Math" w:hAnsi="Cambria Math"/>
                  </w:rPr>
                </m:ctrlPr>
              </m:limLowPr>
              <m:e>
                <m:r>
                  <m:rPr>
                    <m:sty m:val="p"/>
                  </m:rPr>
                  <w:rPr>
                    <w:rFonts w:ascii="Cambria Math"/>
                  </w:rPr>
                  <m:t>min</m:t>
                </m:r>
                <m:ctrlPr>
                  <w:rPr>
                    <w:rFonts w:ascii="Cambria Math" w:hAnsi="Cambria Math"/>
                  </w:rPr>
                </m:ctrlPr>
              </m:e>
              <m:lim>
                <m:ctrlPr>
                  <w:rPr>
                    <w:rFonts w:ascii="Cambria Math" w:hAnsi="Cambria Math"/>
                  </w:rPr>
                </m:ctrlPr>
              </m:lim>
            </m:limLow>
            <m:ctrlPr>
              <w:rPr>
                <w:rFonts w:ascii="Cambria Math" w:hAnsi="Cambria Math"/>
              </w:rPr>
            </m:ctrlPr>
          </m:fName>
          <m:e>
            <m:d>
              <m:dPr>
                <m:ctrlPr>
                  <w:rPr>
                    <w:rFonts w:ascii="Cambria Math" w:hAnsi="Cambria Math"/>
                  </w:rPr>
                </m:ctrlPr>
              </m:dPr>
              <m:e>
                <m:r>
                  <m:rPr/>
                  <w:rPr>
                    <w:rFonts w:ascii="Cambria Math"/>
                  </w:rPr>
                  <m:t>P(x),A(x),D(x)</m:t>
                </m:r>
                <m:ctrlPr>
                  <w:rPr>
                    <w:rFonts w:ascii="Cambria Math" w:hAnsi="Cambria Math"/>
                  </w:rPr>
                </m:ctrlPr>
              </m:e>
            </m:d>
            <m:ctrlPr>
              <w:rPr>
                <w:rFonts w:ascii="Cambria Math" w:hAnsi="Cambria Math"/>
              </w:rPr>
            </m:ctrlPr>
          </m:e>
        </m:func>
      </m:oMath>
      <w:r>
        <w:t xml:space="preserve">，满足精度约束 </w:t>
      </w:r>
      <m:oMath>
        <m:r>
          <m:rPr/>
          <w:rPr>
            <w:rFonts w:ascii="Cambria Math"/>
          </w:rPr>
          <m:t>Accuracy(x)≥τ</m:t>
        </m:r>
      </m:oMath>
      <w:r>
        <w:t>。当前平台分别组织乘法器与SRAM两类探索，在各自任务内先检查硬约束，再比较PPA与Pareto关系；跨电路配对到同一PE的联合目标评价作为后续扩展，不将两类独立任务相加视为已完成联合寻优。</w:t>
      </w:r>
    </w:p>
    <w:p w14:paraId="666CBA30">
      <w:pPr>
        <w:widowControl/>
        <w:spacing w:line="360" w:lineRule="exact"/>
        <w:ind w:firstLine="420"/>
        <w:rPr>
          <w:rFonts w:hint="eastAsia"/>
        </w:rPr>
        <w:snapToGrid w:val="0"/>
      </w:pPr>
      <w:r>
        <w:rPr>
          <w:rFonts w:cs="宋体"/>
        </w:rPr>
        <w:t>平台按ACCO思路组织架构选点、入选实测和固定架构的器件复验，支持LLM、随机与NSGA-II等已适配策略。参考PE后端以单独任务执行，器件级改动的收益需完成单元重新表征和系统回灌后再评价。阶段参数、父子关系、调用计数与实际结果均回传上层并归档。</w:t>
      </w:r>
      <w:r>
        <w:rPr>
          <w:rFonts w:cs="宋体"/>
        </w:rPr>
      </w:r>
      <w:r>
        <w:rPr>
          <w:rFonts w:cs="宋体"/>
        </w:rPr>
      </w:r>
    </w:p>
    <w:p w14:paraId="742FC3DD">
      <w:pPr>
        <w:widowControl/>
        <w:spacing w:line="360" w:lineRule="exact"/>
        <w:ind w:firstLine="420"/>
        <w:rPr>
          <w:rFonts w:hint="eastAsia"/>
        </w:rPr>
        <w:snapToGrid w:val="0"/>
      </w:pPr>
      <w:r>
        <w:rPr>
          <w:rFonts w:cs="宋体"/>
        </w:rPr>
        <w:t>本项目的架构搜索对照模块固定共同候选池、初始配置和物理评价条件，并将搜索种子与算术测试种子分开。在8位案例中，共同池含256项，每轮最多评价32个唯一架构、最多3项进入RTL/综合/STA复核；LLM、随机和NSGA-II在同一规则下比较。该模块属于助手新增的实验编排能力。[9，E2]</w:t>
      </w:r>
    </w:p>
    <w:p w14:paraId="6779DBDC">
      <w:pPr>
        <w:pStyle w:val="3"/>
        <w:spacing w:line="400" w:lineRule="exact"/>
        <w:rPr>
          <w:rFonts w:hint="eastAsia"/>
        </w:rPr>
        <w:keepNext/>
        <w:snapToGrid w:val="0"/>
      </w:pPr>
      <w:bookmarkStart w:id="18" w:name="_Toc244189573"/>
      <w:r>
        <w:rPr>
          <w:rFonts w:cs="宋体"/>
        </w:rPr>
        <w:t>（三）本地大模型设计智能体</w:t>
      </w:r>
      <w:bookmarkEnd w:id="18"/>
    </w:p>
    <w:p w14:paraId="48F47A63">
      <w:pPr>
        <w:widowControl/>
        <w:spacing w:line="360" w:lineRule="exact"/>
        <w:ind w:firstLine="420"/>
        <w:rPr>
          <w:rFonts w:hint="eastAsia" w:cs="宋体"/>
        </w:rPr>
        <w:snapToGrid w:val="0"/>
      </w:pPr>
      <w:r>
        <w:t>本项目采用本地部署的DeepSeek系列模型作为上层设计智能体，通过本地推理服务接入。模型接收用户需求、结构化设计上下文、适用的经验片段和工具反馈，输出任务操作、参数建议、合法菜单编号及结果解释；执行器据此调用底层工具，并按模板生成任务所需的配置与辅助文件。</w:t>
      </w:r>
    </w:p>
    <w:p w14:paraId="6607FE48">
      <w:pPr>
        <w:widowControl/>
        <w:spacing w:line="360" w:lineRule="exact"/>
        <w:ind w:firstLine="420"/>
        <w:rPr>
          <w:rFonts w:hint="eastAsia"/>
        </w:rPr>
        <w:snapToGrid w:val="0"/>
      </w:pPr>
      <w:r>
        <w:rPr>
          <w:rFonts w:cs="宋体"/>
        </w:rPr>
        <w:t>本地部署使电路源码、网表和实验记录可以保留在本机。模型的中文理解和代码理解能力用于需求映射、流程规划、候选选择与反馈解释；实际Python、Shell、Tcl、SPICE测试文件由受控执行器依照已校验字段生成。模型接口和经验存储相互独立，符合结构化输出要求的其他本地模型可以复用同一工作流。</w:t>
      </w:r>
    </w:p>
    <w:p w14:paraId="5BB2F396">
      <w:pPr>
        <w:widowControl/>
        <w:spacing w:line="360" w:lineRule="exact"/>
        <w:ind w:firstLine="420"/>
        <w:rPr>
          <w:rFonts w:hint="eastAsia"/>
        </w:rPr>
        <w:snapToGrid w:val="0"/>
      </w:pPr>
      <w:r>
        <w:rPr>
          <w:rFonts w:cs="宋体"/>
        </w:rPr>
        <w:t>大模型只负责需求理解、流程规划和辅助生成。字段类型、参数范围、单位和约束关系由确定性程序检查，最终结果由真实EDA工具验证。</w:t>
      </w:r>
    </w:p>
    <w:p w14:paraId="7B379CC0">
      <w:pPr>
        <w:widowControl/>
        <w:spacing w:line="360" w:lineRule="exact"/>
        <w:ind w:firstLine="420"/>
        <w:rPr>
          <w:rFonts w:hint="eastAsia"/>
        </w:rPr>
        <w:snapToGrid w:val="0"/>
      </w:pPr>
      <w:r>
        <w:rPr>
          <w:rFonts w:cs="宋体"/>
        </w:rPr>
        <w:t>平台将能力咨询、参数解释、设计修改、自由探索、结果分析和下一轮实验组织为连续设计对话。用户可以先咨询指标，再提出目标与预算，随后围绕已测配置调整条件；明确字段写入结构化状态，任务结果及下一步建议直接返回终端。当前入口仍需通过原话多轮验收持续改善，示例通过不等于任意表达都已覆盖。</w:t>
      </w:r>
    </w:p>
    <w:p w14:paraId="1F857B19">
      <w:pPr>
        <w:widowControl/>
        <w:spacing w:line="360" w:lineRule="exact"/>
        <w:ind w:firstLine="420"/>
        <w:rPr>
          <w:rFonts w:hint="eastAsia"/>
        </w:rPr>
        <w:snapToGrid w:val="0"/>
      </w:pPr>
      <w:r>
        <w:rPr>
          <w:rFonts w:cs="宋体"/>
        </w:rPr>
        <w:t>16×8精确DCiM案例从自然语言指定电路规模、输入穷举、10ns时钟和时序验收要求，随后形成配置并完成实际执行。该案例将语言交互、参数检查和EDA流程串联为可复现的完整任务，体现了本地模型在电路工具编排中的作用。[9，E6]</w:t>
      </w:r>
    </w:p>
    <w:p w14:paraId="5ED01F9C">
      <w:pPr>
        <w:pStyle w:val="3"/>
        <w:spacing w:line="400" w:lineRule="exact"/>
        <w:rPr>
          <w:rFonts w:hint="eastAsia"/>
        </w:rPr>
        <w:keepNext/>
        <w:snapToGrid w:val="0"/>
      </w:pPr>
      <w:bookmarkStart w:id="19" w:name="_Toc244189574"/>
      <w:r>
        <w:rPr>
          <w:rFonts w:cs="宋体"/>
        </w:rPr>
        <w:t>（四）设计数据与经验管理</w:t>
      </w:r>
      <w:bookmarkEnd w:id="19"/>
    </w:p>
    <w:p w14:paraId="71597FFB">
      <w:pPr>
        <w:widowControl/>
        <w:spacing w:line="360" w:lineRule="exact"/>
        <w:ind w:firstLine="420"/>
        <w:rPr>
          <w:rFonts w:hint="eastAsia"/>
        </w:rPr>
        <w:snapToGrid w:val="0"/>
      </w:pPr>
      <w:r>
        <w:rPr>
          <w:rFonts w:cs="宋体"/>
        </w:rPr>
        <w:t>系统以SQLite索引和标准JSON/JSONL建立本地持久经验库，保存完整配置、测试范围、指标、失败分类、工具指纹与证据位置。检索区分同评价条件和仅供参考的历史；适配的规划及局部探索入口可将同范围历史配置加入候选并重新实测，避免将旧数值直接当作新条件下的验收结果。</w:t>
      </w:r>
    </w:p>
    <w:p w14:paraId="118FB7FF">
      <w:pPr>
        <w:widowControl/>
        <w:spacing w:line="360" w:lineRule="exact"/>
        <w:ind w:firstLine="420"/>
        <w:rPr>
          <w:rFonts w:hint="eastAsia"/>
        </w:rPr>
        <w:snapToGrid w:val="0"/>
      </w:pPr>
      <w:r>
        <w:rPr>
          <w:rFonts w:cs="宋体"/>
        </w:rPr>
        <w:t>目前系统已接入50000组不重复的8位近似乘法器配置，每组数据包含9个压缩器位置及相应的MRED、NMED、面积、时延和功耗标签。这些数据可用于模型评价、候选检索和参数范围分析。</w:t>
      </w:r>
    </w:p>
    <w:p w14:paraId="51927632">
      <w:pPr>
        <w:widowControl/>
        <w:spacing w:line="360" w:lineRule="exact"/>
        <w:ind w:firstLine="420"/>
        <w:rPr>
          <w:rFonts w:hint="eastAsia"/>
        </w:rPr>
        <w:snapToGrid w:val="0"/>
      </w:pPr>
      <w:r>
        <w:rPr>
          <w:rFonts w:cs="宋体"/>
        </w:rPr>
        <w:t>公开配置与标签保存在datasets，实际运行观测保存在experience，两者分别标记来源。经验跨会话保留，标准JSON/JSONL支持导出、导入和模型更换；积累记录与检索增强不自动修改模型权重。正式架构方法对照默认不注入持久经验，经验开关的配对消融仍需独立实现与验证。</w:t>
      </w:r>
    </w:p>
    <w:p w14:paraId="7ACD3DB8">
      <w:pPr>
        <w:pStyle w:val="3"/>
        <w:spacing w:line="400" w:lineRule="exact"/>
        <w:rPr>
          <w:rFonts w:hint="eastAsia"/>
        </w:rPr>
        <w:keepNext/>
        <w:snapToGrid w:val="0"/>
      </w:pPr>
      <w:bookmarkStart w:id="20" w:name="_Toc244189575"/>
      <w:r>
        <w:rPr>
          <w:rFonts w:cs="宋体"/>
        </w:rPr>
        <w:t>（五）AI与EDA工具协同环境</w:t>
      </w:r>
      <w:bookmarkEnd w:id="20"/>
    </w:p>
    <w:p w14:paraId="2EC5A8B7">
      <w:pPr>
        <w:pStyle w:val="14"/>
        <w:keepNext/>
        <w:spacing w:before="100" w:after="140" w:line="280" w:lineRule="exact"/>
        <w:jc w:val="center"/>
        <w:rPr>
          <w:rFonts w:hint="eastAsia"/>
        </w:rPr>
        <w:snapToGrid w:val="0"/>
      </w:pPr>
      <w:r>
        <w:t>表1  主要工具及功能分工</w:t>
      </w:r>
    </w:p>
    <w:tbl>
      <w:tblPr>
        <w:tblStyle w:val="10"/>
        <w:tblW w:w="844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85" w:type="dxa"/>
          <w:bottom w:w="85" w:type="dxa"/>
          <w:right w:w="85" w:type="dxa"/>
        </w:tblCellMar>
      </w:tblPr>
      <w:tblGrid>
        <w:gridCol w:w="2268"/>
        <w:gridCol w:w="2891"/>
        <w:gridCol w:w="3288"/>
      </w:tblGrid>
      <w:tr w14:paraId="5B1EEB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tblHeader/>
          <w:jc w:val="center"/>
        </w:trPr>
        <w:tc>
          <w:tcPr>
            <w:tcW w:w="2268" w:type="dxa"/>
            <w:tcBorders>
              <w:top w:val="single" w:color="000000" w:sz="12" w:space="0"/>
              <w:left w:val="nil"/>
              <w:bottom w:val="single" w:color="000000" w:sz="4" w:space="0"/>
              <w:right w:val="nil"/>
              <w:tl2br w:val="nil"/>
            </w:tcBorders>
            <w:shd w:val="clear" w:color="auto" w:fill="FFFFFF"/>
            <w:vAlign w:val="center"/>
          </w:tcPr>
          <w:p w14:paraId="6FE64B78">
            <w:pPr>
              <w:keepNext/>
              <w:spacing w:before="40" w:after="40" w:line="252" w:lineRule="auto"/>
              <w:ind w:left="0" w:leftChars="0" w:firstLine="0" w:firstLineChars="0"/>
              <w:rPr>
                <w:rFonts w:hint="eastAsia"/>
                <w:b w:val="0"/>
              </w:rPr>
              <w:snapToGrid w:val="0"/>
            </w:pPr>
            <w:r>
              <w:rPr>
                <w:rFonts w:cs="宋体"/>
                <w:b w:val="0"/>
                <w:sz w:val="21"/>
              </w:rPr>
              <w:t>工具或技术</w:t>
            </w:r>
          </w:p>
        </w:tc>
        <w:tc>
          <w:tcPr>
            <w:tcW w:w="2891" w:type="dxa"/>
            <w:tcBorders>
              <w:top w:val="single" w:color="000000" w:sz="12" w:space="0"/>
              <w:left w:val="nil"/>
              <w:bottom w:val="single" w:color="000000" w:sz="4" w:space="0"/>
              <w:right w:val="nil"/>
            </w:tcBorders>
            <w:shd w:val="clear" w:color="auto" w:fill="FFFFFF"/>
            <w:vAlign w:val="center"/>
          </w:tcPr>
          <w:p w14:paraId="70EA365F">
            <w:pPr>
              <w:keepNext/>
              <w:spacing w:before="40" w:after="40" w:line="252" w:lineRule="auto"/>
              <w:jc w:val="both"/>
              <w:rPr>
                <w:rFonts w:hint="eastAsia"/>
                <w:b w:val="0"/>
              </w:rPr>
              <w:snapToGrid w:val="0"/>
            </w:pPr>
            <w:r>
              <w:rPr>
                <w:rFonts w:cs="宋体"/>
                <w:b w:val="0"/>
                <w:sz w:val="21"/>
              </w:rPr>
              <w:t>主要功能</w:t>
            </w:r>
          </w:p>
        </w:tc>
        <w:tc>
          <w:tcPr>
            <w:tcW w:w="3288" w:type="dxa"/>
            <w:tcBorders>
              <w:top w:val="single" w:color="000000" w:sz="12" w:space="0"/>
              <w:left w:val="nil"/>
              <w:bottom w:val="single" w:color="000000" w:sz="4" w:space="0"/>
              <w:right w:val="nil"/>
            </w:tcBorders>
            <w:shd w:val="clear" w:color="auto" w:fill="FFFFFF"/>
            <w:vAlign w:val="center"/>
          </w:tcPr>
          <w:p w14:paraId="6434DD69">
            <w:pPr>
              <w:keepNext/>
              <w:spacing w:before="40" w:after="40" w:line="252" w:lineRule="auto"/>
              <w:jc w:val="both"/>
              <w:rPr>
                <w:rFonts w:hint="eastAsia"/>
                <w:b w:val="0"/>
              </w:rPr>
              <w:snapToGrid w:val="0"/>
            </w:pPr>
            <w:r>
              <w:rPr>
                <w:rFonts w:cs="宋体"/>
                <w:b w:val="0"/>
                <w:sz w:val="21"/>
              </w:rPr>
              <w:t>平台中的作用</w:t>
            </w:r>
          </w:p>
        </w:tc>
      </w:tr>
      <w:tr w14:paraId="474D14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2268" w:type="dxa"/>
            <w:tcBorders>
              <w:top w:val="single" w:color="000000" w:sz="4" w:space="0"/>
              <w:left w:val="nil"/>
              <w:bottom w:val="nil"/>
              <w:right w:val="nil"/>
            </w:tcBorders>
            <w:shd w:val="clear" w:color="auto" w:fill="FFFFFF"/>
            <w:vAlign w:val="center"/>
          </w:tcPr>
          <w:p w14:paraId="4C40257E">
            <w:pPr>
              <w:spacing w:before="40" w:after="40" w:line="252" w:lineRule="auto"/>
              <w:ind w:left="0" w:leftChars="0" w:firstLine="0" w:firstLineChars="0"/>
              <w:rPr>
                <w:rFonts w:hint="eastAsia"/>
                <w:b w:val="0"/>
              </w:rPr>
              <w:snapToGrid w:val="0"/>
            </w:pPr>
            <w:r>
              <w:rPr>
                <w:rFonts w:cs="宋体"/>
                <w:b w:val="0"/>
                <w:sz w:val="21"/>
              </w:rPr>
              <w:t>本地DeepSeek模型</w:t>
            </w:r>
          </w:p>
        </w:tc>
        <w:tc>
          <w:tcPr>
            <w:tcW w:w="2891" w:type="dxa"/>
            <w:tcBorders>
              <w:top w:val="single" w:color="000000" w:sz="4" w:space="0"/>
              <w:left w:val="nil"/>
              <w:bottom w:val="nil"/>
              <w:right w:val="nil"/>
            </w:tcBorders>
            <w:shd w:val="clear" w:color="auto" w:fill="FFFFFF"/>
            <w:vAlign w:val="center"/>
          </w:tcPr>
          <w:p w14:paraId="53EB2A5D">
            <w:pPr>
              <w:spacing w:before="40" w:after="40" w:line="252" w:lineRule="auto"/>
              <w:jc w:val="both"/>
              <w:rPr>
                <w:rFonts w:hint="eastAsia"/>
                <w:b w:val="0"/>
              </w:rPr>
              <w:snapToGrid w:val="0"/>
            </w:pPr>
            <w:r>
              <w:rPr>
                <w:rFonts w:cs="宋体"/>
                <w:b w:val="0"/>
                <w:sz w:val="21"/>
              </w:rPr>
              <w:t>需求理解与任务规划</w:t>
            </w:r>
          </w:p>
        </w:tc>
        <w:tc>
          <w:tcPr>
            <w:tcW w:w="3288" w:type="dxa"/>
            <w:tcBorders>
              <w:top w:val="single" w:color="000000" w:sz="4" w:space="0"/>
              <w:left w:val="nil"/>
              <w:bottom w:val="nil"/>
              <w:right w:val="nil"/>
            </w:tcBorders>
            <w:shd w:val="clear" w:color="auto" w:fill="FFFFFF"/>
            <w:vAlign w:val="center"/>
          </w:tcPr>
          <w:p w14:paraId="7FC51895">
            <w:pPr>
              <w:spacing w:before="40" w:after="40" w:line="252" w:lineRule="auto"/>
              <w:ind w:firstLine="0"/>
              <w:jc w:val="both"/>
              <w:rPr>
                <w:rFonts w:hint="eastAsia"/>
                <w:b w:val="0"/>
              </w:rPr>
              <w:snapToGrid w:val="0"/>
            </w:pPr>
            <w:r>
              <w:rPr>
                <w:rFonts w:cs="宋体"/>
                <w:b w:val="0"/>
                <w:sz w:val="21"/>
              </w:rPr>
              <w:t>生成结构化配置和执行计划</w:t>
            </w:r>
          </w:p>
        </w:tc>
      </w:tr>
      <w:tr w14:paraId="527E7EE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2268" w:type="dxa"/>
            <w:tcBorders>
              <w:top w:val="nil"/>
              <w:left w:val="nil"/>
              <w:bottom w:val="nil"/>
              <w:right w:val="nil"/>
            </w:tcBorders>
            <w:shd w:val="clear" w:color="auto" w:fill="FFFFFF"/>
            <w:vAlign w:val="center"/>
          </w:tcPr>
          <w:p w14:paraId="73155CA8">
            <w:pPr>
              <w:spacing w:before="40" w:after="40" w:line="252" w:lineRule="auto"/>
              <w:ind w:left="0" w:leftChars="0" w:firstLine="0" w:firstLineChars="0"/>
              <w:rPr>
                <w:rFonts w:hint="eastAsia"/>
                <w:b w:val="0"/>
              </w:rPr>
              <w:snapToGrid w:val="0"/>
            </w:pPr>
            <w:r>
              <w:rPr>
                <w:rFonts w:cs="宋体"/>
                <w:b w:val="0"/>
                <w:sz w:val="21"/>
              </w:rPr>
              <w:t>PEA-GNN</w:t>
            </w:r>
          </w:p>
        </w:tc>
        <w:tc>
          <w:tcPr>
            <w:tcW w:w="2891" w:type="dxa"/>
            <w:tcBorders>
              <w:top w:val="nil"/>
              <w:left w:val="nil"/>
              <w:bottom w:val="nil"/>
              <w:right w:val="nil"/>
            </w:tcBorders>
            <w:shd w:val="clear" w:color="auto" w:fill="FFFFFF"/>
            <w:vAlign w:val="center"/>
          </w:tcPr>
          <w:p w14:paraId="159088AD">
            <w:pPr>
              <w:spacing w:before="40" w:after="40" w:line="252" w:lineRule="auto"/>
              <w:jc w:val="both"/>
              <w:rPr>
                <w:rFonts w:hint="eastAsia"/>
                <w:b w:val="0"/>
              </w:rPr>
              <w:snapToGrid w:val="0"/>
            </w:pPr>
            <w:r>
              <w:rPr>
                <w:rFonts w:cs="宋体"/>
                <w:b w:val="0"/>
                <w:sz w:val="21"/>
              </w:rPr>
              <w:t>乘法器误差与PPA预测</w:t>
            </w:r>
          </w:p>
        </w:tc>
        <w:tc>
          <w:tcPr>
            <w:tcW w:w="3288" w:type="dxa"/>
            <w:tcBorders>
              <w:top w:val="nil"/>
              <w:left w:val="nil"/>
              <w:bottom w:val="nil"/>
              <w:right w:val="nil"/>
            </w:tcBorders>
            <w:shd w:val="clear" w:color="auto" w:fill="FFFFFF"/>
            <w:vAlign w:val="center"/>
          </w:tcPr>
          <w:p w14:paraId="64D82133">
            <w:pPr>
              <w:spacing w:before="40" w:after="40" w:line="252" w:lineRule="auto"/>
              <w:ind w:firstLine="0"/>
              <w:jc w:val="both"/>
              <w:rPr>
                <w:rFonts w:hint="eastAsia"/>
                <w:b w:val="0"/>
              </w:rPr>
              <w:snapToGrid w:val="0"/>
            </w:pPr>
            <w:r>
              <w:rPr>
                <w:rFonts w:cs="宋体"/>
                <w:b w:val="0"/>
                <w:sz w:val="21"/>
              </w:rPr>
              <w:t>压缩树候选评价与筛选</w:t>
            </w:r>
          </w:p>
        </w:tc>
      </w:tr>
      <w:tr w14:paraId="7F8162C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2268" w:type="dxa"/>
            <w:tcBorders>
              <w:top w:val="nil"/>
              <w:left w:val="nil"/>
              <w:bottom w:val="nil"/>
              <w:right w:val="nil"/>
            </w:tcBorders>
            <w:shd w:val="clear" w:color="auto" w:fill="FFFFFF"/>
            <w:vAlign w:val="center"/>
          </w:tcPr>
          <w:p>
            <w:pPr>
              <w:snapToGrid w:val="0"/>
            </w:pPr>
            <w:r>
              <w:t>TabPFN（扩展方向）</w:t>
            </w:r>
          </w:p>
        </w:tc>
        <w:tc>
          <w:tcPr>
            <w:tcW w:w="2891" w:type="dxa"/>
            <w:tcBorders>
              <w:top w:val="nil"/>
              <w:left w:val="nil"/>
              <w:bottom w:val="nil"/>
              <w:right w:val="nil"/>
            </w:tcBorders>
            <w:shd w:val="clear" w:color="auto" w:fill="FFFFFF"/>
            <w:vAlign w:val="center"/>
          </w:tcPr>
          <w:p>
            <w:pPr>
              <w:snapToGrid w:val="0"/>
            </w:pPr>
            <w:r>
              <w:t>SRAM表格代理预测</w:t>
            </w:r>
          </w:p>
        </w:tc>
        <w:tc>
          <w:tcPr>
            <w:tcW w:w="3288" w:type="dxa"/>
            <w:tcBorders>
              <w:top w:val="nil"/>
              <w:left w:val="nil"/>
              <w:bottom w:val="nil"/>
              <w:right w:val="nil"/>
            </w:tcBorders>
            <w:shd w:val="clear" w:color="auto" w:fill="FFFFFF"/>
            <w:vAlign w:val="center"/>
          </w:tcPr>
          <w:p>
            <w:pPr>
              <w:snapToGrid w:val="0"/>
            </w:pPr>
            <w:r>
              <w:t>后续适配；本次SRAM采用SPICE与bank估算</w:t>
            </w:r>
          </w:p>
        </w:tc>
      </w:tr>
      <w:tr w14:paraId="3B48E5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2268" w:type="dxa"/>
            <w:tcBorders>
              <w:top w:val="nil"/>
              <w:left w:val="nil"/>
              <w:bottom w:val="nil"/>
              <w:right w:val="nil"/>
            </w:tcBorders>
            <w:shd w:val="clear" w:color="auto" w:fill="FFFFFF"/>
            <w:vAlign w:val="center"/>
          </w:tcPr>
          <w:p>
            <w:pPr>
              <w:snapToGrid w:val="0"/>
            </w:pPr>
            <w:r>
              <w:t>LLM／随机／NSGA-II</w:t>
            </w:r>
          </w:p>
        </w:tc>
        <w:tc>
          <w:tcPr>
            <w:tcW w:w="2891" w:type="dxa"/>
            <w:tcBorders>
              <w:top w:val="nil"/>
              <w:left w:val="nil"/>
              <w:bottom w:val="nil"/>
              <w:right w:val="nil"/>
            </w:tcBorders>
            <w:shd w:val="clear" w:color="auto" w:fill="FFFFFF"/>
            <w:vAlign w:val="center"/>
          </w:tcPr>
          <w:p w14:paraId="17147B81">
            <w:pPr>
              <w:spacing w:before="40" w:after="40" w:line="252" w:lineRule="auto"/>
              <w:jc w:val="both"/>
              <w:rPr>
                <w:rFonts w:hint="eastAsia"/>
                <w:b w:val="0"/>
              </w:rPr>
              <w:snapToGrid w:val="0"/>
            </w:pPr>
            <w:r>
              <w:rPr>
                <w:rFonts w:cs="宋体"/>
                <w:b w:val="0"/>
                <w:sz w:val="21"/>
              </w:rPr>
              <w:t>候选采样与多目标搜索</w:t>
            </w:r>
          </w:p>
        </w:tc>
        <w:tc>
          <w:tcPr>
            <w:tcW w:w="3288" w:type="dxa"/>
            <w:tcBorders>
              <w:top w:val="nil"/>
              <w:left w:val="nil"/>
              <w:bottom w:val="nil"/>
              <w:right w:val="nil"/>
            </w:tcBorders>
            <w:shd w:val="clear" w:color="auto" w:fill="FFFFFF"/>
            <w:vAlign w:val="center"/>
          </w:tcPr>
          <w:p>
            <w:pPr>
              <w:snapToGrid w:val="0"/>
            </w:pPr>
            <w:r>
              <w:t>按阶段选择策略并进行公平方法对照</w:t>
            </w:r>
          </w:p>
        </w:tc>
      </w:tr>
      <w:tr w14:paraId="1A8CB1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2268" w:type="dxa"/>
            <w:tcBorders>
              <w:top w:val="nil"/>
              <w:left w:val="nil"/>
              <w:bottom w:val="nil"/>
              <w:right w:val="nil"/>
            </w:tcBorders>
            <w:shd w:val="clear" w:color="auto" w:fill="FFFFFF"/>
            <w:vAlign w:val="center"/>
          </w:tcPr>
          <w:p w14:paraId="7692EADB">
            <w:pPr>
              <w:spacing w:before="40" w:after="40" w:line="252" w:lineRule="auto"/>
              <w:ind w:left="0" w:leftChars="0" w:firstLine="0" w:firstLineChars="0"/>
              <w:rPr>
                <w:rFonts w:hint="eastAsia"/>
                <w:b w:val="0"/>
              </w:rPr>
              <w:snapToGrid w:val="0"/>
            </w:pPr>
            <w:r>
              <w:rPr>
                <w:rFonts w:cs="宋体"/>
                <w:b w:val="0"/>
                <w:sz w:val="21"/>
              </w:rPr>
              <w:t>SQLite与JSONL</w:t>
            </w:r>
          </w:p>
        </w:tc>
        <w:tc>
          <w:tcPr>
            <w:tcW w:w="2891" w:type="dxa"/>
            <w:tcBorders>
              <w:top w:val="nil"/>
              <w:left w:val="nil"/>
              <w:bottom w:val="nil"/>
              <w:right w:val="nil"/>
            </w:tcBorders>
            <w:shd w:val="clear" w:color="auto" w:fill="FFFFFF"/>
            <w:vAlign w:val="center"/>
          </w:tcPr>
          <w:p w14:paraId="7D48D2DC">
            <w:pPr>
              <w:spacing w:before="40" w:after="40" w:line="252" w:lineRule="auto"/>
              <w:ind w:firstLine="0"/>
              <w:jc w:val="both"/>
              <w:rPr>
                <w:rFonts w:hint="eastAsia"/>
                <w:b w:val="0"/>
              </w:rPr>
              <w:snapToGrid w:val="0"/>
            </w:pPr>
            <w:r>
              <w:rPr>
                <w:rFonts w:cs="宋体"/>
                <w:b w:val="0"/>
                <w:sz w:val="21"/>
              </w:rPr>
              <w:t>本地数据与经验管理</w:t>
            </w:r>
          </w:p>
        </w:tc>
        <w:tc>
          <w:tcPr>
            <w:tcW w:w="3288" w:type="dxa"/>
            <w:tcBorders>
              <w:top w:val="nil"/>
              <w:left w:val="nil"/>
              <w:bottom w:val="nil"/>
              <w:right w:val="nil"/>
            </w:tcBorders>
            <w:shd w:val="clear" w:color="auto" w:fill="FFFFFF"/>
            <w:vAlign w:val="center"/>
          </w:tcPr>
          <w:p w14:paraId="6DCE3323">
            <w:pPr>
              <w:spacing w:before="40" w:after="40" w:line="252" w:lineRule="auto"/>
              <w:ind w:firstLine="0"/>
              <w:jc w:val="both"/>
              <w:rPr>
                <w:rFonts w:hint="eastAsia"/>
                <w:b w:val="0"/>
              </w:rPr>
              <w:snapToGrid w:val="0"/>
            </w:pPr>
            <w:r>
              <w:rPr>
                <w:rFonts w:cs="宋体"/>
                <w:b w:val="0"/>
                <w:sz w:val="21"/>
              </w:rPr>
              <w:t>保存配置、指标及任务索引</w:t>
            </w:r>
          </w:p>
        </w:tc>
      </w:tr>
      <w:tr w14:paraId="09A78E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2268" w:type="dxa"/>
            <w:tcBorders>
              <w:top w:val="nil"/>
              <w:left w:val="nil"/>
              <w:bottom w:val="nil"/>
              <w:right w:val="nil"/>
            </w:tcBorders>
            <w:shd w:val="clear" w:color="auto" w:fill="FFFFFF"/>
            <w:vAlign w:val="center"/>
          </w:tcPr>
          <w:p w14:paraId="22783DD0">
            <w:pPr>
              <w:spacing w:before="40" w:after="40" w:line="252" w:lineRule="auto"/>
              <w:ind w:left="0" w:leftChars="0" w:firstLine="0" w:firstLineChars="0"/>
              <w:rPr>
                <w:rFonts w:hint="eastAsia"/>
                <w:b w:val="0"/>
              </w:rPr>
              <w:snapToGrid w:val="0"/>
            </w:pPr>
            <w:r>
              <w:rPr>
                <w:rFonts w:cs="宋体"/>
                <w:b w:val="0"/>
                <w:sz w:val="21"/>
              </w:rPr>
              <w:t>RTL、综合与STA工具</w:t>
            </w:r>
          </w:p>
        </w:tc>
        <w:tc>
          <w:tcPr>
            <w:tcW w:w="2891" w:type="dxa"/>
            <w:tcBorders>
              <w:top w:val="nil"/>
              <w:left w:val="nil"/>
              <w:bottom w:val="nil"/>
              <w:right w:val="nil"/>
            </w:tcBorders>
            <w:shd w:val="clear" w:color="auto" w:fill="FFFFFF"/>
            <w:vAlign w:val="center"/>
          </w:tcPr>
          <w:p w14:paraId="79E8276E">
            <w:pPr>
              <w:spacing w:before="40" w:after="40" w:line="252" w:lineRule="auto"/>
              <w:jc w:val="both"/>
              <w:rPr>
                <w:rFonts w:hint="eastAsia"/>
                <w:b w:val="0"/>
              </w:rPr>
              <w:snapToGrid w:val="0"/>
            </w:pPr>
            <w:r>
              <w:rPr>
                <w:rFonts w:cs="宋体"/>
                <w:b w:val="0"/>
                <w:sz w:val="21"/>
              </w:rPr>
              <w:t>功能、误差和时序评价</w:t>
            </w:r>
          </w:p>
        </w:tc>
        <w:tc>
          <w:tcPr>
            <w:tcW w:w="3288" w:type="dxa"/>
            <w:tcBorders>
              <w:top w:val="nil"/>
              <w:left w:val="nil"/>
              <w:bottom w:val="nil"/>
              <w:right w:val="nil"/>
            </w:tcBorders>
            <w:shd w:val="clear" w:color="auto" w:fill="FFFFFF"/>
            <w:vAlign w:val="center"/>
          </w:tcPr>
          <w:p w14:paraId="5A3DA31E">
            <w:pPr>
              <w:spacing w:before="40" w:after="40" w:line="252" w:lineRule="auto"/>
              <w:jc w:val="both"/>
              <w:rPr>
                <w:rFonts w:hint="eastAsia"/>
                <w:b w:val="0"/>
              </w:rPr>
              <w:snapToGrid w:val="0"/>
            </w:pPr>
            <w:r>
              <w:rPr>
                <w:rFonts w:cs="宋体"/>
                <w:b w:val="0"/>
                <w:sz w:val="21"/>
              </w:rPr>
              <w:t>形成乘法器与处理单元报告</w:t>
            </w:r>
          </w:p>
        </w:tc>
      </w:tr>
      <w:tr w14:paraId="38D029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2268" w:type="dxa"/>
            <w:tcBorders>
              <w:top w:val="nil"/>
              <w:left w:val="nil"/>
              <w:bottom w:val="nil"/>
              <w:right w:val="nil"/>
            </w:tcBorders>
            <w:shd w:val="clear" w:color="auto" w:fill="FFFFFF"/>
            <w:vAlign w:val="center"/>
          </w:tcPr>
          <w:p w14:paraId="7C25589F">
            <w:pPr>
              <w:spacing w:before="40" w:after="40" w:line="252" w:lineRule="auto"/>
              <w:ind w:left="0" w:leftChars="0" w:firstLine="0" w:firstLineChars="0"/>
              <w:rPr>
                <w:rFonts w:hint="eastAsia"/>
                <w:b w:val="0"/>
              </w:rPr>
              <w:snapToGrid w:val="0"/>
            </w:pPr>
            <w:r>
              <w:rPr>
                <w:rFonts w:cs="宋体"/>
                <w:b w:val="0"/>
                <w:sz w:val="21"/>
              </w:rPr>
              <w:t>SPICE</w:t>
            </w:r>
          </w:p>
        </w:tc>
        <w:tc>
          <w:tcPr>
            <w:tcW w:w="2891" w:type="dxa"/>
            <w:tcBorders>
              <w:top w:val="nil"/>
              <w:left w:val="nil"/>
              <w:bottom w:val="nil"/>
              <w:right w:val="nil"/>
            </w:tcBorders>
            <w:shd w:val="clear" w:color="auto" w:fill="FFFFFF"/>
            <w:vAlign w:val="center"/>
          </w:tcPr>
          <w:p w14:paraId="3FC5CE5D">
            <w:pPr>
              <w:spacing w:before="40" w:after="40" w:line="252" w:lineRule="auto"/>
              <w:jc w:val="both"/>
              <w:rPr>
                <w:rFonts w:hint="eastAsia"/>
                <w:b w:val="0"/>
              </w:rPr>
              <w:snapToGrid w:val="0"/>
            </w:pPr>
            <w:r>
              <w:rPr>
                <w:rFonts w:cs="宋体"/>
                <w:b w:val="0"/>
                <w:sz w:val="21"/>
              </w:rPr>
              <w:t>读写与噪声容限评价</w:t>
            </w:r>
          </w:p>
        </w:tc>
        <w:tc>
          <w:tcPr>
            <w:tcW w:w="3288" w:type="dxa"/>
            <w:tcBorders>
              <w:top w:val="nil"/>
              <w:left w:val="nil"/>
              <w:bottom w:val="nil"/>
              <w:right w:val="nil"/>
            </w:tcBorders>
            <w:shd w:val="clear" w:color="auto" w:fill="FFFFFF"/>
            <w:vAlign w:val="center"/>
          </w:tcPr>
          <w:p w14:paraId="228A9057">
            <w:pPr>
              <w:spacing w:before="40" w:after="40" w:line="252" w:lineRule="auto"/>
              <w:jc w:val="both"/>
              <w:rPr>
                <w:rFonts w:hint="eastAsia"/>
                <w:b w:val="0"/>
              </w:rPr>
              <w:snapToGrid w:val="0"/>
            </w:pPr>
            <w:r>
              <w:rPr>
                <w:rFonts w:cs="宋体"/>
                <w:b w:val="0"/>
                <w:sz w:val="21"/>
              </w:rPr>
              <w:t>形成SRAM阵列级仿真数据</w:t>
            </w:r>
          </w:p>
        </w:tc>
      </w:tr>
      <w:tr w14:paraId="122DEB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2268" w:type="dxa"/>
            <w:tcBorders>
              <w:top w:val="nil"/>
              <w:left w:val="nil"/>
              <w:bottom w:val="single" w:color="000000" w:sz="12" w:space="0"/>
              <w:right w:val="nil"/>
            </w:tcBorders>
            <w:shd w:val="clear" w:color="auto" w:fill="FFFFFF"/>
            <w:vAlign w:val="center"/>
          </w:tcPr>
          <w:p w14:paraId="24C89FCE">
            <w:pPr>
              <w:spacing w:before="40" w:after="40" w:line="252" w:lineRule="auto"/>
              <w:ind w:left="0" w:leftChars="0" w:firstLine="0" w:firstLineChars="0"/>
              <w:rPr>
                <w:rFonts w:hint="eastAsia"/>
                <w:b w:val="0"/>
              </w:rPr>
              <w:snapToGrid w:val="0"/>
            </w:pPr>
            <w:r>
              <w:rPr>
                <w:rFonts w:cs="宋体"/>
                <w:b w:val="0"/>
                <w:sz w:val="21"/>
              </w:rPr>
              <w:t>OpenROAD</w:t>
            </w:r>
          </w:p>
        </w:tc>
        <w:tc>
          <w:tcPr>
            <w:tcW w:w="2891" w:type="dxa"/>
            <w:tcBorders>
              <w:top w:val="nil"/>
              <w:left w:val="nil"/>
              <w:bottom w:val="single" w:color="000000" w:sz="12" w:space="0"/>
              <w:right w:val="nil"/>
            </w:tcBorders>
            <w:shd w:val="clear" w:color="auto" w:fill="FFFFFF"/>
            <w:vAlign w:val="center"/>
          </w:tcPr>
          <w:p w14:paraId="3FA7705C">
            <w:pPr>
              <w:spacing w:before="40" w:after="40" w:line="252" w:lineRule="auto"/>
              <w:jc w:val="both"/>
              <w:rPr>
                <w:rFonts w:hint="eastAsia"/>
                <w:b w:val="0"/>
              </w:rPr>
              <w:snapToGrid w:val="0"/>
            </w:pPr>
            <w:r>
              <w:rPr>
                <w:rFonts w:cs="宋体"/>
                <w:b w:val="0"/>
                <w:sz w:val="21"/>
              </w:rPr>
              <w:t>数字物理后端</w:t>
            </w:r>
          </w:p>
        </w:tc>
        <w:tc>
          <w:tcPr>
            <w:tcW w:w="3288" w:type="dxa"/>
            <w:tcBorders>
              <w:top w:val="nil"/>
              <w:left w:val="nil"/>
              <w:bottom w:val="single" w:color="000000" w:sz="12" w:space="0"/>
              <w:right w:val="nil"/>
            </w:tcBorders>
            <w:shd w:val="clear" w:color="auto" w:fill="FFFFFF"/>
            <w:vAlign w:val="center"/>
          </w:tcPr>
          <w:p w14:paraId="158E610D">
            <w:pPr>
              <w:spacing w:before="40" w:after="40" w:line="252" w:lineRule="auto"/>
              <w:jc w:val="both"/>
              <w:rPr>
                <w:rFonts w:hint="eastAsia"/>
                <w:b w:val="0"/>
              </w:rPr>
              <w:snapToGrid w:val="0"/>
            </w:pPr>
            <w:r>
              <w:rPr>
                <w:rFonts w:cs="宋体"/>
                <w:b w:val="0"/>
                <w:sz w:val="21"/>
              </w:rPr>
              <w:t>完成布局布线及后端分析</w:t>
            </w:r>
          </w:p>
        </w:tc>
      </w:tr>
    </w:tbl>
    <w:p w14:paraId="06A57F5D">
      <w:pPr>
        <w:spacing w:after="0"/>
        <w:rPr>
          <w:rFonts w:hint="eastAsia"/>
        </w:rPr>
        <w:snapToGrid w:val="0"/>
      </w:pPr>
    </w:p>
    <w:p w14:paraId="1613D938">
      <w:pPr>
        <w:pStyle w:val="3"/>
        <w:spacing w:line="400" w:lineRule="exact"/>
        <w:rPr>
          <w:rFonts w:hint="eastAsia"/>
        </w:rPr>
        <w:keepNext/>
        <w:snapToGrid w:val="0"/>
      </w:pPr>
      <w:bookmarkStart w:id="21" w:name="_Toc244189576"/>
      <w:r>
        <w:rPr>
          <w:rFonts w:cs="宋体"/>
        </w:rPr>
        <w:t>（六）产品功能与技术指标</w:t>
      </w:r>
      <w:bookmarkEnd w:id="21"/>
    </w:p>
    <w:p w14:paraId="1281094C">
      <w:pPr>
        <w:widowControl/>
        <w:spacing w:line="360" w:lineRule="exact"/>
        <w:ind w:firstLine="420"/>
        <w:rPr>
          <w:rFonts w:hint="eastAsia"/>
        </w:rPr>
        <w:snapToGrid w:val="0"/>
      </w:pPr>
      <w:r>
        <w:rPr>
          <w:rFonts w:cs="宋体"/>
        </w:rPr>
        <w:t>OpenACM-Assistant的特色能力包括目标驱动的自由探索、连续设计对话、架构—器件两级任务编排、可替换的候选选择策略、跨模型持久经验，以及原始程序只读的任务级生成与执行。用户提交需求后，平台按预算推进候选评价，并把可行配置、Pareto关系、未达标项和工具失败汇总为可追溯结果。</w:t>
      </w:r>
    </w:p>
    <w:p w14:paraId="7B4E54D0">
      <w:pPr>
        <w:pStyle w:val="14"/>
        <w:keepNext/>
        <w:spacing w:before="100" w:after="140" w:line="280" w:lineRule="exact"/>
        <w:jc w:val="center"/>
        <w:rPr>
          <w:rFonts w:hint="eastAsia"/>
        </w:rPr>
        <w:snapToGrid w:val="0"/>
      </w:pPr>
      <w:r>
        <w:t>表2  已完成验证的代表性指标</w:t>
      </w:r>
    </w:p>
    <w:tbl>
      <w:tblPr>
        <w:tblStyle w:val="10"/>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85" w:type="dxa"/>
          <w:bottom w:w="85" w:type="dxa"/>
          <w:right w:w="85" w:type="dxa"/>
        </w:tblCellMar>
      </w:tblPr>
      <w:tblGrid>
        <w:gridCol w:w="2381"/>
        <w:gridCol w:w="2551"/>
        <w:gridCol w:w="3572"/>
      </w:tblGrid>
      <w:tr w14:paraId="5B6F25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tblHeader/>
          <w:jc w:val="center"/>
        </w:trPr>
        <w:tc>
          <w:tcPr>
            <w:tcW w:w="2381" w:type="dxa"/>
            <w:tcBorders>
              <w:top w:val="single" w:color="000000" w:sz="12" w:space="0"/>
              <w:left w:val="nil"/>
              <w:bottom w:val="single" w:color="000000" w:sz="4" w:space="0"/>
              <w:right w:val="nil"/>
              <w:tl2br w:val="nil"/>
            </w:tcBorders>
            <w:shd w:val="clear" w:color="auto" w:fill="FFFFFF"/>
            <w:vAlign w:val="center"/>
          </w:tcPr>
          <w:p w14:paraId="0718B636">
            <w:pPr>
              <w:keepNext/>
              <w:spacing w:before="40" w:after="40" w:line="252" w:lineRule="auto"/>
              <w:ind w:left="0" w:leftChars="0" w:firstLine="0" w:firstLineChars="0"/>
              <w:rPr>
                <w:rFonts w:hint="eastAsia"/>
                <w:b w:val="0"/>
              </w:rPr>
              <w:snapToGrid w:val="0"/>
            </w:pPr>
            <w:r>
              <w:rPr>
                <w:rFonts w:cs="宋体"/>
                <w:b w:val="0"/>
                <w:sz w:val="21"/>
              </w:rPr>
              <w:t>验证项目</w:t>
            </w:r>
          </w:p>
        </w:tc>
        <w:tc>
          <w:tcPr>
            <w:tcW w:w="2551" w:type="dxa"/>
            <w:tcBorders>
              <w:top w:val="single" w:color="000000" w:sz="12" w:space="0"/>
              <w:left w:val="nil"/>
              <w:bottom w:val="single" w:color="000000" w:sz="4" w:space="0"/>
              <w:right w:val="nil"/>
            </w:tcBorders>
            <w:shd w:val="clear" w:color="auto" w:fill="FFFFFF"/>
            <w:vAlign w:val="center"/>
          </w:tcPr>
          <w:p w14:paraId="5A12F8D4">
            <w:pPr>
              <w:keepNext/>
              <w:spacing w:before="40" w:after="40" w:line="252" w:lineRule="auto"/>
              <w:jc w:val="both"/>
              <w:rPr>
                <w:rFonts w:hint="eastAsia"/>
                <w:b w:val="0"/>
              </w:rPr>
              <w:snapToGrid w:val="0"/>
            </w:pPr>
            <w:r>
              <w:rPr>
                <w:rFonts w:cs="宋体"/>
                <w:b w:val="0"/>
                <w:sz w:val="21"/>
              </w:rPr>
              <w:t>结果</w:t>
            </w:r>
          </w:p>
        </w:tc>
        <w:tc>
          <w:tcPr>
            <w:tcW w:w="3572" w:type="dxa"/>
            <w:tcBorders>
              <w:top w:val="single" w:color="000000" w:sz="12" w:space="0"/>
              <w:left w:val="nil"/>
              <w:bottom w:val="single" w:color="000000" w:sz="4" w:space="0"/>
              <w:right w:val="nil"/>
            </w:tcBorders>
            <w:shd w:val="clear" w:color="auto" w:fill="FFFFFF"/>
            <w:vAlign w:val="center"/>
          </w:tcPr>
          <w:p w14:paraId="24E0B43C">
            <w:pPr>
              <w:keepNext/>
              <w:spacing w:before="40" w:after="40" w:line="252" w:lineRule="auto"/>
              <w:jc w:val="both"/>
              <w:rPr>
                <w:rFonts w:hint="eastAsia"/>
                <w:b w:val="0"/>
              </w:rPr>
              <w:snapToGrid w:val="0"/>
            </w:pPr>
            <w:r>
              <w:rPr>
                <w:rFonts w:cs="宋体"/>
                <w:b w:val="0"/>
                <w:sz w:val="21"/>
              </w:rPr>
              <w:t>测试条件</w:t>
            </w:r>
          </w:p>
        </w:tc>
      </w:tr>
      <w:tr w14:paraId="058CEC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2381" w:type="dxa"/>
            <w:tcBorders>
              <w:top w:val="single" w:color="000000" w:sz="4" w:space="0"/>
              <w:left w:val="nil"/>
              <w:bottom w:val="nil"/>
              <w:right w:val="nil"/>
            </w:tcBorders>
            <w:shd w:val="clear" w:color="auto" w:fill="FFFFFF"/>
            <w:vAlign w:val="center"/>
          </w:tcPr>
          <w:p w14:paraId="520853A6">
            <w:pPr>
              <w:spacing w:before="40" w:after="40" w:line="252" w:lineRule="auto"/>
              <w:ind w:left="0" w:leftChars="0" w:firstLine="0" w:firstLineChars="0"/>
              <w:rPr>
                <w:rFonts w:hint="eastAsia"/>
                <w:b w:val="0"/>
              </w:rPr>
              <w:snapToGrid w:val="0"/>
            </w:pPr>
            <w:r>
              <w:rPr>
                <w:rFonts w:cs="宋体"/>
                <w:b w:val="0"/>
                <w:sz w:val="21"/>
              </w:rPr>
              <w:t>乘法输入穷举</w:t>
            </w:r>
          </w:p>
        </w:tc>
        <w:tc>
          <w:tcPr>
            <w:tcW w:w="2551" w:type="dxa"/>
            <w:tcBorders>
              <w:top w:val="single" w:color="000000" w:sz="4" w:space="0"/>
              <w:left w:val="nil"/>
              <w:bottom w:val="nil"/>
              <w:right w:val="nil"/>
            </w:tcBorders>
            <w:shd w:val="clear" w:color="auto" w:fill="FFFFFF"/>
            <w:vAlign w:val="center"/>
          </w:tcPr>
          <w:p w14:paraId="247DEEC8">
            <w:pPr>
              <w:spacing w:before="40" w:after="40" w:line="252" w:lineRule="auto"/>
              <w:jc w:val="both"/>
              <w:rPr>
                <w:rFonts w:hint="eastAsia"/>
                <w:b w:val="0"/>
              </w:rPr>
              <w:snapToGrid w:val="0"/>
            </w:pPr>
            <w:r>
              <w:rPr>
                <w:rFonts w:cs="宋体"/>
                <w:b w:val="0"/>
                <w:sz w:val="21"/>
              </w:rPr>
              <w:t>65536组，错误0</w:t>
            </w:r>
          </w:p>
        </w:tc>
        <w:tc>
          <w:tcPr>
            <w:tcW w:w="3572" w:type="dxa"/>
            <w:tcBorders>
              <w:top w:val="single" w:color="000000" w:sz="4" w:space="0"/>
              <w:left w:val="nil"/>
              <w:bottom w:val="nil"/>
              <w:right w:val="nil"/>
            </w:tcBorders>
            <w:shd w:val="clear" w:color="auto" w:fill="FFFFFF"/>
            <w:vAlign w:val="center"/>
          </w:tcPr>
          <w:p w14:paraId="0E3E4294">
            <w:pPr>
              <w:spacing w:before="40" w:after="40" w:line="252" w:lineRule="auto"/>
              <w:jc w:val="both"/>
              <w:rPr>
                <w:rFonts w:hint="eastAsia"/>
                <w:b w:val="0"/>
              </w:rPr>
              <w:snapToGrid w:val="0"/>
            </w:pPr>
            <w:r>
              <w:rPr>
                <w:rFonts w:cs="宋体"/>
                <w:b w:val="0"/>
                <w:sz w:val="21"/>
              </w:rPr>
              <w:t>16×8精确DCiM参考任务</w:t>
            </w:r>
          </w:p>
        </w:tc>
      </w:tr>
      <w:tr w14:paraId="7805B0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2381" w:type="dxa"/>
            <w:tcBorders>
              <w:top w:val="nil"/>
              <w:left w:val="nil"/>
              <w:bottom w:val="nil"/>
              <w:right w:val="nil"/>
            </w:tcBorders>
            <w:shd w:val="clear" w:color="auto" w:fill="FFFFFF"/>
            <w:vAlign w:val="center"/>
          </w:tcPr>
          <w:p w14:paraId="0A478E3B">
            <w:pPr>
              <w:spacing w:before="40" w:after="40" w:line="252" w:lineRule="auto"/>
              <w:ind w:left="0" w:leftChars="0" w:firstLine="0" w:firstLineChars="0"/>
              <w:rPr>
                <w:rFonts w:hint="eastAsia"/>
                <w:b w:val="0"/>
              </w:rPr>
              <w:snapToGrid w:val="0"/>
            </w:pPr>
            <w:r>
              <w:rPr>
                <w:rFonts w:cs="宋体"/>
                <w:b w:val="0"/>
                <w:sz w:val="21"/>
              </w:rPr>
              <w:t>后端setup slack</w:t>
            </w:r>
          </w:p>
        </w:tc>
        <w:tc>
          <w:tcPr>
            <w:tcW w:w="2551" w:type="dxa"/>
            <w:tcBorders>
              <w:top w:val="nil"/>
              <w:left w:val="nil"/>
              <w:bottom w:val="nil"/>
              <w:right w:val="nil"/>
            </w:tcBorders>
            <w:shd w:val="clear" w:color="auto" w:fill="FFFFFF"/>
            <w:vAlign w:val="center"/>
          </w:tcPr>
          <w:p w14:paraId="76281E0F">
            <w:pPr>
              <w:spacing w:before="40" w:after="40" w:line="252" w:lineRule="auto"/>
              <w:jc w:val="both"/>
              <w:rPr>
                <w:rFonts w:hint="eastAsia"/>
                <w:b w:val="0"/>
              </w:rPr>
              <w:snapToGrid w:val="0"/>
            </w:pPr>
            <w:r>
              <w:rPr>
                <w:rFonts w:cs="宋体"/>
                <w:b w:val="0"/>
                <w:sz w:val="21"/>
              </w:rPr>
              <w:t>4.64506ns</w:t>
            </w:r>
          </w:p>
        </w:tc>
        <w:tc>
          <w:tcPr>
            <w:tcW w:w="3572" w:type="dxa"/>
            <w:tcBorders>
              <w:top w:val="nil"/>
              <w:left w:val="nil"/>
              <w:bottom w:val="nil"/>
              <w:right w:val="nil"/>
            </w:tcBorders>
            <w:shd w:val="clear" w:color="auto" w:fill="FFFFFF"/>
            <w:vAlign w:val="center"/>
          </w:tcPr>
          <w:p w14:paraId="7C16213A">
            <w:pPr>
              <w:spacing w:before="40" w:after="40" w:line="252" w:lineRule="auto"/>
              <w:jc w:val="both"/>
              <w:rPr>
                <w:rFonts w:hint="eastAsia"/>
                <w:b w:val="0"/>
              </w:rPr>
              <w:snapToGrid w:val="0"/>
            </w:pPr>
            <w:r>
              <w:rPr>
                <w:rFonts w:cs="宋体"/>
                <w:b w:val="0"/>
                <w:sz w:val="21"/>
              </w:rPr>
              <w:t>时钟周期10ns</w:t>
            </w:r>
          </w:p>
        </w:tc>
      </w:tr>
      <w:tr w14:paraId="4206C3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2381" w:type="dxa"/>
            <w:tcBorders>
              <w:top w:val="nil"/>
              <w:left w:val="nil"/>
              <w:bottom w:val="nil"/>
              <w:right w:val="nil"/>
            </w:tcBorders>
            <w:shd w:val="clear" w:color="auto" w:fill="FFFFFF"/>
            <w:vAlign w:val="center"/>
          </w:tcPr>
          <w:p w14:paraId="0D630086">
            <w:pPr>
              <w:spacing w:before="40" w:after="40" w:line="252" w:lineRule="auto"/>
              <w:ind w:left="0" w:leftChars="0" w:firstLine="0" w:firstLineChars="0"/>
              <w:rPr>
                <w:rFonts w:hint="eastAsia"/>
                <w:b w:val="0"/>
              </w:rPr>
              <w:snapToGrid w:val="0"/>
            </w:pPr>
            <w:r>
              <w:rPr>
                <w:rFonts w:cs="宋体"/>
                <w:b w:val="0"/>
                <w:sz w:val="21"/>
              </w:rPr>
              <w:t>后端hold slack</w:t>
            </w:r>
          </w:p>
        </w:tc>
        <w:tc>
          <w:tcPr>
            <w:tcW w:w="2551" w:type="dxa"/>
            <w:tcBorders>
              <w:top w:val="nil"/>
              <w:left w:val="nil"/>
              <w:bottom w:val="nil"/>
              <w:right w:val="nil"/>
            </w:tcBorders>
            <w:shd w:val="clear" w:color="auto" w:fill="FFFFFF"/>
            <w:vAlign w:val="center"/>
          </w:tcPr>
          <w:p w14:paraId="2A17D3D9">
            <w:pPr>
              <w:spacing w:before="40" w:after="40" w:line="252" w:lineRule="auto"/>
              <w:jc w:val="both"/>
              <w:rPr>
                <w:rFonts w:hint="eastAsia"/>
                <w:b w:val="0"/>
              </w:rPr>
              <w:snapToGrid w:val="0"/>
            </w:pPr>
            <w:r>
              <w:rPr>
                <w:rFonts w:cs="宋体"/>
                <w:b w:val="0"/>
                <w:sz w:val="21"/>
              </w:rPr>
              <w:t>0.0331819ns</w:t>
            </w:r>
          </w:p>
        </w:tc>
        <w:tc>
          <w:tcPr>
            <w:tcW w:w="3572" w:type="dxa"/>
            <w:tcBorders>
              <w:top w:val="nil"/>
              <w:left w:val="nil"/>
              <w:bottom w:val="nil"/>
              <w:right w:val="nil"/>
            </w:tcBorders>
            <w:shd w:val="clear" w:color="auto" w:fill="FFFFFF"/>
            <w:vAlign w:val="center"/>
          </w:tcPr>
          <w:p w14:paraId="6F26E407">
            <w:pPr>
              <w:spacing w:before="40" w:after="40" w:line="252" w:lineRule="auto"/>
              <w:jc w:val="both"/>
              <w:rPr>
                <w:rFonts w:hint="eastAsia"/>
                <w:b w:val="0"/>
              </w:rPr>
              <w:snapToGrid w:val="0"/>
            </w:pPr>
            <w:r>
              <w:rPr>
                <w:rFonts w:cs="宋体"/>
                <w:b w:val="0"/>
                <w:sz w:val="21"/>
              </w:rPr>
              <w:t>对应参考库及后端约束</w:t>
            </w:r>
          </w:p>
        </w:tc>
      </w:tr>
      <w:tr w14:paraId="7B7F7C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2381" w:type="dxa"/>
            <w:tcBorders>
              <w:top w:val="nil"/>
              <w:left w:val="nil"/>
              <w:bottom w:val="nil"/>
              <w:right w:val="nil"/>
            </w:tcBorders>
            <w:shd w:val="clear" w:color="auto" w:fill="FFFFFF"/>
            <w:vAlign w:val="center"/>
          </w:tcPr>
          <w:p w14:paraId="187C4417">
            <w:pPr>
              <w:spacing w:before="40" w:after="40" w:line="252" w:lineRule="auto"/>
              <w:ind w:left="0" w:leftChars="0" w:firstLine="0" w:firstLineChars="0"/>
              <w:rPr>
                <w:rFonts w:hint="eastAsia"/>
                <w:b w:val="0"/>
              </w:rPr>
              <w:snapToGrid w:val="0"/>
            </w:pPr>
            <w:r>
              <w:rPr>
                <w:rFonts w:cs="宋体"/>
                <w:b w:val="0"/>
                <w:sz w:val="21"/>
              </w:rPr>
              <w:t>详细布线DRC</w:t>
            </w:r>
          </w:p>
        </w:tc>
        <w:tc>
          <w:tcPr>
            <w:tcW w:w="2551" w:type="dxa"/>
            <w:tcBorders>
              <w:top w:val="nil"/>
              <w:left w:val="nil"/>
              <w:bottom w:val="nil"/>
              <w:right w:val="nil"/>
            </w:tcBorders>
            <w:shd w:val="clear" w:color="auto" w:fill="FFFFFF"/>
            <w:vAlign w:val="center"/>
          </w:tcPr>
          <w:p w14:paraId="724CECC9">
            <w:pPr>
              <w:spacing w:before="40" w:after="40" w:line="252" w:lineRule="auto"/>
              <w:jc w:val="both"/>
              <w:rPr>
                <w:rFonts w:hint="eastAsia"/>
                <w:b w:val="0"/>
              </w:rPr>
              <w:snapToGrid w:val="0"/>
            </w:pPr>
            <w:r>
              <w:rPr>
                <w:rFonts w:cs="宋体"/>
                <w:b w:val="0"/>
                <w:sz w:val="21"/>
              </w:rPr>
              <w:t>0</w:t>
            </w:r>
          </w:p>
        </w:tc>
        <w:tc>
          <w:tcPr>
            <w:tcW w:w="3572" w:type="dxa"/>
            <w:tcBorders>
              <w:top w:val="nil"/>
              <w:left w:val="nil"/>
              <w:bottom w:val="nil"/>
              <w:right w:val="nil"/>
            </w:tcBorders>
            <w:shd w:val="clear" w:color="auto" w:fill="FFFFFF"/>
            <w:vAlign w:val="center"/>
          </w:tcPr>
          <w:p w14:paraId="0C24D156">
            <w:pPr>
              <w:spacing w:before="40" w:after="40" w:line="252" w:lineRule="auto"/>
              <w:jc w:val="both"/>
              <w:rPr>
                <w:rFonts w:hint="eastAsia"/>
                <w:b w:val="0"/>
              </w:rPr>
              <w:snapToGrid w:val="0"/>
            </w:pPr>
            <w:r>
              <w:rPr>
                <w:rFonts w:cs="宋体"/>
                <w:b w:val="0"/>
                <w:sz w:val="21"/>
              </w:rPr>
              <w:t>OpenROAD详细布线报告</w:t>
            </w:r>
          </w:p>
        </w:tc>
      </w:tr>
      <w:tr w14:paraId="34A9F06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2381" w:type="dxa"/>
            <w:tcBorders>
              <w:top w:val="nil"/>
              <w:left w:val="nil"/>
              <w:bottom w:val="nil"/>
              <w:right w:val="nil"/>
            </w:tcBorders>
            <w:shd w:val="clear" w:color="auto" w:fill="FFFFFF"/>
            <w:vAlign w:val="center"/>
          </w:tcPr>
          <w:p w14:paraId="64D907EE">
            <w:pPr>
              <w:spacing w:before="40" w:after="40" w:line="252" w:lineRule="auto"/>
              <w:ind w:left="0" w:leftChars="0" w:firstLine="0" w:firstLineChars="0"/>
              <w:rPr>
                <w:rFonts w:hint="eastAsia"/>
                <w:b w:val="0"/>
              </w:rPr>
              <w:snapToGrid w:val="0"/>
            </w:pPr>
            <w:r>
              <w:rPr>
                <w:rFonts w:cs="宋体"/>
                <w:b w:val="0"/>
                <w:sz w:val="21"/>
              </w:rPr>
              <w:t>SRAM参数与PVT评价</w:t>
            </w:r>
          </w:p>
        </w:tc>
        <w:tc>
          <w:tcPr>
            <w:tcW w:w="2551" w:type="dxa"/>
            <w:tcBorders>
              <w:top w:val="nil"/>
              <w:left w:val="nil"/>
              <w:bottom w:val="nil"/>
              <w:right w:val="nil"/>
            </w:tcBorders>
            <w:shd w:val="clear" w:color="auto" w:fill="FFFFFF"/>
            <w:vAlign w:val="center"/>
          </w:tcPr>
          <w:p w14:paraId="75121AFC">
            <w:pPr>
              <w:spacing w:before="40" w:after="40" w:line="252" w:lineRule="auto"/>
              <w:jc w:val="both"/>
              <w:rPr>
                <w:rFonts w:hint="eastAsia"/>
                <w:b w:val="0"/>
              </w:rPr>
              <w:snapToGrid w:val="0"/>
            </w:pPr>
            <w:r>
              <w:rPr>
                <w:rFonts w:cs="宋体"/>
                <w:b w:val="0"/>
                <w:sz w:val="21"/>
              </w:rPr>
              <w:t>9个子任务完成</w:t>
            </w:r>
          </w:p>
        </w:tc>
        <w:tc>
          <w:tcPr>
            <w:tcW w:w="3572" w:type="dxa"/>
            <w:tcBorders>
              <w:top w:val="nil"/>
              <w:left w:val="nil"/>
              <w:bottom w:val="nil"/>
              <w:right w:val="nil"/>
            </w:tcBorders>
            <w:shd w:val="clear" w:color="auto" w:fill="FFFFFF"/>
            <w:vAlign w:val="center"/>
          </w:tcPr>
          <w:p w14:paraId="52A23A78">
            <w:pPr>
              <w:spacing w:before="40" w:after="40" w:line="252" w:lineRule="auto"/>
              <w:jc w:val="both"/>
              <w:rPr>
                <w:rFonts w:hint="eastAsia"/>
                <w:b w:val="0"/>
              </w:rPr>
              <w:snapToGrid w:val="0"/>
            </w:pPr>
            <w:r>
              <w:rPr>
                <w:rFonts w:cs="宋体"/>
                <w:b w:val="0"/>
                <w:sz w:val="21"/>
              </w:rPr>
              <w:t>64bit组织；3种PD×3组PVT</w:t>
            </w:r>
          </w:p>
        </w:tc>
      </w:tr>
      <w:tr w14:paraId="23EFBD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2381" w:type="dxa"/>
            <w:tcBorders>
              <w:top w:val="nil"/>
              <w:left w:val="nil"/>
              <w:bottom w:val="single" w:color="000000" w:sz="12" w:space="0"/>
              <w:right w:val="nil"/>
            </w:tcBorders>
            <w:shd w:val="clear" w:color="auto" w:fill="FFFFFF"/>
            <w:vAlign w:val="center"/>
          </w:tcPr>
          <w:p w14:paraId="76794F79">
            <w:pPr>
              <w:spacing w:before="40" w:after="40" w:line="252" w:lineRule="auto"/>
              <w:ind w:left="0" w:leftChars="0" w:firstLine="0" w:firstLineChars="0"/>
              <w:rPr>
                <w:rFonts w:hint="eastAsia"/>
                <w:b w:val="0"/>
              </w:rPr>
              <w:snapToGrid w:val="0"/>
            </w:pPr>
            <w:r>
              <w:rPr>
                <w:rFonts w:cs="宋体"/>
                <w:b w:val="0"/>
                <w:sz w:val="21"/>
              </w:rPr>
              <w:t>设计数据资源</w:t>
            </w:r>
          </w:p>
        </w:tc>
        <w:tc>
          <w:tcPr>
            <w:tcW w:w="2551" w:type="dxa"/>
            <w:tcBorders>
              <w:top w:val="nil"/>
              <w:left w:val="nil"/>
              <w:bottom w:val="single" w:color="000000" w:sz="12" w:space="0"/>
              <w:right w:val="nil"/>
            </w:tcBorders>
            <w:shd w:val="clear" w:color="auto" w:fill="FFFFFF"/>
            <w:vAlign w:val="center"/>
          </w:tcPr>
          <w:p w14:paraId="26EAD8E8">
            <w:pPr>
              <w:spacing w:before="40" w:after="40" w:line="252" w:lineRule="auto"/>
              <w:ind w:firstLine="0"/>
              <w:jc w:val="both"/>
              <w:rPr>
                <w:rFonts w:hint="eastAsia"/>
                <w:b w:val="0"/>
              </w:rPr>
              <w:snapToGrid w:val="0"/>
            </w:pPr>
            <w:r>
              <w:rPr>
                <w:rFonts w:cs="宋体"/>
                <w:b w:val="0"/>
                <w:sz w:val="21"/>
              </w:rPr>
              <w:t>50000组配置与指标</w:t>
            </w:r>
          </w:p>
        </w:tc>
        <w:tc>
          <w:tcPr>
            <w:tcW w:w="3572" w:type="dxa"/>
            <w:tcBorders>
              <w:top w:val="nil"/>
              <w:left w:val="nil"/>
              <w:bottom w:val="single" w:color="000000" w:sz="12" w:space="0"/>
              <w:right w:val="nil"/>
            </w:tcBorders>
            <w:shd w:val="clear" w:color="auto" w:fill="FFFFFF"/>
            <w:vAlign w:val="center"/>
          </w:tcPr>
          <w:p w14:paraId="1A90112D">
            <w:pPr>
              <w:spacing w:before="40" w:after="40" w:line="252" w:lineRule="auto"/>
              <w:jc w:val="both"/>
              <w:rPr>
                <w:rFonts w:hint="eastAsia"/>
                <w:b w:val="0"/>
              </w:rPr>
              <w:snapToGrid w:val="0"/>
            </w:pPr>
            <w:r>
              <w:rPr>
                <w:rFonts w:cs="宋体"/>
                <w:b w:val="0"/>
                <w:sz w:val="21"/>
              </w:rPr>
              <w:t>8位乘法器，9个压缩器位置</w:t>
            </w:r>
          </w:p>
        </w:tc>
      </w:tr>
      <w:tr>
        <w:tc>
          <w:tcPr>
            <w:tcW w:type="dxa" w:w="2381"/>
          </w:tcPr>
          <w:p>
            <w:pPr>
              <w:snapToGrid w:val="0"/>
            </w:pPr>
            <w:r>
              <w:t>自由探索闭环</w:t>
            </w:r>
          </w:p>
        </w:tc>
        <w:tc>
          <w:tcPr>
            <w:tcW w:type="dxa" w:w="2551"/>
          </w:tcPr>
          <w:p>
            <w:pPr>
              <w:snapToGrid w:val="0"/>
            </w:pPr>
            <w:r>
              <w:t>128条候选记录；18项满足约束</w:t>
            </w:r>
          </w:p>
        </w:tc>
        <w:tc>
          <w:tcPr>
            <w:tcW w:type="dxa" w:w="3572"/>
          </w:tcPr>
          <w:p>
            <w:pPr>
              <w:snapToGrid w:val="0"/>
            </w:pPr>
            <w:r>
              <w:t>8位近似乘法器；127次模型选点；面积目标</w:t>
            </w:r>
          </w:p>
        </w:tc>
      </w:tr>
    </w:tbl>
    <w:p w14:paraId="3F44816E">
      <w:pPr>
        <w:spacing w:after="0"/>
        <w:rPr>
          <w:rFonts w:hint="eastAsia"/>
        </w:rPr>
        <w:snapToGrid w:val="0"/>
      </w:pPr>
    </w:p>
    <w:p w14:paraId="422634D3">
      <w:pPr>
        <w:pStyle w:val="2"/>
        <w:spacing w:line="440" w:lineRule="exact"/>
        <w:rPr>
          <w:rFonts w:hint="eastAsia"/>
        </w:rPr>
        <w:keepNext/>
        <w:snapToGrid w:val="0"/>
      </w:pPr>
      <w:bookmarkStart w:id="22" w:name="_Toc244189577"/>
      <w:bookmarkStart w:id="23" w:name="_Toc31119"/>
      <w:r>
        <w:rPr>
          <w:rFonts w:cs="宋体"/>
        </w:rPr>
        <w:t>四、项目实施</w:t>
      </w:r>
      <w:bookmarkEnd w:id="22"/>
      <w:bookmarkEnd w:id="23"/>
    </w:p>
    <w:p w14:paraId="4EC550A7">
      <w:pPr>
        <w:pStyle w:val="3"/>
        <w:spacing w:line="400" w:lineRule="exact"/>
        <w:rPr>
          <w:rFonts w:hint="eastAsia"/>
        </w:rPr>
        <w:keepNext/>
        <w:snapToGrid w:val="0"/>
      </w:pPr>
      <w:bookmarkStart w:id="24" w:name="_Toc244189578"/>
      <w:r>
        <w:rPr>
          <w:rFonts w:cs="宋体"/>
        </w:rPr>
        <w:t>（一）总体系统架构</w:t>
      </w:r>
      <w:bookmarkEnd w:id="24"/>
    </w:p>
    <w:p w14:paraId="02B3F3E2">
      <w:pPr>
        <w:widowControl/>
        <w:spacing w:line="360" w:lineRule="exact"/>
        <w:ind w:firstLine="420"/>
        <w:rPr>
          <w:rFonts w:hint="eastAsia"/>
        </w:rPr>
        <w:snapToGrid w:val="0"/>
      </w:pPr>
      <w:r>
        <w:rPr>
          <w:rFonts w:cs="宋体"/>
        </w:rPr>
        <w:t>OpenACM-Assistant划分为自然语言交互、AI规划调度、任务级轻量脚本、EDA执行、经验与审计五层。交互、预算控制、自由探索闭环及本地经验管理由本项目扩展；电路生成与部分算法组件复用OpenACM/OpenACMv2，EDA工具通过外部执行器调用。PEA-GNN已适配原生8/16位乘法器，SRAM目前采用SPICE与bank估算路径。</w:t>
      </w:r>
      <w:r>
        <w:rPr>
          <w:rFonts w:cs="宋体"/>
        </w:rPr>
      </w:r>
      <w:r>
        <w:rPr>
          <w:rFonts w:cs="宋体"/>
        </w:rPr>
      </w:r>
      <w:r>
        <w:rPr>
          <w:rStyle w:val="12"/>
          <w:rFonts w:cs="宋体"/>
        </w:rPr>
      </w:r>
      <w:r>
        <w:rPr>
          <w:rFonts w:cs="宋体"/>
        </w:rPr>
      </w:r>
      <w:r>
        <w:rPr>
          <w:rFonts w:cs="宋体"/>
        </w:rPr>
      </w:r>
      <w:r>
        <w:rPr>
          <w:rFonts w:cs="宋体"/>
        </w:rPr>
      </w:r>
    </w:p>
    <w:p w14:paraId="4C9FD714">
      <w:pPr>
        <w:pStyle w:val="14"/>
        <w:keepNext/>
        <w:spacing w:before="100" w:after="140" w:line="280" w:lineRule="exact"/>
        <w:jc w:val="center"/>
        <w:rPr>
          <w:rFonts w:hint="eastAsia"/>
        </w:rPr>
        <w:snapToGrid w:val="0"/>
      </w:pPr>
      <w:r>
        <w:t>表3  平台五层架构</w:t>
      </w:r>
    </w:p>
    <w:tbl>
      <w:tblPr>
        <w:tblStyle w:val="10"/>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85" w:type="dxa"/>
          <w:bottom w:w="85" w:type="dxa"/>
          <w:right w:w="85" w:type="dxa"/>
        </w:tblCellMar>
      </w:tblPr>
      <w:tblGrid>
        <w:gridCol w:w="1871"/>
        <w:gridCol w:w="3458"/>
        <w:gridCol w:w="2948"/>
      </w:tblGrid>
      <w:tr w14:paraId="7557D4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tblHeader/>
          <w:jc w:val="center"/>
        </w:trPr>
        <w:tc>
          <w:tcPr>
            <w:tcW w:w="1871" w:type="dxa"/>
            <w:tcBorders>
              <w:top w:val="single" w:color="000000" w:sz="12" w:space="0"/>
              <w:left w:val="nil"/>
              <w:bottom w:val="single" w:color="000000" w:sz="4" w:space="0"/>
              <w:right w:val="nil"/>
              <w:tl2br w:val="nil"/>
            </w:tcBorders>
            <w:shd w:val="clear" w:color="auto" w:fill="FFFFFF"/>
            <w:vAlign w:val="center"/>
          </w:tcPr>
          <w:p w14:paraId="2B0AFA07">
            <w:pPr>
              <w:keepNext/>
              <w:spacing w:before="40" w:after="40" w:line="252" w:lineRule="auto"/>
              <w:ind w:left="0" w:leftChars="0" w:firstLine="0" w:firstLineChars="0"/>
              <w:rPr>
                <w:rFonts w:hint="eastAsia"/>
                <w:b w:val="0"/>
              </w:rPr>
              <w:snapToGrid w:val="0"/>
            </w:pPr>
            <w:r>
              <w:rPr>
                <w:rFonts w:cs="宋体"/>
                <w:b w:val="0"/>
                <w:sz w:val="21"/>
              </w:rPr>
              <w:t>层级</w:t>
            </w:r>
          </w:p>
        </w:tc>
        <w:tc>
          <w:tcPr>
            <w:tcW w:w="3458" w:type="dxa"/>
            <w:tcBorders>
              <w:top w:val="single" w:color="000000" w:sz="12" w:space="0"/>
              <w:left w:val="nil"/>
              <w:bottom w:val="single" w:color="000000" w:sz="4" w:space="0"/>
              <w:right w:val="nil"/>
            </w:tcBorders>
            <w:shd w:val="clear" w:color="auto" w:fill="FFFFFF"/>
            <w:vAlign w:val="center"/>
          </w:tcPr>
          <w:p w14:paraId="5F26AE44">
            <w:pPr>
              <w:keepNext/>
              <w:spacing w:before="40" w:after="40" w:line="252" w:lineRule="auto"/>
              <w:jc w:val="both"/>
              <w:rPr>
                <w:rFonts w:hint="eastAsia"/>
                <w:b w:val="0"/>
              </w:rPr>
              <w:snapToGrid w:val="0"/>
            </w:pPr>
            <w:r>
              <w:rPr>
                <w:rFonts w:cs="宋体"/>
                <w:b w:val="0"/>
                <w:sz w:val="21"/>
              </w:rPr>
              <w:t>主要职责</w:t>
            </w:r>
          </w:p>
        </w:tc>
        <w:tc>
          <w:tcPr>
            <w:tcW w:w="2948" w:type="dxa"/>
            <w:tcBorders>
              <w:top w:val="single" w:color="000000" w:sz="12" w:space="0"/>
              <w:left w:val="nil"/>
              <w:bottom w:val="single" w:color="000000" w:sz="4" w:space="0"/>
              <w:right w:val="nil"/>
            </w:tcBorders>
            <w:shd w:val="clear" w:color="auto" w:fill="FFFFFF"/>
            <w:vAlign w:val="center"/>
          </w:tcPr>
          <w:p w14:paraId="69F84ABB">
            <w:pPr>
              <w:keepNext/>
              <w:spacing w:before="40" w:after="40" w:line="252" w:lineRule="auto"/>
              <w:ind w:firstLine="0"/>
              <w:jc w:val="both"/>
              <w:rPr>
                <w:rFonts w:hint="eastAsia"/>
                <w:b w:val="0"/>
              </w:rPr>
              <w:snapToGrid w:val="0"/>
            </w:pPr>
            <w:r>
              <w:rPr>
                <w:rFonts w:cs="宋体"/>
                <w:b w:val="0"/>
                <w:sz w:val="21"/>
              </w:rPr>
              <w:t>实现归属</w:t>
            </w:r>
          </w:p>
        </w:tc>
      </w:tr>
      <w:tr w14:paraId="55A9BE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1871" w:type="dxa"/>
            <w:tcBorders>
              <w:top w:val="single" w:color="000000" w:sz="4" w:space="0"/>
              <w:left w:val="nil"/>
              <w:bottom w:val="nil"/>
              <w:right w:val="nil"/>
            </w:tcBorders>
            <w:shd w:val="clear" w:color="auto" w:fill="FFFFFF"/>
            <w:vAlign w:val="center"/>
          </w:tcPr>
          <w:p w14:paraId="45831A24">
            <w:pPr>
              <w:spacing w:before="40" w:after="40" w:line="252" w:lineRule="auto"/>
              <w:ind w:left="0" w:leftChars="0" w:firstLine="0" w:firstLineChars="0"/>
              <w:rPr>
                <w:rFonts w:hint="eastAsia"/>
                <w:b w:val="0"/>
              </w:rPr>
              <w:snapToGrid w:val="0"/>
            </w:pPr>
            <w:r>
              <w:rPr>
                <w:rFonts w:cs="宋体"/>
                <w:b w:val="0"/>
                <w:sz w:val="21"/>
              </w:rPr>
              <w:t>自然语言交互层</w:t>
            </w:r>
          </w:p>
        </w:tc>
        <w:tc>
          <w:tcPr>
            <w:tcW w:w="3458" w:type="dxa"/>
            <w:tcBorders>
              <w:top w:val="single" w:color="000000" w:sz="4" w:space="0"/>
              <w:left w:val="nil"/>
              <w:bottom w:val="nil"/>
              <w:right w:val="nil"/>
            </w:tcBorders>
            <w:shd w:val="clear" w:color="auto" w:fill="FFFFFF"/>
            <w:vAlign w:val="center"/>
          </w:tcPr>
          <w:p w14:paraId="518EB1F7">
            <w:pPr>
              <w:spacing w:before="40" w:after="40" w:line="252" w:lineRule="auto"/>
              <w:ind w:firstLine="0"/>
              <w:jc w:val="both"/>
              <w:rPr>
                <w:rFonts w:hint="eastAsia"/>
                <w:b w:val="0"/>
              </w:rPr>
              <w:snapToGrid w:val="0"/>
            </w:pPr>
            <w:r>
              <w:rPr>
                <w:rFonts w:cs="宋体"/>
                <w:b w:val="0"/>
                <w:sz w:val="21"/>
              </w:rPr>
              <w:t>多轮需求、参数交流和结果展示</w:t>
            </w:r>
          </w:p>
        </w:tc>
        <w:tc>
          <w:tcPr>
            <w:tcW w:w="2948" w:type="dxa"/>
            <w:tcBorders>
              <w:top w:val="single" w:color="000000" w:sz="4" w:space="0"/>
              <w:left w:val="nil"/>
              <w:bottom w:val="nil"/>
              <w:right w:val="nil"/>
            </w:tcBorders>
            <w:shd w:val="clear" w:color="auto" w:fill="FFFFFF"/>
            <w:vAlign w:val="center"/>
          </w:tcPr>
          <w:p w14:paraId="6A4E373B">
            <w:pPr>
              <w:spacing w:before="40" w:after="40" w:line="252" w:lineRule="auto"/>
              <w:ind w:firstLine="0"/>
              <w:jc w:val="both"/>
              <w:rPr>
                <w:rFonts w:hint="eastAsia"/>
                <w:b w:val="0"/>
              </w:rPr>
              <w:snapToGrid w:val="0"/>
            </w:pPr>
            <w:r>
              <w:rPr>
                <w:rFonts w:cs="宋体"/>
                <w:b w:val="0"/>
                <w:sz w:val="21"/>
              </w:rPr>
              <w:t>上层自研扩展</w:t>
            </w:r>
          </w:p>
        </w:tc>
      </w:tr>
      <w:tr w14:paraId="7BBDA1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1871" w:type="dxa"/>
            <w:tcBorders>
              <w:top w:val="nil"/>
              <w:left w:val="nil"/>
              <w:bottom w:val="nil"/>
              <w:right w:val="nil"/>
            </w:tcBorders>
            <w:shd w:val="clear" w:color="auto" w:fill="FFFFFF"/>
            <w:vAlign w:val="center"/>
          </w:tcPr>
          <w:p w14:paraId="6C0BAB07">
            <w:pPr>
              <w:spacing w:before="40" w:after="40" w:line="252" w:lineRule="auto"/>
              <w:ind w:left="0" w:leftChars="0" w:firstLine="0" w:firstLineChars="0"/>
              <w:rPr>
                <w:rFonts w:hint="eastAsia"/>
                <w:b w:val="0"/>
              </w:rPr>
              <w:snapToGrid w:val="0"/>
            </w:pPr>
            <w:r>
              <w:rPr>
                <w:rFonts w:cs="宋体"/>
                <w:b w:val="0"/>
                <w:sz w:val="21"/>
              </w:rPr>
              <w:t>AI规划调度层</w:t>
            </w:r>
          </w:p>
        </w:tc>
        <w:tc>
          <w:tcPr>
            <w:tcW w:w="3458" w:type="dxa"/>
            <w:tcBorders>
              <w:top w:val="nil"/>
              <w:left w:val="nil"/>
              <w:bottom w:val="nil"/>
              <w:right w:val="nil"/>
            </w:tcBorders>
            <w:shd w:val="clear" w:color="auto" w:fill="FFFFFF"/>
            <w:vAlign w:val="center"/>
          </w:tcPr>
          <w:p>
            <w:pPr>
              <w:snapToGrid w:val="0"/>
            </w:pPr>
            <w:r>
              <w:t>目标、约束、预算及候选反馈调度</w:t>
            </w:r>
          </w:p>
        </w:tc>
        <w:tc>
          <w:tcPr>
            <w:tcW w:w="2948" w:type="dxa"/>
            <w:tcBorders>
              <w:top w:val="nil"/>
              <w:left w:val="nil"/>
              <w:bottom w:val="nil"/>
              <w:right w:val="nil"/>
            </w:tcBorders>
            <w:shd w:val="clear" w:color="auto" w:fill="FFFFFF"/>
            <w:vAlign w:val="center"/>
          </w:tcPr>
          <w:p w14:paraId="08B3FB55">
            <w:pPr>
              <w:spacing w:before="40" w:after="40" w:line="252" w:lineRule="auto"/>
              <w:ind w:firstLine="0"/>
              <w:jc w:val="both"/>
              <w:rPr>
                <w:rFonts w:hint="eastAsia"/>
                <w:b w:val="0"/>
              </w:rPr>
              <w:snapToGrid w:val="0"/>
            </w:pPr>
            <w:r>
              <w:rPr>
                <w:rFonts w:cs="宋体"/>
                <w:b w:val="0"/>
                <w:sz w:val="21"/>
              </w:rPr>
              <w:t>上层自研扩展</w:t>
            </w:r>
          </w:p>
        </w:tc>
      </w:tr>
      <w:tr w14:paraId="261C77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1871" w:type="dxa"/>
            <w:tcBorders>
              <w:top w:val="nil"/>
              <w:left w:val="nil"/>
              <w:bottom w:val="nil"/>
              <w:right w:val="nil"/>
            </w:tcBorders>
            <w:shd w:val="clear" w:color="auto" w:fill="FFFFFF"/>
            <w:vAlign w:val="center"/>
          </w:tcPr>
          <w:p w14:paraId="34DF1480">
            <w:pPr>
              <w:spacing w:before="40" w:after="40" w:line="252" w:lineRule="auto"/>
              <w:ind w:left="0" w:leftChars="0" w:firstLine="0" w:firstLineChars="0"/>
              <w:rPr>
                <w:rFonts w:hint="eastAsia"/>
                <w:b w:val="0"/>
              </w:rPr>
              <w:snapToGrid w:val="0"/>
            </w:pPr>
            <w:r>
              <w:rPr>
                <w:rFonts w:cs="宋体"/>
                <w:b w:val="0"/>
                <w:sz w:val="21"/>
              </w:rPr>
              <w:t>轻量脚本层</w:t>
            </w:r>
          </w:p>
        </w:tc>
        <w:tc>
          <w:tcPr>
            <w:tcW w:w="3458" w:type="dxa"/>
            <w:tcBorders>
              <w:top w:val="nil"/>
              <w:left w:val="nil"/>
              <w:bottom w:val="nil"/>
              <w:right w:val="nil"/>
            </w:tcBorders>
            <w:shd w:val="clear" w:color="auto" w:fill="FFFFFF"/>
            <w:vAlign w:val="center"/>
          </w:tcPr>
          <w:p w14:paraId="6D2231AA">
            <w:pPr>
              <w:spacing w:before="40" w:after="40" w:line="252" w:lineRule="auto"/>
              <w:ind w:firstLine="0"/>
              <w:jc w:val="both"/>
              <w:rPr>
                <w:rFonts w:hint="eastAsia"/>
                <w:b w:val="0"/>
              </w:rPr>
              <w:snapToGrid w:val="0"/>
            </w:pPr>
            <w:r>
              <w:rPr>
                <w:rFonts w:cs="宋体"/>
                <w:b w:val="0"/>
                <w:sz w:val="21"/>
              </w:rPr>
              <w:t>配置、测试平台和工具命令组织</w:t>
            </w:r>
          </w:p>
        </w:tc>
        <w:tc>
          <w:tcPr>
            <w:tcW w:w="2948" w:type="dxa"/>
            <w:tcBorders>
              <w:top w:val="nil"/>
              <w:left w:val="nil"/>
              <w:bottom w:val="nil"/>
              <w:right w:val="nil"/>
            </w:tcBorders>
            <w:shd w:val="clear" w:color="auto" w:fill="FFFFFF"/>
            <w:vAlign w:val="center"/>
          </w:tcPr>
          <w:p w14:paraId="53D82551">
            <w:pPr>
              <w:spacing w:before="40" w:after="40" w:line="252" w:lineRule="auto"/>
              <w:ind w:firstLine="0"/>
              <w:jc w:val="both"/>
              <w:rPr>
                <w:rFonts w:hint="eastAsia"/>
                <w:b w:val="0"/>
              </w:rPr>
              <w:snapToGrid w:val="0"/>
            </w:pPr>
            <w:r>
              <w:rPr>
                <w:rFonts w:cs="宋体"/>
                <w:b w:val="0"/>
                <w:sz w:val="21"/>
              </w:rPr>
              <w:t>上层自研扩展</w:t>
            </w:r>
          </w:p>
        </w:tc>
      </w:tr>
      <w:tr w14:paraId="13CCA4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1871" w:type="dxa"/>
            <w:tcBorders>
              <w:top w:val="nil"/>
              <w:left w:val="nil"/>
              <w:bottom w:val="nil"/>
              <w:right w:val="nil"/>
            </w:tcBorders>
            <w:shd w:val="clear" w:color="auto" w:fill="FFFFFF"/>
            <w:vAlign w:val="center"/>
          </w:tcPr>
          <w:p w14:paraId="2D17E8DB">
            <w:pPr>
              <w:spacing w:before="40" w:after="40" w:line="252" w:lineRule="auto"/>
              <w:ind w:left="0" w:leftChars="0" w:firstLine="0" w:firstLineChars="0"/>
              <w:rPr>
                <w:rFonts w:hint="eastAsia"/>
                <w:b w:val="0"/>
              </w:rPr>
              <w:snapToGrid w:val="0"/>
            </w:pPr>
            <w:r>
              <w:rPr>
                <w:rFonts w:cs="宋体"/>
                <w:b w:val="0"/>
                <w:sz w:val="21"/>
              </w:rPr>
              <w:t>EDA执行层</w:t>
            </w:r>
          </w:p>
        </w:tc>
        <w:tc>
          <w:tcPr>
            <w:tcW w:w="3458" w:type="dxa"/>
            <w:tcBorders>
              <w:top w:val="nil"/>
              <w:left w:val="nil"/>
              <w:bottom w:val="nil"/>
              <w:right w:val="nil"/>
            </w:tcBorders>
            <w:shd w:val="clear" w:color="auto" w:fill="FFFFFF"/>
            <w:vAlign w:val="center"/>
          </w:tcPr>
          <w:p>
            <w:pPr>
              <w:snapToGrid w:val="0"/>
            </w:pPr>
            <w:r>
              <w:t>电路生成、代理接口与实际EDA评价</w:t>
            </w:r>
          </w:p>
        </w:tc>
        <w:tc>
          <w:tcPr>
            <w:tcW w:w="2948" w:type="dxa"/>
            <w:tcBorders>
              <w:top w:val="nil"/>
              <w:left w:val="nil"/>
              <w:bottom w:val="nil"/>
              <w:right w:val="nil"/>
            </w:tcBorders>
            <w:shd w:val="clear" w:color="auto" w:fill="FFFFFF"/>
            <w:vAlign w:val="center"/>
          </w:tcPr>
          <w:p w14:paraId="68B21B42">
            <w:pPr>
              <w:spacing w:before="40" w:after="40" w:line="252" w:lineRule="auto"/>
              <w:jc w:val="both"/>
              <w:rPr>
                <w:rFonts w:hint="eastAsia"/>
                <w:b w:val="0"/>
              </w:rPr>
              <w:snapToGrid w:val="0"/>
            </w:pPr>
            <w:r>
              <w:rPr>
                <w:rFonts w:cs="宋体"/>
                <w:b w:val="0"/>
                <w:sz w:val="21"/>
              </w:rPr>
              <w:t>复用并封装OpenACMv2</w:t>
            </w:r>
          </w:p>
        </w:tc>
      </w:tr>
      <w:tr w14:paraId="602534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1871" w:type="dxa"/>
            <w:tcBorders>
              <w:top w:val="nil"/>
              <w:left w:val="nil"/>
              <w:bottom w:val="single" w:color="000000" w:sz="12" w:space="0"/>
              <w:right w:val="nil"/>
            </w:tcBorders>
            <w:shd w:val="clear" w:color="auto" w:fill="FFFFFF"/>
            <w:vAlign w:val="center"/>
          </w:tcPr>
          <w:p w14:paraId="2CCF56BB">
            <w:pPr>
              <w:spacing w:before="40" w:after="40" w:line="252" w:lineRule="auto"/>
              <w:ind w:left="0" w:leftChars="0" w:firstLine="0" w:firstLineChars="0"/>
              <w:rPr>
                <w:rFonts w:hint="eastAsia"/>
                <w:b w:val="0"/>
              </w:rPr>
              <w:snapToGrid w:val="0"/>
            </w:pPr>
            <w:r>
              <w:rPr>
                <w:rFonts w:cs="宋体"/>
                <w:b w:val="0"/>
                <w:sz w:val="21"/>
              </w:rPr>
              <w:t>经验与审计层</w:t>
            </w:r>
          </w:p>
        </w:tc>
        <w:tc>
          <w:tcPr>
            <w:tcW w:w="3458" w:type="dxa"/>
            <w:tcBorders>
              <w:top w:val="nil"/>
              <w:left w:val="nil"/>
              <w:bottom w:val="single" w:color="000000" w:sz="12" w:space="0"/>
              <w:right w:val="nil"/>
            </w:tcBorders>
            <w:shd w:val="clear" w:color="auto" w:fill="FFFFFF"/>
            <w:vAlign w:val="center"/>
          </w:tcPr>
          <w:p w14:paraId="293F1F6C">
            <w:pPr>
              <w:spacing w:before="40" w:after="40" w:line="252" w:lineRule="auto"/>
              <w:jc w:val="both"/>
              <w:rPr>
                <w:rFonts w:hint="eastAsia"/>
                <w:b w:val="0"/>
              </w:rPr>
              <w:snapToGrid w:val="0"/>
            </w:pPr>
            <w:r>
              <w:rPr>
                <w:rFonts w:cs="宋体"/>
                <w:b w:val="0"/>
                <w:sz w:val="21"/>
              </w:rPr>
              <w:t>配置、指标、状态和证据索引</w:t>
            </w:r>
          </w:p>
        </w:tc>
        <w:tc>
          <w:tcPr>
            <w:tcW w:w="2948" w:type="dxa"/>
            <w:tcBorders>
              <w:top w:val="nil"/>
              <w:left w:val="nil"/>
              <w:bottom w:val="single" w:color="000000" w:sz="12" w:space="0"/>
              <w:right w:val="nil"/>
            </w:tcBorders>
            <w:shd w:val="clear" w:color="auto" w:fill="FFFFFF"/>
            <w:vAlign w:val="center"/>
          </w:tcPr>
          <w:p w14:paraId="75A543C1">
            <w:pPr>
              <w:spacing w:before="40" w:after="40" w:line="252" w:lineRule="auto"/>
              <w:ind w:firstLine="0"/>
              <w:jc w:val="both"/>
              <w:rPr>
                <w:rFonts w:hint="eastAsia"/>
                <w:b w:val="0"/>
              </w:rPr>
              <w:snapToGrid w:val="0"/>
            </w:pPr>
            <w:r>
              <w:rPr>
                <w:rFonts w:cs="宋体"/>
                <w:b w:val="0"/>
                <w:sz w:val="21"/>
              </w:rPr>
              <w:t>独立本地模块</w:t>
            </w:r>
          </w:p>
        </w:tc>
      </w:tr>
    </w:tbl>
    <w:p w14:paraId="0E6C6502">
      <w:pPr>
        <w:spacing w:after="0"/>
        <w:rPr>
          <w:rFonts w:hint="eastAsia"/>
        </w:rPr>
        <w:snapToGrid w:val="0"/>
      </w:pPr>
    </w:p>
    <w:p w14:paraId="6F6BA955">
      <w:pPr>
        <w:widowControl/>
        <w:spacing w:line="360" w:lineRule="exact"/>
        <w:ind w:firstLine="420"/>
        <w:rPr>
          <w:rFonts w:hint="eastAsia"/>
        </w:rPr>
        <w:snapToGrid w:val="0"/>
      </w:pPr>
      <w:r>
        <w:rPr>
          <w:rStyle w:val="12"/>
          <w:rFonts w:cs="宋体"/>
        </w:rPr>
        <w:t>自然语言交互层</w:t>
      </w:r>
      <w:r>
        <w:rPr>
          <w:rFonts w:cs="宋体"/>
        </w:rPr>
        <w:t>：面向用户提供交互入口，负责接收用户的自然语言设计需求，维护多轮对话上下文，同时向用户展示最终设计报告、仿真指标与版图结果。</w:t>
      </w:r>
    </w:p>
    <w:p w14:paraId="104C1725">
      <w:pPr>
        <w:widowControl/>
        <w:spacing w:line="360" w:lineRule="exact"/>
        <w:ind w:firstLine="420"/>
        <w:rPr>
          <w:rFonts w:hint="eastAsia"/>
        </w:rPr>
        <w:snapToGrid w:val="0"/>
      </w:pPr>
      <w:r>
        <w:rPr>
          <w:rStyle w:val="12"/>
          <w:rFonts w:cs="宋体"/>
        </w:rPr>
        <w:t>AI规划调度层维护目标、硬约束、可调域与固定条件，协调本地模型的下一候选选择和各阶段预算。代理预测、实际工具评价及多目标排序通过受控接口完成；模型不会因提出新候选而获得修改原始工程或执行任意程序的能力。</w:t>
      </w:r>
      <w:r>
        <w:rPr>
          <w:rFonts w:cs="宋体"/>
        </w:rPr>
      </w:r>
    </w:p>
    <w:p w14:paraId="5220A442">
      <w:pPr>
        <w:widowControl/>
        <w:spacing w:line="360" w:lineRule="exact"/>
        <w:ind w:firstLine="420"/>
        <w:rPr>
          <w:rFonts w:hint="eastAsia"/>
        </w:rPr>
        <w:snapToGrid w:val="0"/>
      </w:pPr>
      <w:r>
        <w:rPr>
          <w:rStyle w:val="12"/>
          <w:rFonts w:cs="宋体"/>
        </w:rPr>
        <w:t>轻量脚本层</w:t>
      </w:r>
      <w:r>
        <w:rPr>
          <w:rFonts w:cs="宋体"/>
        </w:rPr>
        <w:t>：接收上层输出的结构化任务参数，针对单次设计任务动态生成配套配置文件、仿真测试平台、工具执行命令以及后端物理设计约束，原始工程文件保持只读隔离，避免全局脚本耦合带来的调试困难。</w:t>
      </w:r>
    </w:p>
    <w:p w14:paraId="494A4C32">
      <w:pPr>
        <w:widowControl/>
        <w:spacing w:line="360" w:lineRule="exact"/>
        <w:ind w:firstLine="420"/>
        <w:rPr>
          <w:rFonts w:hint="eastAsia"/>
        </w:rPr>
        <w:snapToGrid w:val="0"/>
      </w:pPr>
      <w:r>
        <w:rPr>
          <w:rStyle w:val="12"/>
          <w:rFonts w:cs="宋体"/>
        </w:rPr>
        <w:t>EDA 执行层</w:t>
      </w:r>
      <w:r>
        <w:rPr>
          <w:rFonts w:cs="宋体"/>
        </w:rPr>
        <w:t>：封装调用 OpenACMv2 底层框架，完成 RTL 功能仿真、SPICE 晶体管级仿真、逻辑综合、时序分析、功耗分析以及 OpenROAD 物理实现等全套电路验证与后端流程。</w:t>
      </w:r>
    </w:p>
    <w:p w14:paraId="4259FA4C">
      <w:pPr>
        <w:widowControl/>
        <w:spacing w:line="360" w:lineRule="exact"/>
        <w:ind w:firstLine="420"/>
        <w:rPr>
          <w:rFonts w:hint="eastAsia"/>
        </w:rPr>
        <w:snapToGrid w:val="0"/>
      </w:pPr>
      <w:r>
        <w:rPr>
          <w:rFonts w:cs="宋体"/>
        </w:rPr>
        <w:t>经验与审计层统一保存用户需求、结构化参数、生成脚本、工具日志、EDA指标及源码完整性记录，为历史检索、任务复查和结果复现提供数据基础。</w:t>
      </w:r>
    </w:p>
    <w:p w14:paraId="10E4112D">
      <w:pPr>
        <w:pStyle w:val="3"/>
        <w:spacing w:line="400" w:lineRule="exact"/>
        <w:rPr>
          <w:rFonts w:hint="eastAsia"/>
        </w:rPr>
        <w:keepNext/>
        <w:snapToGrid w:val="0"/>
      </w:pPr>
      <w:bookmarkStart w:id="25" w:name="_Toc244189579"/>
      <w:r>
        <w:rPr>
          <w:rFonts w:cs="宋体"/>
        </w:rPr>
        <w:t>（二）项目实施流程</w:t>
      </w:r>
      <w:bookmarkEnd w:id="25"/>
    </w:p>
    <w:p w14:paraId="18739D7A">
      <w:pPr>
        <w:widowControl/>
        <w:spacing w:line="360" w:lineRule="exact"/>
        <w:ind w:firstLine="420"/>
        <w:rPr>
          <w:rFonts w:hint="eastAsia"/>
        </w:rPr>
        <w:snapToGrid w:val="0"/>
      </w:pPr>
      <w:r>
        <w:t>用户首先通过自然语言输入电路功能、精度阈值、PVT 条件与优化目标。上层本地大模型将自然语言诉求解析为结构化任务参数，交由自研执行器完成字段、数据类型、物理单位与参数值域的合法性校验；校验结果作为任务执行的准入条件。</w:t>
      </w:r>
    </w:p>
    <w:p w14:paraId="266D18A7">
      <w:pPr>
        <w:widowControl/>
        <w:spacing w:line="360" w:lineRule="exact"/>
        <w:ind w:firstLine="420"/>
        <w:rPr>
          <w:rFonts w:hint="eastAsia"/>
        </w:rPr>
        <w:snapToGrid w:val="0"/>
      </w:pPr>
      <w:r>
        <w:rPr>
          <w:rFonts w:cs="宋体"/>
        </w:rPr>
        <w:t>参数校验后，系统按适用范围检索历史记录并在独立目录生成任务文件。探索由外部执行器组织：构造合法且未评价的候选菜单，向模型提供当前已评价历史、失败与目标，再按选择调用对应工具。局部路径逐项实际验证，ACCO路径则将架构预测、入选复核和器件评价分开调度。</w:t>
      </w:r>
    </w:p>
    <w:p w14:paraId="42579583">
      <w:pPr>
        <w:widowControl/>
        <w:spacing w:line="360" w:lineRule="exact"/>
        <w:ind w:firstLine="420"/>
        <w:rPr>
          <w:rFonts w:hint="eastAsia"/>
        </w:rPr>
        <w:snapToGrid w:val="0"/>
      </w:pPr>
      <w:r>
        <w:rPr>
          <w:rFonts w:cs="宋体"/>
        </w:rPr>
        <w:t>架构层以电路拓扑和阵列组织为主要变量；器件层在固定组织下评价晶体管尺寸与PVT条件。处理单元任务依据电路规模、参考宏和时钟约束执行综合、布局布线、寄生提取、布线后功能与时序功耗分析。任务结束后，配置、生成文件及结果统一写入记录。</w:t>
      </w:r>
    </w:p>
    <w:p w14:paraId="350F8A13">
      <w:pPr>
        <w:pStyle w:val="3"/>
        <w:spacing w:line="400" w:lineRule="exact"/>
        <w:rPr>
          <w:rFonts w:hint="eastAsia"/>
        </w:rPr>
        <w:keepNext/>
        <w:snapToGrid w:val="0"/>
      </w:pPr>
      <w:bookmarkStart w:id="26" w:name="_Toc244189580"/>
      <w:r>
        <w:rPr>
          <w:rFonts w:cs="宋体"/>
        </w:rPr>
        <w:t>（三）项目核心创新点</w:t>
      </w:r>
      <w:bookmarkEnd w:id="26"/>
    </w:p>
    <w:p w14:paraId="3030B952">
      <w:pPr>
        <w:keepNext/>
        <w:widowControl/>
        <w:spacing w:line="360" w:lineRule="exact"/>
        <w:ind w:firstLine="420"/>
        <w:rPr>
          <w:rFonts w:hint="eastAsia"/>
        </w:rPr>
        <w:snapToGrid w:val="0"/>
      </w:pPr>
      <w:r>
        <w:rPr>
          <w:rFonts w:cs="宋体"/>
          <w:b/>
        </w:rPr>
        <w:t>创新点一  连续对话驱动的自由探索</w:t>
      </w:r>
    </w:p>
    <w:p w14:paraId="58423E07">
      <w:pPr>
        <w:widowControl/>
        <w:spacing w:line="360" w:lineRule="exact"/>
        <w:ind w:firstLine="420"/>
        <w:rPr>
          <w:rFonts w:hint="eastAsia"/>
        </w:rPr>
        <w:snapToGrid w:val="0"/>
      </w:pPr>
      <w:r>
        <w:rPr>
          <w:rFonts w:cs="宋体"/>
        </w:rPr>
        <w:t>用户给出目标、约束和预算后，无需逐一填写所有候选配置。系统在允许空间中建立基线，逐轮提供合法菜单，由本地模型结合已评价结果选择下一项；工具反馈回到同一对话与搜索记录，形成“提出需求—选择候选—执行评价—利用反馈—继续探索”的闭环。</w:t>
      </w:r>
    </w:p>
    <w:p>
      <w:pPr>
        <w:widowControl/>
        <w:spacing w:line="360" w:lineRule="exact"/>
        <w:ind w:firstLine="420"/>
        <w:rPr>
          <w:rFonts w:hint="eastAsia"/>
        </w:rPr>
        <w:snapToGrid w:val="0"/>
      </w:pPr>
      <w:r>
        <w:t>这种自主性体现在下一项实验的选择和预算内的迭代推进。固定规格与测试条件始终作为边界，模型选择记录和执行结果分别保存；范围外的拓扑修改需另行扩展接口，不能由一句“自由探索”绕过工程约束。</w:t>
      </w:r>
    </w:p>
    <w:p w14:paraId="00527813">
      <w:pPr>
        <w:keepNext/>
        <w:widowControl/>
        <w:spacing w:line="360" w:lineRule="exact"/>
        <w:ind w:firstLine="420"/>
        <w:rPr>
          <w:rFonts w:hint="eastAsia"/>
        </w:rPr>
        <w:snapToGrid w:val="0"/>
      </w:pPr>
      <w:r>
        <w:rPr>
          <w:rFonts w:cs="宋体"/>
          <w:b/>
        </w:rPr>
        <w:t>创新点二  任务级轻量脚本与工具编排</w:t>
      </w:r>
    </w:p>
    <w:p w14:paraId="76D52918">
      <w:pPr>
        <w:widowControl/>
        <w:spacing w:line="360" w:lineRule="exact"/>
        <w:ind w:firstLine="420"/>
        <w:rPr>
          <w:rFonts w:hint="eastAsia"/>
        </w:rPr>
        <w:snapToGrid w:val="0"/>
      </w:pPr>
      <w:r>
        <w:rPr>
          <w:rFonts w:cs="宋体"/>
        </w:rPr>
        <w:t>系统围绕每个任务生成所需的最小文件集合：乘法器任务组织RTL生成、固定测试向量与误差统计；SRAM任务组织阵列配置、器件参数与SPICE测试平台；完整后端任务进一步生成综合、布局布线与时序约束文件。所有修改在专属工作目录中完成，原始OpenACM内置程序保持只读。</w:t>
      </w:r>
    </w:p>
    <w:p w14:paraId="6A9686C3">
      <w:pPr>
        <w:widowControl/>
        <w:spacing w:line="360" w:lineRule="exact"/>
        <w:ind w:firstLine="420"/>
        <w:rPr>
          <w:rFonts w:hint="eastAsia"/>
        </w:rPr>
        <w:snapToGrid w:val="0"/>
      </w:pPr>
      <w:r>
        <w:rPr>
          <w:rFonts w:cs="宋体"/>
        </w:rPr>
        <w:t>不同设计任务采用相应的最小执行文件集合，配置和生成文件在独立工作目录中运行。16×8参考任务完成12个后端阶段，形成从结构化配置到物理后端输出的实际应用案例。[9，E6]</w:t>
      </w:r>
    </w:p>
    <w:p w14:paraId="2BBCD79C">
      <w:pPr>
        <w:keepNext/>
        <w:widowControl/>
        <w:spacing w:line="360" w:lineRule="exact"/>
        <w:ind w:firstLine="420"/>
        <w:rPr>
          <w:rFonts w:hint="eastAsia"/>
        </w:rPr>
        <w:snapToGrid w:val="0"/>
      </w:pPr>
      <w:r>
        <w:rPr>
          <w:rFonts w:cs="宋体"/>
          <w:b/>
        </w:rPr>
        <w:t>创新点三  跨会话、跨模型的持久经验复用</w:t>
      </w:r>
    </w:p>
    <w:p w14:paraId="06A83D50">
      <w:pPr>
        <w:widowControl/>
        <w:spacing w:line="360" w:lineRule="exact"/>
        <w:ind w:firstLine="420"/>
        <w:rPr>
          <w:rFonts w:hint="eastAsia"/>
        </w:rPr>
        <w:snapToGrid w:val="0"/>
      </w:pPr>
      <w:r>
        <w:rPr>
          <w:rFonts w:cs="宋体"/>
        </w:rPr>
        <w:t>经验库把配置、测量条件、结果、失败原因与证据位置保存为模型无关记录，支持跨会话检索与JSONL交换。公开参考和本地实测分开管理，历史方案需符合当前搜索域并重新验证；通过外部记忆积累设计经验，为更换模型或后续代理训练准备数据，而不将其表述为自动更新权重。</w:t>
      </w:r>
    </w:p>
    <w:p w14:paraId="7F44DE08">
      <w:pPr>
        <w:keepNext/>
        <w:widowControl/>
        <w:spacing w:line="360" w:lineRule="exact"/>
        <w:ind w:firstLine="420"/>
        <w:rPr>
          <w:rFonts w:hint="eastAsia"/>
        </w:rPr>
        <w:snapToGrid w:val="0"/>
      </w:pPr>
      <w:r>
        <w:rPr>
          <w:rFonts w:cs="宋体"/>
          <w:b/>
        </w:rPr>
        <w:t>创新点四  架构与器件的分层评价</w:t>
      </w:r>
    </w:p>
    <w:p w14:paraId="1006CD0C">
      <w:pPr>
        <w:widowControl/>
        <w:spacing w:line="360" w:lineRule="exact"/>
        <w:ind w:firstLine="420"/>
        <w:rPr>
          <w:rFonts w:hint="eastAsia"/>
        </w:rPr>
        <w:snapToGrid w:val="0"/>
      </w:pPr>
      <w:r>
        <w:rPr>
          <w:rFonts w:cs="宋体"/>
        </w:rPr>
        <w:t>在ACCO两级思想上增加外部任务编排：架构阶段探索压缩器分配或SRAM组织，入选项完成相应复核后，再在固定架构下调整器件。每一级保存父子关系、基线和评价来源，便于从最终候选追溯其产生过程。</w:t>
      </w:r>
    </w:p>
    <w:p w14:paraId="6FF50DD0">
      <w:pPr>
        <w:widowControl/>
        <w:spacing w:line="360" w:lineRule="exact"/>
        <w:ind w:firstLine="420"/>
        <w:rPr>
          <w:rFonts w:hint="eastAsia"/>
        </w:rPr>
        <w:snapToGrid w:val="0"/>
      </w:pPr>
      <w:r>
        <w:rPr>
          <w:rFonts w:cs="宋体"/>
        </w:rPr>
        <w:t>乘法器架构域包含允许的压缩器类型与逐位置分配；SRAM架构域包含行数、列数、子阵列数量及已支持的列复用比，并满足固定容量与输出接口。原生8/16位近似乘法器可用PEA-GNN筛选，SRAM当前用阵列SPICE加bank估算评价，入选后按指定条件开展器件与PVT任务。</w:t>
      </w:r>
    </w:p>
    <w:p w14:paraId="271FD734">
      <w:pPr>
        <w:widowControl/>
        <w:spacing w:line="360" w:lineRule="exact"/>
        <w:ind w:firstLine="420"/>
        <w:rPr>
          <w:rFonts w:hint="eastAsia"/>
        </w:rPr>
        <w:snapToGrid w:val="0"/>
      </w:pPr>
      <w:r>
        <w:rPr>
          <w:rFonts w:cs="宋体"/>
        </w:rPr>
        <w:t>器件层保持组织和容量固定，逐一评价PD尺寸与PVT组合。64bit SRAM案例完成3种PD尺寸和3组PVT条件的9个子任务，形成读延迟、写延迟、Read SNM及面积估算之间的对应关系，为器件参数选择提供数据。[9，E5]</w:t>
      </w:r>
    </w:p>
    <w:p w14:paraId="0B8FBC70">
      <w:pPr>
        <w:keepNext/>
        <w:widowControl/>
        <w:spacing w:line="360" w:lineRule="exact"/>
        <w:ind w:firstLine="420"/>
        <w:rPr>
          <w:rFonts w:hint="eastAsia"/>
        </w:rPr>
        <w:snapToGrid w:val="0"/>
      </w:pPr>
      <w:r>
        <w:rPr>
          <w:rFonts w:cs="宋体"/>
          <w:b/>
        </w:rPr>
        <w:t>创新点五  可验证的搜索过程与统一方法对照</w:t>
      </w:r>
    </w:p>
    <w:p w14:paraId="243CC04C">
      <w:pPr>
        <w:widowControl/>
        <w:spacing w:line="360" w:lineRule="exact"/>
        <w:ind w:firstLine="420"/>
        <w:rPr>
          <w:rFonts w:hint="eastAsia"/>
        </w:rPr>
        <w:snapToGrid w:val="0"/>
      </w:pPr>
      <w:r>
        <w:rPr>
          <w:rFonts w:cs="宋体"/>
        </w:rPr>
        <w:t>平台区分预测、模型估算和真实工具测量，将每轮菜单、选择、失败、约束判定及停止原因归档。方法对照使用共同池、统一基线、分离种子和相同复核预算；成功指标与失败分母一同报告，使自由探索的过程和最终结果都能被检查，而不以模型的文字判断代替验收。</w:t>
      </w:r>
    </w:p>
    <w:p w14:paraId="49A9F282">
      <w:pPr>
        <w:keepNext/>
        <w:jc w:val="center"/>
        <w:rPr>
          <w:rFonts w:hint="eastAsia"/>
        </w:rPr>
        <w:snapToGrid w:val="0"/>
      </w:pPr>
      <w:r>
        <w:drawing>
          <wp:inline distT="0" distB="0" distL="0" distR="0">
            <wp:extent cx="5399405" cy="766445"/>
            <wp:effectExtent l="0" t="0" r="10795"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5400000" cy="766767"/>
                    </a:xfrm>
                    <a:prstGeom prst="rect">
                      <a:avLst/>
                    </a:prstGeom>
                  </pic:spPr>
                </pic:pic>
              </a:graphicData>
            </a:graphic>
          </wp:inline>
        </w:drawing>
      </w:r>
    </w:p>
    <w:p w14:paraId="17C94955">
      <w:pPr>
        <w:pStyle w:val="14"/>
        <w:spacing w:before="100" w:after="140" w:line="280" w:lineRule="exact"/>
        <w:jc w:val="center"/>
        <w:rPr>
          <w:rFonts w:hint="eastAsia"/>
        </w:rPr>
        <w:snapToGrid w:val="0"/>
      </w:pPr>
      <w:r>
        <w:t>图1  精度约束贯穿的设计流程</w:t>
      </w:r>
    </w:p>
    <w:p>
      <w:pPr>
        <w:pStyle w:val="3"/>
        <w:keepNext/>
        <w:snapToGrid w:val="0"/>
        <w:spacing w:line="400" w:lineRule="exact"/>
      </w:pPr>
      <w:r>
        <w:t>（四）目标驱动的自由探索工作流</w:t>
      </w:r>
    </w:p>
    <w:p>
      <w:pPr>
        <w:widowControl/>
        <w:spacing w:line="360" w:lineRule="exact"/>
        <w:ind w:firstLine="420"/>
        <w:rPr>
          <w:rFonts w:hint="eastAsia"/>
        </w:rPr>
        <w:snapToGrid w:val="0"/>
      </w:pPr>
      <w:r>
        <w:t>自由探索是平台的主要交互能力之一：用户主要指定“要优化什么、必须满足什么、哪些条件固定、最多运行多久”，系统在已实现的设计域内安排下一项实验。以8位近似乘法器为例，可开放统一压缩器或逐位置分配，以MRED为约束，在综合面积或PDP目标下进行有限预算搜索。</w:t>
      </w:r>
    </w:p>
    <w:p>
      <w:pPr>
        <w:widowControl/>
        <w:spacing w:line="360" w:lineRule="exact"/>
        <w:ind w:firstLine="420"/>
        <w:rPr>
          <w:rFonts w:hint="eastAsia"/>
        </w:rPr>
        <w:snapToGrid w:val="0"/>
      </w:pPr>
      <w:r>
        <w:t>闭环从同条件基线开始。执行器构造合法候选，局部探索菜单覆盖模板类型、当前最佳附近的单参数变化和多参数组合；ACCO阶段从明确的架构或器件域生成候选。LLM读取近期已评价记录和失败，在允许菜单中选择，程序再完成范围校验与工具调用。新的实测或预测按照来源进入下一轮历史，不能提前宣布尚未测量的候选达标。</w:t>
      </w:r>
    </w:p>
    <w:p>
      <w:pPr>
        <w:widowControl/>
        <w:spacing w:line="360" w:lineRule="exact"/>
        <w:ind w:firstLine="420"/>
        <w:rPr>
          <w:rFonts w:hint="eastAsia"/>
        </w:rPr>
        <w:snapToGrid w:val="0"/>
      </w:pPr>
      <w:r>
        <w:t>策略可按阶段选择LLM、随机或NSGA-II。用户既可进行单点仿真，也可逐轮局部探索，或选择先架构后器件的研究流程；正式方法对照使用独立入口，确保共同候选池和评价预算一致。系统据配置维护可行最优与Pareto候选，达到候选数、墙钟时限、空间耗尽或中断条件后停止并说明原因。</w:t>
      </w:r>
    </w:p>
    <w:p>
      <w:pPr>
        <w:keepNext/>
        <w:widowControl/>
        <w:ind w:firstLine="0"/>
        <w:jc w:val="center"/>
        <w:rPr>
          <w:rFonts w:hint="eastAsia"/>
        </w:rPr>
        <w:snapToGrid w:val="0"/>
      </w:pPr>
      <w:r>
        <w:drawing>
          <wp:inline xmlns:a="http://schemas.openxmlformats.org/drawingml/2006/main" xmlns:pic="http://schemas.openxmlformats.org/drawingml/2006/picture">
            <wp:extent cx="5328000" cy="2932169"/>
            <wp:docPr id="4" name="Picture 4"/>
            <wp:cNvGraphicFramePr>
              <a:graphicFrameLocks noChangeAspect="1"/>
            </wp:cNvGraphicFramePr>
            <a:graphic>
              <a:graphicData uri="http://schemas.openxmlformats.org/drawingml/2006/picture">
                <pic:pic>
                  <pic:nvPicPr>
                    <pic:cNvPr id="0" name="free_exploration_loop.png"/>
                    <pic:cNvPicPr/>
                  </pic:nvPicPr>
                  <pic:blipFill>
                    <a:blip r:embed="rId17"/>
                    <a:stretch>
                      <a:fillRect/>
                    </a:stretch>
                  </pic:blipFill>
                  <pic:spPr>
                    <a:xfrm>
                      <a:off x="0" y="0"/>
                      <a:ext cx="5328000" cy="2932169"/>
                    </a:xfrm>
                    <a:prstGeom prst="rect"/>
                  </pic:spPr>
                </pic:pic>
              </a:graphicData>
            </a:graphic>
          </wp:inline>
        </w:drawing>
      </w:r>
    </w:p>
    <w:p>
      <w:pPr>
        <w:pStyle w:val="14"/>
        <w:snapToGrid w:val="0"/>
        <w:spacing w:line="280" w:lineRule="exact"/>
      </w:pPr>
      <w:r>
        <w:t>图2  目标驱动的自由探索与工具反馈闭环</w:t>
      </w:r>
    </w:p>
    <w:p>
      <w:pPr>
        <w:pStyle w:val="14"/>
        <w:snapToGrid w:val="0"/>
        <w:spacing w:line="280" w:lineRule="exact"/>
      </w:pPr>
      <w:r>
        <w:t>表4  特色功能、交互方式与交付结果</w:t>
      </w:r>
    </w:p>
    <w:tbl>
      <w:tblPr>
        <w:tblW w:type="auto" w:w="0"/>
        <w:tblLayout w:type="fixed"/>
        <w:tblLook w:firstColumn="1" w:firstRow="1" w:lastColumn="0" w:lastRow="0" w:noHBand="0" w:noVBand="1" w:val="04A0"/>
      </w:tblPr>
      <w:tblGrid>
        <w:gridCol w:w="1701"/>
        <w:gridCol w:w="3118"/>
        <w:gridCol w:w="3572"/>
      </w:tblGrid>
      <w:tr>
        <w:trPr>
          <w:cantSplit/>
          <w:tblHeader/>
        </w:trPr>
        <w:tc>
          <w:tcPr>
            <w:tcW w:type="dxa" w:w="1701"/>
            <w:shd w:fill="EAF1F6"/>
          </w:tcPr>
          <w:p>
            <w:pPr>
              <w:spacing w:line="276" w:lineRule="auto" w:after="80" w:before="60"/>
              <w:ind w:firstLine="0"/>
              <w:snapToGrid w:val="0"/>
            </w:pPr>
            <w:r>
              <w:rPr>
                <w:rFonts w:ascii="Times New Roman" w:hAnsi="Times New Roman" w:eastAsia="宋体"/>
                <w:b/>
                <w:sz w:val="20"/>
              </w:rPr>
              <w:t>特色功能</w:t>
            </w:r>
          </w:p>
        </w:tc>
        <w:tc>
          <w:tcPr>
            <w:tcW w:type="dxa" w:w="3118"/>
            <w:shd w:fill="EAF1F6"/>
          </w:tcPr>
          <w:p>
            <w:pPr>
              <w:spacing w:line="276" w:lineRule="auto" w:after="80" w:before="60"/>
              <w:ind w:firstLine="0"/>
              <w:snapToGrid w:val="0"/>
            </w:pPr>
            <w:r>
              <w:rPr>
                <w:rFonts w:ascii="Times New Roman" w:hAnsi="Times New Roman" w:eastAsia="宋体"/>
                <w:b/>
                <w:sz w:val="20"/>
              </w:rPr>
              <w:t>系统承担的工作</w:t>
            </w:r>
          </w:p>
        </w:tc>
        <w:tc>
          <w:tcPr>
            <w:tcW w:type="dxa" w:w="3572"/>
            <w:shd w:fill="EAF1F6"/>
          </w:tcPr>
          <w:p>
            <w:pPr>
              <w:spacing w:line="276" w:lineRule="auto" w:after="80" w:before="60"/>
              <w:ind w:firstLine="0"/>
              <w:snapToGrid w:val="0"/>
            </w:pPr>
            <w:r>
              <w:rPr>
                <w:rFonts w:ascii="Times New Roman" w:hAnsi="Times New Roman" w:eastAsia="宋体"/>
                <w:b/>
                <w:sz w:val="20"/>
              </w:rPr>
              <w:t>固定边界与输出</w:t>
            </w:r>
          </w:p>
        </w:tc>
      </w:tr>
      <w:tr>
        <w:trPr>
          <w:cantSplit/>
        </w:trPr>
        <w:tc>
          <w:tcPr>
            <w:tcW w:type="dxa" w:w="1701"/>
          </w:tcPr>
          <w:p>
            <w:pPr>
              <w:spacing w:line="276" w:lineRule="auto" w:after="80" w:before="60"/>
              <w:ind w:firstLine="0"/>
              <w:snapToGrid w:val="0"/>
            </w:pPr>
            <w:r>
              <w:rPr>
                <w:rFonts w:ascii="Times New Roman" w:hAnsi="Times New Roman" w:eastAsia="宋体"/>
                <w:b w:val="0"/>
                <w:sz w:val="20"/>
              </w:rPr>
              <w:t>连续设计对话</w:t>
            </w:r>
          </w:p>
        </w:tc>
        <w:tc>
          <w:tcPr>
            <w:tcW w:type="dxa" w:w="3118"/>
          </w:tcPr>
          <w:p>
            <w:pPr>
              <w:spacing w:line="276" w:lineRule="auto" w:after="80" w:before="60"/>
              <w:ind w:firstLine="0"/>
              <w:snapToGrid w:val="0"/>
            </w:pPr>
            <w:r>
              <w:rPr>
                <w:rFonts w:ascii="Times New Roman" w:hAnsi="Times New Roman" w:eastAsia="宋体"/>
                <w:b w:val="0"/>
                <w:sz w:val="20"/>
              </w:rPr>
              <w:t>将咨询、修改、执行和结果分析关联到同一设计</w:t>
            </w:r>
          </w:p>
        </w:tc>
        <w:tc>
          <w:tcPr>
            <w:tcW w:type="dxa" w:w="3572"/>
          </w:tcPr>
          <w:p>
            <w:pPr>
              <w:spacing w:line="276" w:lineRule="auto" w:after="80" w:before="60"/>
              <w:ind w:firstLine="0"/>
              <w:snapToGrid w:val="0"/>
            </w:pPr>
            <w:r>
              <w:rPr>
                <w:rFonts w:ascii="Times New Roman" w:hAnsi="Times New Roman" w:eastAsia="宋体"/>
                <w:b w:val="0"/>
                <w:sz w:val="20"/>
              </w:rPr>
              <w:t>保留结构化条件；输出计划、指标及后续建议</w:t>
            </w:r>
          </w:p>
        </w:tc>
      </w:tr>
      <w:tr>
        <w:trPr>
          <w:cantSplit/>
        </w:trPr>
        <w:tc>
          <w:tcPr>
            <w:tcW w:type="dxa" w:w="1701"/>
          </w:tcPr>
          <w:p>
            <w:pPr>
              <w:spacing w:line="276" w:lineRule="auto" w:after="80" w:before="60"/>
              <w:ind w:firstLine="0"/>
              <w:snapToGrid w:val="0"/>
            </w:pPr>
            <w:r>
              <w:rPr>
                <w:rFonts w:ascii="Times New Roman" w:hAnsi="Times New Roman" w:eastAsia="宋体"/>
                <w:b w:val="0"/>
                <w:sz w:val="20"/>
              </w:rPr>
              <w:t>目标驱动自由探索</w:t>
            </w:r>
          </w:p>
        </w:tc>
        <w:tc>
          <w:tcPr>
            <w:tcW w:type="dxa" w:w="3118"/>
          </w:tcPr>
          <w:p>
            <w:pPr>
              <w:spacing w:line="276" w:lineRule="auto" w:after="80" w:before="60"/>
              <w:ind w:firstLine="0"/>
              <w:snapToGrid w:val="0"/>
            </w:pPr>
            <w:r>
              <w:rPr>
                <w:rFonts w:ascii="Times New Roman" w:hAnsi="Times New Roman" w:eastAsia="宋体"/>
                <w:b w:val="0"/>
                <w:sz w:val="20"/>
              </w:rPr>
              <w:t>构造合法菜单，结合反馈选择下一候选并继续评价</w:t>
            </w:r>
          </w:p>
        </w:tc>
        <w:tc>
          <w:tcPr>
            <w:tcW w:type="dxa" w:w="3572"/>
          </w:tcPr>
          <w:p>
            <w:pPr>
              <w:spacing w:line="276" w:lineRule="auto" w:after="80" w:before="60"/>
              <w:ind w:firstLine="0"/>
              <w:snapToGrid w:val="0"/>
            </w:pPr>
            <w:r>
              <w:rPr>
                <w:rFonts w:ascii="Times New Roman" w:hAnsi="Times New Roman" w:eastAsia="宋体"/>
                <w:b w:val="0"/>
                <w:sz w:val="20"/>
              </w:rPr>
              <w:t>固定规格/测试；输出可行最优、Pareto及停止原因</w:t>
            </w:r>
          </w:p>
        </w:tc>
      </w:tr>
      <w:tr>
        <w:trPr>
          <w:cantSplit/>
        </w:trPr>
        <w:tc>
          <w:tcPr>
            <w:tcW w:type="dxa" w:w="1701"/>
          </w:tcPr>
          <w:p>
            <w:pPr>
              <w:spacing w:line="276" w:lineRule="auto" w:after="80" w:before="60"/>
              <w:ind w:firstLine="0"/>
              <w:snapToGrid w:val="0"/>
            </w:pPr>
            <w:r>
              <w:rPr>
                <w:rFonts w:ascii="Times New Roman" w:hAnsi="Times New Roman" w:eastAsia="宋体"/>
                <w:b w:val="0"/>
                <w:sz w:val="20"/>
              </w:rPr>
              <w:t>两级任务编排</w:t>
            </w:r>
          </w:p>
        </w:tc>
        <w:tc>
          <w:tcPr>
            <w:tcW w:type="dxa" w:w="3118"/>
          </w:tcPr>
          <w:p>
            <w:pPr>
              <w:spacing w:line="276" w:lineRule="auto" w:after="80" w:before="60"/>
              <w:ind w:firstLine="0"/>
              <w:snapToGrid w:val="0"/>
            </w:pPr>
            <w:r>
              <w:rPr>
                <w:rFonts w:ascii="Times New Roman" w:hAnsi="Times New Roman" w:eastAsia="宋体"/>
                <w:b w:val="0"/>
                <w:sz w:val="20"/>
              </w:rPr>
              <w:t>架构选点、入选复核、固定架构的器件/PVT评价</w:t>
            </w:r>
          </w:p>
        </w:tc>
        <w:tc>
          <w:tcPr>
            <w:tcW w:type="dxa" w:w="3572"/>
          </w:tcPr>
          <w:p>
            <w:pPr>
              <w:spacing w:line="276" w:lineRule="auto" w:after="80" w:before="60"/>
              <w:ind w:firstLine="0"/>
              <w:snapToGrid w:val="0"/>
            </w:pPr>
            <w:r>
              <w:rPr>
                <w:rFonts w:ascii="Times New Roman" w:hAnsi="Times New Roman" w:eastAsia="宋体"/>
                <w:b w:val="0"/>
                <w:sz w:val="20"/>
              </w:rPr>
              <w:t>保存阶段父子关系；区分预测、SPICE和估算</w:t>
            </w:r>
          </w:p>
        </w:tc>
      </w:tr>
      <w:tr>
        <w:trPr>
          <w:cantSplit/>
        </w:trPr>
        <w:tc>
          <w:tcPr>
            <w:tcW w:type="dxa" w:w="1701"/>
          </w:tcPr>
          <w:p>
            <w:pPr>
              <w:spacing w:line="276" w:lineRule="auto" w:after="80" w:before="60"/>
              <w:ind w:firstLine="0"/>
              <w:snapToGrid w:val="0"/>
            </w:pPr>
            <w:r>
              <w:rPr>
                <w:rFonts w:ascii="Times New Roman" w:hAnsi="Times New Roman" w:eastAsia="宋体"/>
                <w:b w:val="0"/>
                <w:sz w:val="20"/>
              </w:rPr>
              <w:t>持久经验与公开参考</w:t>
            </w:r>
          </w:p>
        </w:tc>
        <w:tc>
          <w:tcPr>
            <w:tcW w:type="dxa" w:w="3118"/>
          </w:tcPr>
          <w:p>
            <w:pPr>
              <w:spacing w:line="276" w:lineRule="auto" w:after="80" w:before="60"/>
              <w:ind w:firstLine="0"/>
              <w:snapToGrid w:val="0"/>
            </w:pPr>
            <w:r>
              <w:rPr>
                <w:rFonts w:ascii="Times New Roman" w:hAnsi="Times New Roman" w:eastAsia="宋体"/>
                <w:b w:val="0"/>
                <w:sz w:val="20"/>
              </w:rPr>
              <w:t>按测试条件检索配置与失败记录，支持JSONL交换</w:t>
            </w:r>
          </w:p>
        </w:tc>
        <w:tc>
          <w:tcPr>
            <w:tcW w:type="dxa" w:w="3572"/>
          </w:tcPr>
          <w:p>
            <w:pPr>
              <w:spacing w:line="276" w:lineRule="auto" w:after="80" w:before="60"/>
              <w:ind w:firstLine="0"/>
              <w:snapToGrid w:val="0"/>
            </w:pPr>
            <w:r>
              <w:rPr>
                <w:rFonts w:ascii="Times New Roman" w:hAnsi="Times New Roman" w:eastAsia="宋体"/>
                <w:b w:val="0"/>
                <w:sz w:val="20"/>
              </w:rPr>
              <w:t>参考与实测分开；历史候选仍重新验收</w:t>
            </w:r>
          </w:p>
        </w:tc>
      </w:tr>
      <w:tr>
        <w:trPr>
          <w:cantSplit/>
        </w:trPr>
        <w:tc>
          <w:tcPr>
            <w:tcW w:type="dxa" w:w="1701"/>
          </w:tcPr>
          <w:p>
            <w:pPr>
              <w:spacing w:line="276" w:lineRule="auto" w:after="80" w:before="60"/>
              <w:ind w:firstLine="0"/>
              <w:snapToGrid w:val="0"/>
            </w:pPr>
            <w:r>
              <w:rPr>
                <w:rFonts w:ascii="Times New Roman" w:hAnsi="Times New Roman" w:eastAsia="宋体"/>
                <w:b w:val="0"/>
                <w:sz w:val="20"/>
              </w:rPr>
              <w:t>统一方法对照</w:t>
            </w:r>
          </w:p>
        </w:tc>
        <w:tc>
          <w:tcPr>
            <w:tcW w:type="dxa" w:w="3118"/>
          </w:tcPr>
          <w:p>
            <w:pPr>
              <w:spacing w:line="276" w:lineRule="auto" w:after="80" w:before="60"/>
              <w:ind w:firstLine="0"/>
              <w:snapToGrid w:val="0"/>
            </w:pPr>
            <w:r>
              <w:rPr>
                <w:rFonts w:ascii="Times New Roman" w:hAnsi="Times New Roman" w:eastAsia="宋体"/>
                <w:b w:val="0"/>
                <w:sz w:val="20"/>
              </w:rPr>
              <w:t>在同池、同基线、同评价条件下调度多种策略</w:t>
            </w:r>
          </w:p>
        </w:tc>
        <w:tc>
          <w:tcPr>
            <w:tcW w:type="dxa" w:w="3572"/>
          </w:tcPr>
          <w:p>
            <w:pPr>
              <w:spacing w:line="276" w:lineRule="auto" w:after="80" w:before="60"/>
              <w:ind w:firstLine="0"/>
              <w:snapToGrid w:val="0"/>
            </w:pPr>
            <w:r>
              <w:rPr>
                <w:rFonts w:ascii="Times New Roman" w:hAnsi="Times New Roman" w:eastAsia="宋体"/>
                <w:b w:val="0"/>
                <w:sz w:val="20"/>
              </w:rPr>
              <w:t>分离搜索/测试种子；记录调用次数与墙钟成本</w:t>
            </w:r>
          </w:p>
        </w:tc>
      </w:tr>
      <w:tr>
        <w:trPr>
          <w:cantSplit/>
        </w:trPr>
        <w:tc>
          <w:tcPr>
            <w:tcW w:type="dxa" w:w="1701"/>
          </w:tcPr>
          <w:p>
            <w:pPr>
              <w:spacing w:line="276" w:lineRule="auto" w:after="80" w:before="60"/>
              <w:ind w:firstLine="0"/>
              <w:snapToGrid w:val="0"/>
            </w:pPr>
            <w:r>
              <w:rPr>
                <w:rFonts w:ascii="Times New Roman" w:hAnsi="Times New Roman" w:eastAsia="宋体"/>
                <w:b w:val="0"/>
                <w:sz w:val="20"/>
              </w:rPr>
              <w:t>任务隔离与追溯</w:t>
            </w:r>
          </w:p>
        </w:tc>
        <w:tc>
          <w:tcPr>
            <w:tcW w:type="dxa" w:w="3118"/>
          </w:tcPr>
          <w:p>
            <w:pPr>
              <w:spacing w:line="276" w:lineRule="auto" w:after="80" w:before="60"/>
              <w:ind w:firstLine="0"/>
              <w:snapToGrid w:val="0"/>
            </w:pPr>
            <w:r>
              <w:rPr>
                <w:rFonts w:ascii="Times New Roman" w:hAnsi="Times New Roman" w:eastAsia="宋体"/>
                <w:b w:val="0"/>
                <w:sz w:val="20"/>
              </w:rPr>
              <w:t>生成轻量脚本，保存配置、网表、日志与哈希</w:t>
            </w:r>
          </w:p>
        </w:tc>
        <w:tc>
          <w:tcPr>
            <w:tcW w:type="dxa" w:w="3572"/>
          </w:tcPr>
          <w:p>
            <w:pPr>
              <w:spacing w:line="276" w:lineRule="auto" w:after="80" w:before="60"/>
              <w:ind w:firstLine="0"/>
              <w:snapToGrid w:val="0"/>
            </w:pPr>
            <w:r>
              <w:rPr>
                <w:rFonts w:ascii="Times New Roman" w:hAnsi="Times New Roman" w:eastAsia="宋体"/>
                <w:b w:val="0"/>
                <w:sz w:val="20"/>
              </w:rPr>
              <w:t>原始程序只读；所有新文件进入专属任务目录</w:t>
            </w:r>
          </w:p>
        </w:tc>
      </w:tr>
    </w:tbl>
    <w:p>
      <w:pPr>
        <w:widowControl/>
        <w:spacing w:line="360" w:lineRule="exact"/>
        <w:ind w:firstLine="420"/>
        <w:rPr>
          <w:rFonts w:hint="eastAsia"/>
        </w:rPr>
        <w:snapToGrid w:val="0"/>
      </w:pPr>
      <w:r>
        <w:t>后续复验可引用保存的完整配置：SRAM使用best_experiment保留总容量、组织与PVT，乘法器保留压缩器位置分配和测试条件。旧单级探索支持检查点续跑；完整ACCO当前用原配置新建任务复验，尚未开放中途恢复。这样可以持续推进研究，同时保留每次尝试的文件与判定。</w:t>
      </w:r>
    </w:p>
    <w:p w14:paraId="200F0F22">
      <w:pPr>
        <w:pStyle w:val="3"/>
        <w:spacing w:line="400" w:lineRule="exact"/>
        <w:rPr>
          <w:rFonts w:hint="eastAsia"/>
        </w:rPr>
        <w:keepNext/>
        <w:snapToGrid w:val="0"/>
      </w:pPr>
      <w:bookmarkStart w:id="27" w:name="_Toc244189581"/>
      <w:r>
        <w:rPr>
          <w:rFonts w:cs="宋体"/>
        </w:rPr>
        <w:t>（五）安全与可复现机制</w:t>
      </w:r>
      <w:bookmarkEnd w:id="27"/>
    </w:p>
    <w:p w14:paraId="7CC4493D">
      <w:pPr>
        <w:widowControl/>
        <w:spacing w:line="360" w:lineRule="exact"/>
        <w:ind w:firstLine="420"/>
        <w:rPr>
          <w:rFonts w:hint="eastAsia"/>
        </w:rPr>
        <w:snapToGrid w:val="0"/>
      </w:pPr>
      <w:r>
        <w:rPr>
          <w:rFonts w:cs="宋体"/>
        </w:rPr>
        <w:t>任务在独立工作目录内执行，源工程保持只读。执行前后检查原始文件的内容哈希、大小、权限和修改时间；任务需求、计划、配置、生成电路、日志与报告统一归档。</w:t>
      </w:r>
    </w:p>
    <w:p w14:paraId="113AAAB7">
      <w:pPr>
        <w:widowControl/>
        <w:spacing w:line="360" w:lineRule="exact"/>
        <w:ind w:firstLine="420"/>
        <w:rPr>
          <w:rFonts w:hint="eastAsia"/>
        </w:rPr>
        <w:snapToGrid w:val="0"/>
      </w:pPr>
      <w:r>
        <w:rPr>
          <w:rFonts w:cs="宋体"/>
        </w:rPr>
        <w:t>已引用任务的源完整性记录为unchanged=true，新任务保存独立的source_integrity.json。共同候选池、测试向量和综合库通过SHA256记录版本，实验结果通过任务编号定位，形成从配置到工具输出的追溯链。[9，证据索引]</w:t>
      </w:r>
    </w:p>
    <w:p w14:paraId="12B3E435">
      <w:pPr>
        <w:pStyle w:val="2"/>
        <w:spacing w:line="440" w:lineRule="exact"/>
        <w:rPr>
          <w:rFonts w:hint="eastAsia"/>
        </w:rPr>
        <w:keepNext/>
        <w:snapToGrid w:val="0"/>
      </w:pPr>
      <w:bookmarkStart w:id="28" w:name="_Toc244189582"/>
      <w:bookmarkStart w:id="29" w:name="_Toc31940"/>
      <w:r>
        <w:rPr>
          <w:rFonts w:cs="宋体"/>
        </w:rPr>
        <w:t>五、应用成效</w:t>
      </w:r>
      <w:bookmarkEnd w:id="28"/>
      <w:bookmarkEnd w:id="29"/>
    </w:p>
    <w:p w14:paraId="1A4681CC">
      <w:pPr>
        <w:pStyle w:val="3"/>
        <w:spacing w:line="400" w:lineRule="exact"/>
        <w:rPr>
          <w:rFonts w:hint="eastAsia"/>
        </w:rPr>
        <w:keepNext/>
        <w:snapToGrid w:val="0"/>
      </w:pPr>
      <w:bookmarkStart w:id="30" w:name="_Toc244189583"/>
      <w:r>
        <w:rPr>
          <w:rFonts w:cs="宋体"/>
        </w:rPr>
        <w:t>（一）自然语言任务的完整执行</w:t>
      </w:r>
      <w:bookmarkEnd w:id="30"/>
    </w:p>
    <w:p w14:paraId="1DEE3FF6">
      <w:pPr>
        <w:widowControl/>
        <w:spacing w:line="360" w:lineRule="exact"/>
        <w:ind w:firstLine="420"/>
        <w:rPr>
          <w:rFonts w:hint="eastAsia"/>
        </w:rPr>
        <w:snapToGrid w:val="0"/>
      </w:pPr>
      <w:r>
        <w:rPr>
          <w:rFonts w:cs="宋体"/>
        </w:rPr>
        <w:t>以16×8精确DCiM为例，用户通过自然语言指定电路规模、乘法输入穷举、10ns时钟周期以及setup slack≥0ns、hold slack≥0ns、详细布线DRC≤0的验收要求。系统将需求整理为结构化配置并调用实际工具，任务状态为completed。</w:t>
      </w:r>
    </w:p>
    <w:p w14:paraId="58187378">
      <w:pPr>
        <w:pStyle w:val="14"/>
        <w:keepNext/>
        <w:spacing w:before="100" w:after="140" w:line="280" w:lineRule="exact"/>
        <w:jc w:val="center"/>
        <w:rPr>
          <w:rFonts w:hint="eastAsia"/>
        </w:rPr>
        <w:snapToGrid w:val="0"/>
      </w:pPr>
      <w:r>
        <w:t>表5  典型任务的需求到配置映射</w:t>
      </w:r>
    </w:p>
    <w:tbl>
      <w:tblPr>
        <w:tblStyle w:val="10"/>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85" w:type="dxa"/>
          <w:bottom w:w="85" w:type="dxa"/>
          <w:right w:w="85" w:type="dxa"/>
        </w:tblCellMar>
      </w:tblPr>
      <w:tblGrid>
        <w:gridCol w:w="2041"/>
        <w:gridCol w:w="4762"/>
      </w:tblGrid>
      <w:tr w14:paraId="33B2AD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tblHeader/>
          <w:jc w:val="center"/>
        </w:trPr>
        <w:tc>
          <w:tcPr>
            <w:tcW w:w="2041" w:type="dxa"/>
            <w:tcBorders>
              <w:top w:val="single" w:color="000000" w:sz="12" w:space="0"/>
              <w:left w:val="nil"/>
              <w:bottom w:val="single" w:color="000000" w:sz="4" w:space="0"/>
              <w:right w:val="nil"/>
              <w:tl2br w:val="nil"/>
            </w:tcBorders>
            <w:shd w:val="clear" w:color="auto" w:fill="FFFFFF"/>
            <w:vAlign w:val="center"/>
          </w:tcPr>
          <w:p w14:paraId="3D1297CA">
            <w:pPr>
              <w:keepNext/>
              <w:spacing w:before="40" w:after="40" w:line="252" w:lineRule="auto"/>
              <w:ind w:left="0" w:leftChars="0" w:firstLine="0" w:firstLineChars="0"/>
              <w:rPr>
                <w:rFonts w:hint="eastAsia"/>
                <w:b w:val="0"/>
              </w:rPr>
              <w:snapToGrid w:val="0"/>
            </w:pPr>
            <w:r>
              <w:rPr>
                <w:rFonts w:cs="宋体"/>
                <w:b w:val="0"/>
                <w:sz w:val="21"/>
              </w:rPr>
              <w:t>需求内容</w:t>
            </w:r>
          </w:p>
        </w:tc>
        <w:tc>
          <w:tcPr>
            <w:tcW w:w="4762" w:type="dxa"/>
            <w:tcBorders>
              <w:top w:val="single" w:color="000000" w:sz="12" w:space="0"/>
              <w:left w:val="nil"/>
              <w:bottom w:val="single" w:color="000000" w:sz="4" w:space="0"/>
              <w:right w:val="nil"/>
            </w:tcBorders>
            <w:shd w:val="clear" w:color="auto" w:fill="FFFFFF"/>
            <w:vAlign w:val="center"/>
          </w:tcPr>
          <w:p w14:paraId="0D55E805">
            <w:pPr>
              <w:keepNext/>
              <w:spacing w:before="40" w:after="40" w:line="252" w:lineRule="auto"/>
              <w:jc w:val="both"/>
              <w:rPr>
                <w:rFonts w:hint="eastAsia"/>
                <w:b w:val="0"/>
              </w:rPr>
              <w:snapToGrid w:val="0"/>
            </w:pPr>
            <w:r>
              <w:rPr>
                <w:rFonts w:cs="宋体"/>
                <w:b w:val="0"/>
                <w:sz w:val="21"/>
              </w:rPr>
              <w:t>结构化配置</w:t>
            </w:r>
          </w:p>
        </w:tc>
      </w:tr>
      <w:tr w14:paraId="0C2617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2041" w:type="dxa"/>
            <w:tcBorders>
              <w:top w:val="single" w:color="000000" w:sz="4" w:space="0"/>
              <w:left w:val="nil"/>
              <w:bottom w:val="nil"/>
              <w:right w:val="nil"/>
            </w:tcBorders>
            <w:shd w:val="clear" w:color="auto" w:fill="FFFFFF"/>
            <w:vAlign w:val="center"/>
          </w:tcPr>
          <w:p w14:paraId="68C29532">
            <w:pPr>
              <w:spacing w:before="40" w:after="40" w:line="252" w:lineRule="auto"/>
              <w:ind w:left="0" w:leftChars="0" w:firstLine="0" w:firstLineChars="0"/>
              <w:rPr>
                <w:rFonts w:hint="eastAsia"/>
                <w:b w:val="0"/>
              </w:rPr>
              <w:snapToGrid w:val="0"/>
            </w:pPr>
            <w:r>
              <w:rPr>
                <w:rFonts w:cs="宋体"/>
                <w:b w:val="0"/>
                <w:sz w:val="21"/>
              </w:rPr>
              <w:t>电路规模</w:t>
            </w:r>
          </w:p>
        </w:tc>
        <w:tc>
          <w:tcPr>
            <w:tcW w:w="4762" w:type="dxa"/>
            <w:tcBorders>
              <w:top w:val="single" w:color="000000" w:sz="4" w:space="0"/>
              <w:left w:val="nil"/>
              <w:bottom w:val="nil"/>
              <w:right w:val="nil"/>
            </w:tcBorders>
            <w:shd w:val="clear" w:color="auto" w:fill="FFFFFF"/>
            <w:vAlign w:val="center"/>
          </w:tcPr>
          <w:p w14:paraId="0BE28572">
            <w:pPr>
              <w:spacing w:before="40" w:after="40" w:line="252" w:lineRule="auto"/>
              <w:jc w:val="both"/>
              <w:rPr>
                <w:rFonts w:hint="eastAsia"/>
                <w:b w:val="0"/>
              </w:rPr>
              <w:snapToGrid w:val="0"/>
            </w:pPr>
            <w:r>
              <w:rPr>
                <w:rFonts w:cs="宋体"/>
                <w:b w:val="0"/>
                <w:sz w:val="21"/>
              </w:rPr>
              <w:t>16行×8位</w:t>
            </w:r>
          </w:p>
        </w:tc>
      </w:tr>
      <w:tr w14:paraId="77D426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2041" w:type="dxa"/>
            <w:tcBorders>
              <w:top w:val="nil"/>
              <w:left w:val="nil"/>
              <w:bottom w:val="nil"/>
              <w:right w:val="nil"/>
            </w:tcBorders>
            <w:shd w:val="clear" w:color="auto" w:fill="FFFFFF"/>
            <w:vAlign w:val="center"/>
          </w:tcPr>
          <w:p w14:paraId="2C62F583">
            <w:pPr>
              <w:spacing w:before="40" w:after="40" w:line="252" w:lineRule="auto"/>
              <w:ind w:left="0" w:leftChars="0" w:firstLine="0" w:firstLineChars="0"/>
              <w:rPr>
                <w:rFonts w:hint="eastAsia"/>
                <w:b w:val="0"/>
              </w:rPr>
              <w:snapToGrid w:val="0"/>
            </w:pPr>
            <w:r>
              <w:rPr>
                <w:rFonts w:cs="宋体"/>
                <w:b w:val="0"/>
                <w:sz w:val="21"/>
              </w:rPr>
              <w:t>计算类型</w:t>
            </w:r>
          </w:p>
        </w:tc>
        <w:tc>
          <w:tcPr>
            <w:tcW w:w="4762" w:type="dxa"/>
            <w:tcBorders>
              <w:top w:val="nil"/>
              <w:left w:val="nil"/>
              <w:bottom w:val="nil"/>
              <w:right w:val="nil"/>
            </w:tcBorders>
            <w:shd w:val="clear" w:color="auto" w:fill="FFFFFF"/>
            <w:vAlign w:val="center"/>
          </w:tcPr>
          <w:p w14:paraId="6B716247">
            <w:pPr>
              <w:spacing w:before="40" w:after="40" w:line="252" w:lineRule="auto"/>
              <w:ind w:firstLine="0"/>
              <w:jc w:val="both"/>
              <w:rPr>
                <w:rFonts w:hint="eastAsia"/>
                <w:b w:val="0"/>
              </w:rPr>
              <w:snapToGrid w:val="0"/>
            </w:pPr>
            <w:r>
              <w:rPr>
                <w:rFonts w:cs="宋体"/>
                <w:b w:val="0"/>
                <w:sz w:val="21"/>
              </w:rPr>
              <w:t>exact</w:t>
            </w:r>
          </w:p>
        </w:tc>
      </w:tr>
      <w:tr w14:paraId="7ACED4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2041" w:type="dxa"/>
            <w:tcBorders>
              <w:top w:val="nil"/>
              <w:left w:val="nil"/>
              <w:bottom w:val="nil"/>
              <w:right w:val="nil"/>
            </w:tcBorders>
            <w:shd w:val="clear" w:color="auto" w:fill="FFFFFF"/>
            <w:vAlign w:val="center"/>
          </w:tcPr>
          <w:p w14:paraId="20E0197A">
            <w:pPr>
              <w:spacing w:before="40" w:after="40" w:line="252" w:lineRule="auto"/>
              <w:ind w:left="0" w:leftChars="0" w:firstLine="0" w:firstLineChars="0"/>
              <w:rPr>
                <w:rFonts w:hint="eastAsia"/>
                <w:b w:val="0"/>
              </w:rPr>
              <w:snapToGrid w:val="0"/>
            </w:pPr>
            <w:r>
              <w:rPr>
                <w:rFonts w:cs="宋体"/>
                <w:b w:val="0"/>
                <w:sz w:val="21"/>
              </w:rPr>
              <w:t>执行流程</w:t>
            </w:r>
          </w:p>
        </w:tc>
        <w:tc>
          <w:tcPr>
            <w:tcW w:w="4762" w:type="dxa"/>
            <w:tcBorders>
              <w:top w:val="nil"/>
              <w:left w:val="nil"/>
              <w:bottom w:val="nil"/>
              <w:right w:val="nil"/>
            </w:tcBorders>
            <w:shd w:val="clear" w:color="auto" w:fill="FFFFFF"/>
            <w:vAlign w:val="center"/>
          </w:tcPr>
          <w:p w14:paraId="503E22EE">
            <w:pPr>
              <w:spacing w:before="40" w:after="40" w:line="252" w:lineRule="auto"/>
              <w:ind w:firstLine="0"/>
              <w:jc w:val="both"/>
              <w:rPr>
                <w:rFonts w:hint="eastAsia"/>
                <w:b w:val="0"/>
              </w:rPr>
              <w:snapToGrid w:val="0"/>
            </w:pPr>
            <w:r>
              <w:rPr>
                <w:rFonts w:cs="宋体"/>
                <w:b w:val="0"/>
                <w:sz w:val="21"/>
              </w:rPr>
              <w:t>backend=asic</w:t>
            </w:r>
          </w:p>
        </w:tc>
      </w:tr>
      <w:tr w14:paraId="7F5090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2041" w:type="dxa"/>
            <w:tcBorders>
              <w:top w:val="nil"/>
              <w:left w:val="nil"/>
              <w:bottom w:val="nil"/>
              <w:right w:val="nil"/>
            </w:tcBorders>
            <w:shd w:val="clear" w:color="auto" w:fill="FFFFFF"/>
            <w:vAlign w:val="center"/>
          </w:tcPr>
          <w:p w14:paraId="6BBA7295">
            <w:pPr>
              <w:spacing w:before="40" w:after="40" w:line="252" w:lineRule="auto"/>
              <w:ind w:left="0" w:leftChars="0" w:firstLine="0" w:firstLineChars="0"/>
              <w:rPr>
                <w:rFonts w:hint="eastAsia"/>
                <w:b w:val="0"/>
              </w:rPr>
              <w:snapToGrid w:val="0"/>
            </w:pPr>
            <w:r>
              <w:rPr>
                <w:rFonts w:cs="宋体"/>
                <w:b w:val="0"/>
                <w:sz w:val="21"/>
              </w:rPr>
              <w:t>时钟周期</w:t>
            </w:r>
          </w:p>
        </w:tc>
        <w:tc>
          <w:tcPr>
            <w:tcW w:w="4762" w:type="dxa"/>
            <w:tcBorders>
              <w:top w:val="nil"/>
              <w:left w:val="nil"/>
              <w:bottom w:val="nil"/>
              <w:right w:val="nil"/>
            </w:tcBorders>
            <w:shd w:val="clear" w:color="auto" w:fill="FFFFFF"/>
            <w:vAlign w:val="center"/>
          </w:tcPr>
          <w:p w14:paraId="6ACAC0BA">
            <w:pPr>
              <w:spacing w:before="40" w:after="40" w:line="252" w:lineRule="auto"/>
              <w:ind w:firstLine="0"/>
              <w:jc w:val="both"/>
              <w:rPr>
                <w:rFonts w:hint="eastAsia"/>
                <w:b w:val="0"/>
              </w:rPr>
              <w:snapToGrid w:val="0"/>
            </w:pPr>
            <w:r>
              <w:rPr>
                <w:rFonts w:cs="宋体"/>
                <w:b w:val="0"/>
                <w:sz w:val="21"/>
              </w:rPr>
              <w:t>10.0ns</w:t>
            </w:r>
          </w:p>
        </w:tc>
      </w:tr>
      <w:tr w14:paraId="153E6A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2041" w:type="dxa"/>
            <w:tcBorders>
              <w:top w:val="nil"/>
              <w:left w:val="nil"/>
              <w:bottom w:val="nil"/>
              <w:right w:val="nil"/>
            </w:tcBorders>
            <w:shd w:val="clear" w:color="auto" w:fill="FFFFFF"/>
            <w:vAlign w:val="center"/>
          </w:tcPr>
          <w:p w14:paraId="50C3DB0F">
            <w:pPr>
              <w:spacing w:before="40" w:after="40" w:line="252" w:lineRule="auto"/>
              <w:ind w:left="0" w:leftChars="0" w:firstLine="0" w:firstLineChars="0"/>
              <w:rPr>
                <w:rFonts w:hint="eastAsia"/>
                <w:b w:val="0"/>
              </w:rPr>
              <w:snapToGrid w:val="0"/>
            </w:pPr>
            <w:r>
              <w:rPr>
                <w:rFonts w:cs="宋体"/>
                <w:b w:val="0"/>
                <w:sz w:val="21"/>
              </w:rPr>
              <w:t>存储宏选择</w:t>
            </w:r>
          </w:p>
        </w:tc>
        <w:tc>
          <w:tcPr>
            <w:tcW w:w="4762" w:type="dxa"/>
            <w:tcBorders>
              <w:top w:val="nil"/>
              <w:left w:val="nil"/>
              <w:bottom w:val="nil"/>
              <w:right w:val="nil"/>
            </w:tcBorders>
            <w:shd w:val="clear" w:color="auto" w:fill="FFFFFF"/>
            <w:vAlign w:val="center"/>
          </w:tcPr>
          <w:p w14:paraId="04B7AB97">
            <w:pPr>
              <w:spacing w:before="40" w:after="40" w:line="252" w:lineRule="auto"/>
              <w:ind w:firstLine="0"/>
              <w:jc w:val="both"/>
              <w:rPr>
                <w:rFonts w:hint="eastAsia"/>
                <w:b w:val="0"/>
              </w:rPr>
              <w:snapToGrid w:val="0"/>
            </w:pPr>
            <w:r>
              <w:rPr>
                <w:rFonts w:cs="宋体"/>
                <w:b w:val="0"/>
                <w:sz w:val="21"/>
              </w:rPr>
              <w:t>memory_impl=auto</w:t>
            </w:r>
          </w:p>
        </w:tc>
      </w:tr>
      <w:tr w14:paraId="20DF7D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2041" w:type="dxa"/>
            <w:tcBorders>
              <w:top w:val="nil"/>
              <w:left w:val="nil"/>
              <w:bottom w:val="single" w:color="000000" w:sz="12" w:space="0"/>
              <w:right w:val="nil"/>
            </w:tcBorders>
            <w:shd w:val="clear" w:color="auto" w:fill="FFFFFF"/>
            <w:vAlign w:val="center"/>
          </w:tcPr>
          <w:p w14:paraId="1696842B">
            <w:pPr>
              <w:spacing w:before="40" w:after="40" w:line="252" w:lineRule="auto"/>
              <w:ind w:left="0" w:leftChars="0" w:firstLine="0" w:firstLineChars="0"/>
              <w:rPr>
                <w:rFonts w:hint="eastAsia"/>
                <w:b w:val="0"/>
              </w:rPr>
              <w:snapToGrid w:val="0"/>
            </w:pPr>
            <w:r>
              <w:rPr>
                <w:rFonts w:cs="宋体"/>
                <w:b w:val="0"/>
                <w:sz w:val="21"/>
              </w:rPr>
              <w:t>验收约束</w:t>
            </w:r>
          </w:p>
        </w:tc>
        <w:tc>
          <w:tcPr>
            <w:tcW w:w="4762" w:type="dxa"/>
            <w:tcBorders>
              <w:top w:val="nil"/>
              <w:left w:val="nil"/>
              <w:bottom w:val="single" w:color="000000" w:sz="12" w:space="0"/>
              <w:right w:val="nil"/>
            </w:tcBorders>
            <w:shd w:val="clear" w:color="auto" w:fill="FFFFFF"/>
            <w:vAlign w:val="center"/>
          </w:tcPr>
          <w:p w14:paraId="27591DF8">
            <w:pPr>
              <w:spacing w:before="40" w:after="40" w:line="252" w:lineRule="auto"/>
              <w:ind w:firstLine="0"/>
              <w:jc w:val="both"/>
              <w:rPr>
                <w:rFonts w:hint="eastAsia"/>
                <w:b w:val="0"/>
              </w:rPr>
              <w:snapToGrid w:val="0"/>
            </w:pPr>
            <w:r>
              <w:rPr>
                <w:rFonts w:cs="宋体"/>
                <w:b w:val="0"/>
                <w:sz w:val="21"/>
              </w:rPr>
              <w:t>setup≥0ns；hold≥0ns；详细布线DRC=0</w:t>
            </w:r>
          </w:p>
        </w:tc>
      </w:tr>
    </w:tbl>
    <w:p w14:paraId="38D89966">
      <w:pPr>
        <w:spacing w:after="0"/>
        <w:rPr>
          <w:rFonts w:hint="eastAsia"/>
        </w:rPr>
        <w:snapToGrid w:val="0"/>
      </w:pPr>
    </w:p>
    <w:p w14:paraId="68819E44">
      <w:pPr>
        <w:widowControl/>
        <w:spacing w:line="360" w:lineRule="exact"/>
        <w:ind w:firstLine="420"/>
        <w:rPr>
          <w:rFonts w:hint="eastAsia"/>
        </w:rPr>
        <w:snapToGrid w:val="0"/>
      </w:pPr>
      <w:r>
        <w:rPr>
          <w:rFonts w:cs="宋体"/>
        </w:rPr>
        <w:t>该任务生成RTL、约束及后端配置，完成综合、布局布线、寄生提取、布线后仿真和时序功耗分析。自然语言任务、结构化计划与工具结果保存在同一任务记录中，展示了平台对实际电路流程的自动化组织能力。[9，E6]</w:t>
      </w:r>
    </w:p>
    <w:p w14:paraId="4FA18A18">
      <w:pPr>
        <w:pStyle w:val="3"/>
        <w:spacing w:line="400" w:lineRule="exact"/>
        <w:rPr>
          <w:rFonts w:hint="eastAsia"/>
        </w:rPr>
        <w:keepNext/>
        <w:snapToGrid w:val="0"/>
      </w:pPr>
      <w:bookmarkStart w:id="31" w:name="_Toc244189584"/>
      <w:r>
        <w:rPr>
          <w:rFonts w:cs="宋体"/>
        </w:rPr>
        <w:t>（二）参考DCiM功能与后端验证</w:t>
      </w:r>
      <w:bookmarkEnd w:id="31"/>
    </w:p>
    <w:p w14:paraId="033B8A12">
      <w:pPr>
        <w:widowControl/>
        <w:spacing w:line="360" w:lineRule="exact"/>
        <w:ind w:firstLine="420"/>
        <w:rPr>
          <w:rFonts w:hint="eastAsia"/>
        </w:rPr>
        <w:snapToGrid w:val="0"/>
      </w:pPr>
      <w:r>
        <w:rPr>
          <w:rFonts w:cs="宋体"/>
        </w:rPr>
        <w:t>16×8精确DCiM参考任务在10ns时钟约束下完成65536组乘法输入穷举验证，输出与精确参考一致。门级、布线后及SDF对照各完成306次，setup与hold slack均满足非负要求。</w:t>
      </w:r>
    </w:p>
    <w:p w14:paraId="1E2C95BB">
      <w:pPr>
        <w:pStyle w:val="14"/>
        <w:keepNext/>
        <w:spacing w:before="100" w:after="140" w:line="280" w:lineRule="exact"/>
        <w:jc w:val="center"/>
        <w:rPr>
          <w:rFonts w:hint="eastAsia"/>
        </w:rPr>
        <w:snapToGrid w:val="0"/>
      </w:pPr>
      <w:r>
        <w:t>表6  参考DCiM任务的功能与物理后端结果</w:t>
      </w:r>
    </w:p>
    <w:tbl>
      <w:tblPr>
        <w:tblStyle w:val="10"/>
        <w:tblW w:w="8731"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85" w:type="dxa"/>
          <w:bottom w:w="85" w:type="dxa"/>
          <w:right w:w="85" w:type="dxa"/>
        </w:tblCellMar>
      </w:tblPr>
      <w:tblGrid>
        <w:gridCol w:w="2835"/>
        <w:gridCol w:w="2268"/>
        <w:gridCol w:w="3628"/>
      </w:tblGrid>
      <w:tr w14:paraId="0B53E6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tblHeader/>
          <w:jc w:val="center"/>
        </w:trPr>
        <w:tc>
          <w:tcPr>
            <w:tcW w:w="2835" w:type="dxa"/>
            <w:tcBorders>
              <w:top w:val="single" w:color="000000" w:sz="12" w:space="0"/>
              <w:left w:val="nil"/>
              <w:bottom w:val="single" w:color="000000" w:sz="4" w:space="0"/>
              <w:right w:val="nil"/>
              <w:tl2br w:val="nil"/>
            </w:tcBorders>
            <w:shd w:val="clear" w:color="auto" w:fill="FFFFFF"/>
            <w:vAlign w:val="center"/>
          </w:tcPr>
          <w:p w14:paraId="2F78DB76">
            <w:pPr>
              <w:keepNext/>
              <w:spacing w:before="40" w:after="40" w:line="252" w:lineRule="auto"/>
              <w:ind w:left="0" w:leftChars="0" w:firstLine="0" w:firstLineChars="0"/>
              <w:rPr>
                <w:rFonts w:hint="eastAsia"/>
                <w:b w:val="0"/>
              </w:rPr>
              <w:snapToGrid w:val="0"/>
            </w:pPr>
            <w:r>
              <w:rPr>
                <w:rFonts w:cs="宋体"/>
                <w:b w:val="0"/>
                <w:sz w:val="21"/>
              </w:rPr>
              <w:t>检查项目</w:t>
            </w:r>
          </w:p>
        </w:tc>
        <w:tc>
          <w:tcPr>
            <w:tcW w:w="2268" w:type="dxa"/>
            <w:tcBorders>
              <w:top w:val="single" w:color="000000" w:sz="12" w:space="0"/>
              <w:left w:val="nil"/>
              <w:bottom w:val="single" w:color="000000" w:sz="4" w:space="0"/>
              <w:right w:val="nil"/>
            </w:tcBorders>
            <w:shd w:val="clear" w:color="auto" w:fill="FFFFFF"/>
            <w:vAlign w:val="center"/>
          </w:tcPr>
          <w:p w14:paraId="4A881502">
            <w:pPr>
              <w:keepNext/>
              <w:spacing w:before="40" w:after="40" w:line="252" w:lineRule="auto"/>
              <w:jc w:val="both"/>
              <w:rPr>
                <w:rFonts w:hint="eastAsia"/>
                <w:b w:val="0"/>
              </w:rPr>
              <w:snapToGrid w:val="0"/>
            </w:pPr>
            <w:r>
              <w:rPr>
                <w:rFonts w:cs="宋体"/>
                <w:b w:val="0"/>
                <w:sz w:val="21"/>
              </w:rPr>
              <w:t>结果</w:t>
            </w:r>
          </w:p>
        </w:tc>
        <w:tc>
          <w:tcPr>
            <w:tcW w:w="3628" w:type="dxa"/>
            <w:tcBorders>
              <w:top w:val="single" w:color="000000" w:sz="12" w:space="0"/>
              <w:left w:val="nil"/>
              <w:bottom w:val="single" w:color="000000" w:sz="4" w:space="0"/>
              <w:right w:val="nil"/>
            </w:tcBorders>
            <w:shd w:val="clear" w:color="auto" w:fill="FFFFFF"/>
            <w:vAlign w:val="center"/>
          </w:tcPr>
          <w:p w14:paraId="619AD114">
            <w:pPr>
              <w:keepNext/>
              <w:spacing w:before="40" w:after="40" w:line="252" w:lineRule="auto"/>
              <w:ind w:firstLine="0"/>
              <w:jc w:val="both"/>
              <w:rPr>
                <w:rFonts w:hint="eastAsia"/>
                <w:b w:val="0"/>
              </w:rPr>
              <w:snapToGrid w:val="0"/>
            </w:pPr>
            <w:r>
              <w:rPr>
                <w:rFonts w:cs="宋体"/>
                <w:b w:val="0"/>
                <w:sz w:val="21"/>
              </w:rPr>
              <w:t>评价条件与来源</w:t>
            </w:r>
          </w:p>
        </w:tc>
      </w:tr>
      <w:tr w14:paraId="447E63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2835" w:type="dxa"/>
            <w:tcBorders>
              <w:top w:val="single" w:color="000000" w:sz="4" w:space="0"/>
              <w:left w:val="nil"/>
              <w:bottom w:val="nil"/>
              <w:right w:val="nil"/>
            </w:tcBorders>
            <w:shd w:val="clear" w:color="auto" w:fill="FFFFFF"/>
            <w:vAlign w:val="center"/>
          </w:tcPr>
          <w:p w14:paraId="2CCED2D6">
            <w:pPr>
              <w:spacing w:before="40" w:after="40" w:line="252" w:lineRule="auto"/>
              <w:ind w:left="0" w:leftChars="0" w:firstLine="0" w:firstLineChars="0"/>
              <w:rPr>
                <w:rFonts w:hint="eastAsia"/>
                <w:b w:val="0"/>
              </w:rPr>
              <w:snapToGrid w:val="0"/>
            </w:pPr>
            <w:r>
              <w:rPr>
                <w:rFonts w:cs="宋体"/>
                <w:b w:val="0"/>
                <w:sz w:val="21"/>
              </w:rPr>
              <w:t>乘法输入验证</w:t>
            </w:r>
          </w:p>
        </w:tc>
        <w:tc>
          <w:tcPr>
            <w:tcW w:w="2268" w:type="dxa"/>
            <w:tcBorders>
              <w:top w:val="single" w:color="000000" w:sz="4" w:space="0"/>
              <w:left w:val="nil"/>
              <w:bottom w:val="nil"/>
              <w:right w:val="nil"/>
            </w:tcBorders>
            <w:shd w:val="clear" w:color="auto" w:fill="FFFFFF"/>
            <w:vAlign w:val="center"/>
          </w:tcPr>
          <w:p w14:paraId="157B3330">
            <w:pPr>
              <w:spacing w:before="40" w:after="40" w:line="252" w:lineRule="auto"/>
              <w:jc w:val="both"/>
              <w:rPr>
                <w:rFonts w:hint="eastAsia"/>
                <w:b w:val="0"/>
              </w:rPr>
              <w:snapToGrid w:val="0"/>
            </w:pPr>
            <w:r>
              <w:rPr>
                <w:rFonts w:cs="宋体"/>
                <w:b w:val="0"/>
                <w:sz w:val="21"/>
              </w:rPr>
              <w:t>65536组，错误0</w:t>
            </w:r>
          </w:p>
        </w:tc>
        <w:tc>
          <w:tcPr>
            <w:tcW w:w="3628" w:type="dxa"/>
            <w:tcBorders>
              <w:top w:val="single" w:color="000000" w:sz="4" w:space="0"/>
              <w:left w:val="nil"/>
              <w:bottom w:val="nil"/>
              <w:right w:val="nil"/>
            </w:tcBorders>
            <w:shd w:val="clear" w:color="auto" w:fill="FFFFFF"/>
            <w:vAlign w:val="center"/>
          </w:tcPr>
          <w:p w14:paraId="32676AF1">
            <w:pPr>
              <w:spacing w:before="40" w:after="40" w:line="252" w:lineRule="auto"/>
              <w:ind w:firstLine="0"/>
              <w:jc w:val="both"/>
              <w:rPr>
                <w:rFonts w:hint="eastAsia"/>
                <w:b w:val="0"/>
              </w:rPr>
              <w:snapToGrid w:val="0"/>
            </w:pPr>
            <w:r>
              <w:rPr>
                <w:rFonts w:cs="宋体"/>
                <w:b w:val="0"/>
                <w:sz w:val="21"/>
              </w:rPr>
              <w:t>对应位宽的全部乘法输入组合</w:t>
            </w:r>
          </w:p>
        </w:tc>
      </w:tr>
      <w:tr w14:paraId="10354E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2835" w:type="dxa"/>
            <w:tcBorders>
              <w:top w:val="nil"/>
              <w:left w:val="nil"/>
              <w:bottom w:val="nil"/>
              <w:right w:val="nil"/>
            </w:tcBorders>
            <w:shd w:val="clear" w:color="auto" w:fill="FFFFFF"/>
            <w:vAlign w:val="center"/>
          </w:tcPr>
          <w:p w14:paraId="3FB6A906">
            <w:pPr>
              <w:spacing w:before="40" w:after="40" w:line="252" w:lineRule="auto"/>
              <w:ind w:left="0" w:leftChars="0" w:firstLine="0" w:firstLineChars="0"/>
              <w:rPr>
                <w:rFonts w:hint="eastAsia"/>
                <w:b w:val="0"/>
              </w:rPr>
              <w:snapToGrid w:val="0"/>
            </w:pPr>
            <w:r>
              <w:rPr>
                <w:rFonts w:cs="宋体"/>
                <w:b w:val="0"/>
                <w:sz w:val="21"/>
              </w:rPr>
              <w:t>Setup slack</w:t>
            </w:r>
          </w:p>
        </w:tc>
        <w:tc>
          <w:tcPr>
            <w:tcW w:w="2268" w:type="dxa"/>
            <w:tcBorders>
              <w:top w:val="nil"/>
              <w:left w:val="nil"/>
              <w:bottom w:val="nil"/>
              <w:right w:val="nil"/>
            </w:tcBorders>
            <w:shd w:val="clear" w:color="auto" w:fill="FFFFFF"/>
            <w:vAlign w:val="center"/>
          </w:tcPr>
          <w:p w14:paraId="5D7F1488">
            <w:pPr>
              <w:spacing w:before="40" w:after="40" w:line="252" w:lineRule="auto"/>
              <w:jc w:val="both"/>
              <w:rPr>
                <w:rFonts w:hint="eastAsia"/>
                <w:b w:val="0"/>
              </w:rPr>
              <w:snapToGrid w:val="0"/>
            </w:pPr>
            <w:r>
              <w:rPr>
                <w:rFonts w:cs="宋体"/>
                <w:b w:val="0"/>
                <w:sz w:val="21"/>
              </w:rPr>
              <w:t>4.64506ns</w:t>
            </w:r>
          </w:p>
        </w:tc>
        <w:tc>
          <w:tcPr>
            <w:tcW w:w="3628" w:type="dxa"/>
            <w:tcBorders>
              <w:top w:val="nil"/>
              <w:left w:val="nil"/>
              <w:bottom w:val="nil"/>
              <w:right w:val="nil"/>
            </w:tcBorders>
            <w:shd w:val="clear" w:color="auto" w:fill="FFFFFF"/>
            <w:vAlign w:val="center"/>
          </w:tcPr>
          <w:p w14:paraId="6F439EF0">
            <w:pPr>
              <w:spacing w:before="40" w:after="40" w:line="252" w:lineRule="auto"/>
              <w:ind w:firstLine="0"/>
              <w:jc w:val="both"/>
              <w:rPr>
                <w:rFonts w:hint="eastAsia"/>
                <w:b w:val="0"/>
              </w:rPr>
              <w:snapToGrid w:val="0"/>
            </w:pPr>
            <w:r>
              <w:rPr>
                <w:rFonts w:cs="宋体"/>
                <w:b w:val="0"/>
                <w:sz w:val="21"/>
              </w:rPr>
              <w:t>10ns时钟约束下的后端STA</w:t>
            </w:r>
          </w:p>
        </w:tc>
      </w:tr>
      <w:tr w14:paraId="1061E3F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2835" w:type="dxa"/>
            <w:tcBorders>
              <w:top w:val="nil"/>
              <w:left w:val="nil"/>
              <w:bottom w:val="nil"/>
              <w:right w:val="nil"/>
            </w:tcBorders>
            <w:shd w:val="clear" w:color="auto" w:fill="FFFFFF"/>
            <w:vAlign w:val="center"/>
          </w:tcPr>
          <w:p w14:paraId="681EF029">
            <w:pPr>
              <w:spacing w:before="40" w:after="40" w:line="252" w:lineRule="auto"/>
              <w:ind w:left="0" w:leftChars="0" w:firstLine="0" w:firstLineChars="0"/>
              <w:rPr>
                <w:rFonts w:hint="eastAsia"/>
                <w:b w:val="0"/>
              </w:rPr>
              <w:snapToGrid w:val="0"/>
            </w:pPr>
            <w:r>
              <w:rPr>
                <w:rFonts w:cs="宋体"/>
                <w:b w:val="0"/>
                <w:sz w:val="21"/>
              </w:rPr>
              <w:t>Hold slack</w:t>
            </w:r>
          </w:p>
        </w:tc>
        <w:tc>
          <w:tcPr>
            <w:tcW w:w="2268" w:type="dxa"/>
            <w:tcBorders>
              <w:top w:val="nil"/>
              <w:left w:val="nil"/>
              <w:bottom w:val="nil"/>
              <w:right w:val="nil"/>
            </w:tcBorders>
            <w:shd w:val="clear" w:color="auto" w:fill="FFFFFF"/>
            <w:vAlign w:val="center"/>
          </w:tcPr>
          <w:p w14:paraId="05F0557A">
            <w:pPr>
              <w:spacing w:before="40" w:after="40" w:line="252" w:lineRule="auto"/>
              <w:ind w:firstLine="0"/>
              <w:jc w:val="both"/>
              <w:rPr>
                <w:rFonts w:hint="eastAsia"/>
                <w:b w:val="0"/>
              </w:rPr>
              <w:snapToGrid w:val="0"/>
            </w:pPr>
            <w:r>
              <w:rPr>
                <w:rFonts w:cs="宋体"/>
                <w:b w:val="0"/>
                <w:sz w:val="21"/>
              </w:rPr>
              <w:t>0.0331819ns</w:t>
            </w:r>
          </w:p>
        </w:tc>
        <w:tc>
          <w:tcPr>
            <w:tcW w:w="3628" w:type="dxa"/>
            <w:tcBorders>
              <w:top w:val="nil"/>
              <w:left w:val="nil"/>
              <w:bottom w:val="nil"/>
              <w:right w:val="nil"/>
            </w:tcBorders>
            <w:shd w:val="clear" w:color="auto" w:fill="FFFFFF"/>
            <w:vAlign w:val="center"/>
          </w:tcPr>
          <w:p w14:paraId="700BD11B">
            <w:pPr>
              <w:spacing w:before="40" w:after="40" w:line="252" w:lineRule="auto"/>
              <w:ind w:firstLine="0"/>
              <w:jc w:val="both"/>
              <w:rPr>
                <w:rFonts w:hint="eastAsia"/>
                <w:b w:val="0"/>
              </w:rPr>
              <w:snapToGrid w:val="0"/>
            </w:pPr>
            <w:r>
              <w:rPr>
                <w:rFonts w:cs="宋体"/>
                <w:b w:val="0"/>
                <w:sz w:val="21"/>
              </w:rPr>
              <w:t>参考库和本次后端约束</w:t>
            </w:r>
          </w:p>
        </w:tc>
      </w:tr>
      <w:tr w14:paraId="156D08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2835" w:type="dxa"/>
            <w:tcBorders>
              <w:top w:val="nil"/>
              <w:left w:val="nil"/>
              <w:bottom w:val="nil"/>
              <w:right w:val="nil"/>
            </w:tcBorders>
            <w:shd w:val="clear" w:color="auto" w:fill="FFFFFF"/>
            <w:vAlign w:val="center"/>
          </w:tcPr>
          <w:p w14:paraId="1672FE41">
            <w:pPr>
              <w:spacing w:before="40" w:after="40" w:line="252" w:lineRule="auto"/>
              <w:ind w:left="0" w:leftChars="0" w:firstLine="0" w:firstLineChars="0"/>
              <w:rPr>
                <w:rFonts w:hint="eastAsia"/>
                <w:b w:val="0"/>
              </w:rPr>
              <w:snapToGrid w:val="0"/>
            </w:pPr>
            <w:r>
              <w:rPr>
                <w:rFonts w:cs="宋体"/>
                <w:b w:val="0"/>
                <w:sz w:val="21"/>
              </w:rPr>
              <w:t>详细布线DRC</w:t>
            </w:r>
          </w:p>
        </w:tc>
        <w:tc>
          <w:tcPr>
            <w:tcW w:w="2268" w:type="dxa"/>
            <w:tcBorders>
              <w:top w:val="nil"/>
              <w:left w:val="nil"/>
              <w:bottom w:val="nil"/>
              <w:right w:val="nil"/>
            </w:tcBorders>
            <w:shd w:val="clear" w:color="auto" w:fill="FFFFFF"/>
            <w:vAlign w:val="center"/>
          </w:tcPr>
          <w:p w14:paraId="5490CBB2">
            <w:pPr>
              <w:spacing w:before="40" w:after="40" w:line="252" w:lineRule="auto"/>
              <w:ind w:firstLine="0"/>
              <w:jc w:val="both"/>
              <w:rPr>
                <w:rFonts w:hint="eastAsia"/>
                <w:b w:val="0"/>
              </w:rPr>
              <w:snapToGrid w:val="0"/>
            </w:pPr>
            <w:r>
              <w:rPr>
                <w:rFonts w:cs="宋体"/>
                <w:b w:val="0"/>
                <w:sz w:val="21"/>
              </w:rPr>
              <w:t>0</w:t>
            </w:r>
          </w:p>
        </w:tc>
        <w:tc>
          <w:tcPr>
            <w:tcW w:w="3628" w:type="dxa"/>
            <w:tcBorders>
              <w:top w:val="nil"/>
              <w:left w:val="nil"/>
              <w:bottom w:val="nil"/>
              <w:right w:val="nil"/>
            </w:tcBorders>
            <w:shd w:val="clear" w:color="auto" w:fill="FFFFFF"/>
            <w:vAlign w:val="center"/>
          </w:tcPr>
          <w:p w14:paraId="51E33B76">
            <w:pPr>
              <w:spacing w:before="40" w:after="40" w:line="252" w:lineRule="auto"/>
              <w:ind w:firstLine="0"/>
              <w:jc w:val="both"/>
              <w:rPr>
                <w:rFonts w:hint="eastAsia"/>
                <w:b w:val="0"/>
              </w:rPr>
              <w:snapToGrid w:val="0"/>
            </w:pPr>
            <w:r>
              <w:rPr>
                <w:rFonts w:cs="宋体"/>
                <w:b w:val="0"/>
                <w:sz w:val="21"/>
              </w:rPr>
              <w:t>详细布线工具报告</w:t>
            </w:r>
          </w:p>
        </w:tc>
      </w:tr>
      <w:tr w14:paraId="2CF503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2835" w:type="dxa"/>
            <w:tcBorders>
              <w:top w:val="nil"/>
              <w:left w:val="nil"/>
              <w:bottom w:val="nil"/>
              <w:right w:val="nil"/>
            </w:tcBorders>
            <w:shd w:val="clear" w:color="auto" w:fill="FFFFFF"/>
            <w:vAlign w:val="center"/>
          </w:tcPr>
          <w:p w14:paraId="12F9EED0">
            <w:pPr>
              <w:spacing w:before="40" w:after="40" w:line="252" w:lineRule="auto"/>
              <w:ind w:left="0" w:leftChars="0" w:firstLine="0" w:firstLineChars="0"/>
              <w:rPr>
                <w:rFonts w:hint="eastAsia"/>
                <w:b w:val="0"/>
              </w:rPr>
              <w:snapToGrid w:val="0"/>
            </w:pPr>
            <w:r>
              <w:rPr>
                <w:rFonts w:cs="宋体"/>
                <w:b w:val="0"/>
                <w:sz w:val="21"/>
              </w:rPr>
              <w:t>后端面积</w:t>
            </w:r>
          </w:p>
        </w:tc>
        <w:tc>
          <w:tcPr>
            <w:tcW w:w="2268" w:type="dxa"/>
            <w:tcBorders>
              <w:top w:val="nil"/>
              <w:left w:val="nil"/>
              <w:bottom w:val="nil"/>
              <w:right w:val="nil"/>
            </w:tcBorders>
            <w:shd w:val="clear" w:color="auto" w:fill="FFFFFF"/>
            <w:vAlign w:val="center"/>
          </w:tcPr>
          <w:p w14:paraId="194B63F4">
            <w:pPr>
              <w:spacing w:before="40" w:after="40" w:line="252" w:lineRule="auto"/>
              <w:ind w:firstLine="0"/>
              <w:jc w:val="both"/>
              <w:rPr>
                <w:rFonts w:hint="eastAsia"/>
                <w:b w:val="0"/>
              </w:rPr>
              <w:snapToGrid w:val="0"/>
            </w:pPr>
            <w:r>
              <w:rPr>
                <w:rFonts w:cs="宋体"/>
                <w:b w:val="0"/>
                <w:sz w:val="21"/>
              </w:rPr>
              <w:t>7800μm²</w:t>
            </w:r>
          </w:p>
        </w:tc>
        <w:tc>
          <w:tcPr>
            <w:tcW w:w="3628" w:type="dxa"/>
            <w:tcBorders>
              <w:top w:val="nil"/>
              <w:left w:val="nil"/>
              <w:bottom w:val="nil"/>
              <w:right w:val="nil"/>
            </w:tcBorders>
            <w:shd w:val="clear" w:color="auto" w:fill="FFFFFF"/>
            <w:vAlign w:val="center"/>
          </w:tcPr>
          <w:p w14:paraId="7C463891">
            <w:pPr>
              <w:spacing w:before="40" w:after="40" w:line="252" w:lineRule="auto"/>
              <w:jc w:val="both"/>
              <w:rPr>
                <w:rFonts w:hint="eastAsia"/>
                <w:b w:val="0"/>
              </w:rPr>
              <w:snapToGrid w:val="0"/>
            </w:pPr>
            <w:r>
              <w:rPr>
                <w:rFonts w:cs="宋体"/>
                <w:b w:val="0"/>
                <w:sz w:val="21"/>
              </w:rPr>
              <w:t>后端面积报告</w:t>
            </w:r>
          </w:p>
        </w:tc>
      </w:tr>
      <w:tr w14:paraId="2C99D4F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2835" w:type="dxa"/>
            <w:tcBorders>
              <w:top w:val="nil"/>
              <w:left w:val="nil"/>
              <w:bottom w:val="nil"/>
              <w:right w:val="nil"/>
            </w:tcBorders>
            <w:shd w:val="clear" w:color="auto" w:fill="FFFFFF"/>
            <w:vAlign w:val="center"/>
          </w:tcPr>
          <w:p w14:paraId="4EA60D25">
            <w:pPr>
              <w:spacing w:before="40" w:after="40" w:line="252" w:lineRule="auto"/>
              <w:ind w:left="0" w:leftChars="0" w:firstLine="0" w:firstLineChars="0"/>
              <w:rPr>
                <w:rFonts w:hint="eastAsia"/>
                <w:b w:val="0"/>
              </w:rPr>
              <w:snapToGrid w:val="0"/>
            </w:pPr>
            <w:r>
              <w:rPr>
                <w:rFonts w:cs="宋体"/>
                <w:b w:val="0"/>
                <w:sz w:val="21"/>
              </w:rPr>
              <w:t>活动功耗</w:t>
            </w:r>
          </w:p>
        </w:tc>
        <w:tc>
          <w:tcPr>
            <w:tcW w:w="2268" w:type="dxa"/>
            <w:tcBorders>
              <w:top w:val="nil"/>
              <w:left w:val="nil"/>
              <w:bottom w:val="nil"/>
              <w:right w:val="nil"/>
            </w:tcBorders>
            <w:shd w:val="clear" w:color="auto" w:fill="FFFFFF"/>
            <w:vAlign w:val="center"/>
          </w:tcPr>
          <w:p w14:paraId="53532C4B">
            <w:pPr>
              <w:spacing w:before="40" w:after="40" w:line="252" w:lineRule="auto"/>
              <w:jc w:val="both"/>
              <w:rPr>
                <w:rFonts w:hint="eastAsia"/>
                <w:b w:val="0"/>
              </w:rPr>
              <w:snapToGrid w:val="0"/>
            </w:pPr>
            <w:r>
              <w:rPr>
                <w:rFonts w:cs="宋体"/>
                <w:b w:val="0"/>
                <w:sz w:val="21"/>
              </w:rPr>
              <w:t>251.24μW</w:t>
            </w:r>
          </w:p>
        </w:tc>
        <w:tc>
          <w:tcPr>
            <w:tcW w:w="3628" w:type="dxa"/>
            <w:tcBorders>
              <w:top w:val="nil"/>
              <w:left w:val="nil"/>
              <w:bottom w:val="nil"/>
              <w:right w:val="nil"/>
            </w:tcBorders>
            <w:shd w:val="clear" w:color="auto" w:fill="FFFFFF"/>
            <w:vAlign w:val="center"/>
          </w:tcPr>
          <w:p w14:paraId="38D709A5">
            <w:pPr>
              <w:spacing w:before="40" w:after="40" w:line="252" w:lineRule="auto"/>
              <w:jc w:val="both"/>
              <w:rPr>
                <w:rFonts w:hint="eastAsia"/>
                <w:b w:val="0"/>
              </w:rPr>
              <w:snapToGrid w:val="0"/>
            </w:pPr>
            <w:r>
              <w:rPr>
                <w:rFonts w:cs="宋体"/>
                <w:b w:val="0"/>
                <w:sz w:val="21"/>
              </w:rPr>
              <w:t>给定VCD活动和单元库</w:t>
            </w:r>
          </w:p>
        </w:tc>
      </w:tr>
      <w:tr w14:paraId="5B1BDA29">
        <w:tblPrEx>
          <w:tblCellMar>
            <w:top w:w="85" w:type="dxa"/>
            <w:left w:w="85" w:type="dxa"/>
            <w:bottom w:w="85" w:type="dxa"/>
            <w:right w:w="85" w:type="dxa"/>
          </w:tblCellMar>
        </w:tblPrEx>
        <w:trPr>
          <w:cantSplit/>
          <w:jc w:val="center"/>
        </w:trPr>
        <w:tc>
          <w:tcPr>
            <w:tcW w:w="2835" w:type="dxa"/>
            <w:tcBorders>
              <w:top w:val="nil"/>
              <w:left w:val="nil"/>
              <w:bottom w:val="nil"/>
              <w:right w:val="nil"/>
            </w:tcBorders>
            <w:shd w:val="clear" w:color="auto" w:fill="FFFFFF"/>
            <w:vAlign w:val="center"/>
          </w:tcPr>
          <w:p w14:paraId="248BA8ED">
            <w:pPr>
              <w:spacing w:before="40" w:after="40" w:line="252" w:lineRule="auto"/>
              <w:ind w:left="0" w:leftChars="0" w:firstLine="0" w:firstLineChars="0"/>
              <w:rPr>
                <w:rFonts w:hint="eastAsia"/>
                <w:b w:val="0"/>
              </w:rPr>
              <w:snapToGrid w:val="0"/>
            </w:pPr>
            <w:r>
              <w:rPr>
                <w:rFonts w:cs="宋体"/>
                <w:b w:val="0"/>
                <w:sz w:val="21"/>
              </w:rPr>
              <w:t>门级／布线后／SDF对照</w:t>
            </w:r>
          </w:p>
        </w:tc>
        <w:tc>
          <w:tcPr>
            <w:tcW w:w="2268" w:type="dxa"/>
            <w:tcBorders>
              <w:top w:val="nil"/>
              <w:left w:val="nil"/>
              <w:bottom w:val="nil"/>
              <w:right w:val="nil"/>
            </w:tcBorders>
            <w:shd w:val="clear" w:color="auto" w:fill="FFFFFF"/>
            <w:vAlign w:val="center"/>
          </w:tcPr>
          <w:p w14:paraId="1CDC517C">
            <w:pPr>
              <w:spacing w:before="40" w:after="40" w:line="252" w:lineRule="auto"/>
              <w:jc w:val="both"/>
              <w:rPr>
                <w:rFonts w:hint="eastAsia"/>
                <w:b w:val="0"/>
              </w:rPr>
              <w:snapToGrid w:val="0"/>
            </w:pPr>
            <w:r>
              <w:rPr>
                <w:rFonts w:cs="宋体"/>
                <w:b w:val="0"/>
                <w:sz w:val="21"/>
              </w:rPr>
              <w:t>306／306／306次</w:t>
            </w:r>
          </w:p>
        </w:tc>
        <w:tc>
          <w:tcPr>
            <w:tcW w:w="3628" w:type="dxa"/>
            <w:tcBorders>
              <w:top w:val="nil"/>
              <w:left w:val="nil"/>
              <w:bottom w:val="nil"/>
              <w:right w:val="nil"/>
            </w:tcBorders>
            <w:shd w:val="clear" w:color="auto" w:fill="FFFFFF"/>
            <w:vAlign w:val="center"/>
          </w:tcPr>
          <w:p w14:paraId="4B2EBD2A">
            <w:pPr>
              <w:spacing w:before="40" w:after="40" w:line="252" w:lineRule="auto"/>
              <w:jc w:val="both"/>
              <w:rPr>
                <w:rFonts w:hint="eastAsia"/>
                <w:b w:val="0"/>
              </w:rPr>
              <w:snapToGrid w:val="0"/>
            </w:pPr>
            <w:r>
              <w:rPr>
                <w:rFonts w:cs="宋体"/>
                <w:b w:val="0"/>
                <w:sz w:val="21"/>
              </w:rPr>
              <w:t>任务测试序列</w:t>
            </w:r>
          </w:p>
        </w:tc>
      </w:tr>
      <w:tr w14:paraId="04BB12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2835" w:type="dxa"/>
            <w:tcBorders>
              <w:top w:val="nil"/>
              <w:left w:val="nil"/>
              <w:bottom w:val="single" w:color="000000" w:sz="12" w:space="0"/>
              <w:right w:val="nil"/>
            </w:tcBorders>
            <w:shd w:val="clear" w:color="auto" w:fill="FFFFFF"/>
            <w:vAlign w:val="center"/>
          </w:tcPr>
          <w:p w14:paraId="568D31EE">
            <w:pPr>
              <w:spacing w:before="40" w:after="40" w:line="252" w:lineRule="auto"/>
              <w:ind w:left="0" w:leftChars="0" w:firstLine="0" w:firstLineChars="0"/>
              <w:rPr>
                <w:rFonts w:hint="eastAsia"/>
                <w:b w:val="0"/>
              </w:rPr>
              <w:snapToGrid w:val="0"/>
            </w:pPr>
            <w:r>
              <w:rPr>
                <w:rFonts w:cs="宋体"/>
                <w:b w:val="0"/>
                <w:sz w:val="21"/>
              </w:rPr>
              <w:t>SDF timing checks／IOPATH</w:t>
            </w:r>
          </w:p>
        </w:tc>
        <w:tc>
          <w:tcPr>
            <w:tcW w:w="2268" w:type="dxa"/>
            <w:tcBorders>
              <w:top w:val="nil"/>
              <w:left w:val="nil"/>
              <w:bottom w:val="single" w:color="000000" w:sz="12" w:space="0"/>
              <w:right w:val="nil"/>
            </w:tcBorders>
            <w:shd w:val="clear" w:color="auto" w:fill="FFFFFF"/>
            <w:vAlign w:val="center"/>
          </w:tcPr>
          <w:p w14:paraId="01C16BE7">
            <w:pPr>
              <w:spacing w:before="40" w:after="40" w:line="252" w:lineRule="auto"/>
              <w:jc w:val="both"/>
              <w:rPr>
                <w:rFonts w:hint="eastAsia"/>
                <w:b w:val="0"/>
              </w:rPr>
              <w:snapToGrid w:val="0"/>
            </w:pPr>
            <w:r>
              <w:rPr>
                <w:rFonts w:cs="宋体"/>
                <w:b w:val="0"/>
                <w:sz w:val="21"/>
              </w:rPr>
              <w:t>294／1485</w:t>
            </w:r>
          </w:p>
        </w:tc>
        <w:tc>
          <w:tcPr>
            <w:tcW w:w="3628" w:type="dxa"/>
            <w:tcBorders>
              <w:top w:val="nil"/>
              <w:left w:val="nil"/>
              <w:bottom w:val="single" w:color="000000" w:sz="12" w:space="0"/>
              <w:right w:val="nil"/>
            </w:tcBorders>
            <w:shd w:val="clear" w:color="auto" w:fill="FFFFFF"/>
            <w:vAlign w:val="center"/>
          </w:tcPr>
          <w:p w14:paraId="74553ABB">
            <w:pPr>
              <w:spacing w:before="40" w:after="40" w:line="252" w:lineRule="auto"/>
              <w:jc w:val="both"/>
              <w:rPr>
                <w:rFonts w:hint="eastAsia"/>
                <w:b w:val="0"/>
              </w:rPr>
              <w:snapToGrid w:val="0"/>
            </w:pPr>
            <w:r>
              <w:rPr>
                <w:rFonts w:cs="宋体"/>
                <w:b w:val="0"/>
                <w:sz w:val="21"/>
              </w:rPr>
              <w:t>SDF标注记录</w:t>
            </w:r>
          </w:p>
        </w:tc>
      </w:tr>
    </w:tbl>
    <w:p w14:paraId="17C2492B">
      <w:pPr>
        <w:spacing w:after="0"/>
        <w:rPr>
          <w:rFonts w:hint="eastAsia"/>
        </w:rPr>
        <w:snapToGrid w:val="0"/>
      </w:pPr>
    </w:p>
    <w:p w14:paraId="137DA9BA">
      <w:pPr>
        <w:widowControl/>
        <w:spacing w:line="360" w:lineRule="exact"/>
        <w:ind w:firstLine="420"/>
        <w:rPr>
          <w:rFonts w:hint="eastAsia"/>
        </w:rPr>
        <w:snapToGrid w:val="0"/>
      </w:pPr>
      <w:r>
        <w:rPr>
          <w:rFonts w:cs="宋体"/>
        </w:rPr>
        <w:t>任务依次完成综合、综合后功能仿真、综合后STA与功耗、floorplan与PDN、布局、时钟树、布线、寄生提取、布线后功能、SDF前STA与功耗、SDF后仿真及最终STA与功耗，共12个阶段。该案例形成了电路功能、时序约束、布线结果与活动功耗相互关联的验证记录。[9，E6]</w:t>
      </w:r>
    </w:p>
    <w:p w14:paraId="56E4F366">
      <w:pPr>
        <w:keepNext/>
        <w:jc w:val="center"/>
        <w:rPr>
          <w:rFonts w:hint="eastAsia"/>
        </w:rPr>
        <w:snapToGrid w:val="0"/>
      </w:pPr>
      <w:r>
        <w:drawing>
          <wp:inline distT="0" distB="0" distL="0" distR="0">
            <wp:extent cx="4319905" cy="4820920"/>
            <wp:effectExtent l="0" t="0" r="8255" b="1016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5"/>
                    <a:stretch>
                      <a:fillRect/>
                    </a:stretch>
                  </pic:blipFill>
                  <pic:spPr>
                    <a:xfrm>
                      <a:off x="0" y="0"/>
                      <a:ext cx="4320000" cy="4821052"/>
                    </a:xfrm>
                    <a:prstGeom prst="rect">
                      <a:avLst/>
                    </a:prstGeom>
                  </pic:spPr>
                </pic:pic>
              </a:graphicData>
            </a:graphic>
          </wp:inline>
        </w:drawing>
      </w:r>
    </w:p>
    <w:p w14:paraId="285A7E0D">
      <w:pPr>
        <w:pStyle w:val="14"/>
        <w:spacing w:before="100" w:after="140" w:line="280" w:lineRule="exact"/>
        <w:jc w:val="center"/>
        <w:rPr>
          <w:rFonts w:hint="eastAsia"/>
        </w:rPr>
        <w:snapToGrid w:val="0"/>
      </w:pPr>
      <w:r>
        <w:t>图3  参考任务route.def导出的单元锚点与布线坐标</w:t>
      </w:r>
    </w:p>
    <w:p w14:paraId="32A28513">
      <w:pPr>
        <w:widowControl/>
        <w:spacing w:line="360" w:lineRule="exact"/>
        <w:ind w:firstLine="420"/>
        <w:rPr>
          <w:rFonts w:hint="eastAsia"/>
        </w:rPr>
        <w:snapToGrid w:val="0"/>
      </w:pPr>
      <w:r>
        <w:rPr>
          <w:rFonts w:cs="宋体"/>
        </w:rPr>
        <w:t>图3依据同一任务的route.def生成，展示单元锚点与布线坐标。对应任务保存ODB、DEF、SPEF、SDF和分析报告；该图为DEF坐标视图，参考流程未承诺自动导出GDSII，也不将详细布线DRC=0等同完整工艺DRC/LVS签核。[9，E6]</w:t>
      </w:r>
    </w:p>
    <w:p w14:paraId="1FD80744">
      <w:pPr>
        <w:pStyle w:val="3"/>
        <w:spacing w:line="400" w:lineRule="exact"/>
        <w:rPr>
          <w:rFonts w:hint="eastAsia"/>
        </w:rPr>
        <w:keepNext/>
        <w:snapToGrid w:val="0"/>
      </w:pPr>
      <w:bookmarkStart w:id="32" w:name="_Toc244189585"/>
      <w:r>
        <w:rPr>
          <w:rFonts w:cs="宋体"/>
        </w:rPr>
        <w:t>（三）SRAM多尺寸与PVT评价</w:t>
      </w:r>
      <w:bookmarkEnd w:id="32"/>
    </w:p>
    <w:p w14:paraId="3D9B7B9E">
      <w:pPr>
        <w:widowControl/>
        <w:spacing w:line="360" w:lineRule="exact"/>
        <w:ind w:firstLine="420"/>
        <w:rPr>
          <w:rFonts w:hint="eastAsia"/>
        </w:rPr>
        <w:snapToGrid w:val="0"/>
      </w:pPr>
      <w:r>
        <w:rPr>
          <w:rFonts w:cs="宋体"/>
        </w:rPr>
        <w:t>SRAM器件评价采用4×4×4=64bit组织、输出4bit。基线PU／PD／PG为90／90／135nm，沟道长50nm；PD取90、135和180nm，分别评价TT／27℃／1V、SS／85℃／0.9V、FF／−40℃／1.1V。每组合MC=2、种子42、相对标准差5%，9个子任务均完成。[9，E5]</w:t>
      </w:r>
    </w:p>
    <w:p w14:paraId="10E233EB">
      <w:pPr>
        <w:pStyle w:val="14"/>
        <w:keepNext/>
        <w:spacing w:before="100" w:after="140" w:line="280" w:lineRule="exact"/>
        <w:jc w:val="center"/>
        <w:rPr>
          <w:rFonts w:hint="eastAsia"/>
        </w:rPr>
        <w:snapToGrid w:val="0"/>
      </w:pPr>
      <w:r>
        <w:t>表7  64bit SRAM多条件评价结果</w:t>
      </w:r>
    </w:p>
    <w:tbl>
      <w:tblPr>
        <w:tblStyle w:val="10"/>
        <w:tblW w:w="8844"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85" w:type="dxa"/>
          <w:bottom w:w="85" w:type="dxa"/>
          <w:right w:w="85" w:type="dxa"/>
        </w:tblCellMar>
      </w:tblPr>
      <w:tblGrid>
        <w:gridCol w:w="794"/>
        <w:gridCol w:w="2268"/>
        <w:gridCol w:w="1984"/>
        <w:gridCol w:w="1814"/>
        <w:gridCol w:w="1984"/>
      </w:tblGrid>
      <w:tr w14:paraId="00299F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tblHeader/>
          <w:jc w:val="center"/>
        </w:trPr>
        <w:tc>
          <w:tcPr>
            <w:tcW w:w="794" w:type="dxa"/>
            <w:tcBorders>
              <w:top w:val="single" w:color="000000" w:sz="12" w:space="0"/>
              <w:left w:val="nil"/>
              <w:bottom w:val="single" w:color="000000" w:sz="4" w:space="0"/>
              <w:right w:val="nil"/>
              <w:tl2br w:val="nil"/>
            </w:tcBorders>
            <w:shd w:val="clear" w:color="auto" w:fill="FFFFFF"/>
            <w:vAlign w:val="center"/>
          </w:tcPr>
          <w:p w14:paraId="50EE77D7">
            <w:pPr>
              <w:keepNext/>
              <w:spacing w:before="40" w:after="40" w:line="252" w:lineRule="auto"/>
              <w:ind w:left="0" w:leftChars="0" w:firstLine="0" w:firstLineChars="0"/>
              <w:rPr>
                <w:rFonts w:hint="eastAsia"/>
                <w:b w:val="0"/>
              </w:rPr>
              <w:snapToGrid w:val="0"/>
            </w:pPr>
            <w:r>
              <w:rPr>
                <w:rFonts w:cs="宋体"/>
                <w:b w:val="0"/>
                <w:sz w:val="21"/>
              </w:rPr>
              <w:t>PD nm</w:t>
            </w:r>
          </w:p>
        </w:tc>
        <w:tc>
          <w:tcPr>
            <w:tcW w:w="2268" w:type="dxa"/>
            <w:tcBorders>
              <w:top w:val="single" w:color="000000" w:sz="12" w:space="0"/>
              <w:left w:val="nil"/>
              <w:bottom w:val="single" w:color="000000" w:sz="4" w:space="0"/>
              <w:right w:val="nil"/>
            </w:tcBorders>
            <w:shd w:val="clear" w:color="auto" w:fill="FFFFFF"/>
            <w:vAlign w:val="center"/>
          </w:tcPr>
          <w:p w14:paraId="67785928">
            <w:pPr>
              <w:keepNext/>
              <w:spacing w:before="40" w:after="40" w:line="252" w:lineRule="auto"/>
              <w:ind w:left="0" w:leftChars="0" w:firstLine="0" w:firstLineChars="0"/>
              <w:jc w:val="both"/>
              <w:rPr>
                <w:rFonts w:hint="eastAsia"/>
                <w:b w:val="0"/>
              </w:rPr>
              <w:snapToGrid w:val="0"/>
            </w:pPr>
            <w:r>
              <w:rPr>
                <w:rFonts w:cs="宋体"/>
                <w:b w:val="0"/>
                <w:sz w:val="21"/>
              </w:rPr>
              <w:t>最坏读延迟估算 ns</w:t>
            </w:r>
          </w:p>
        </w:tc>
        <w:tc>
          <w:tcPr>
            <w:tcW w:w="1984" w:type="dxa"/>
            <w:tcBorders>
              <w:top w:val="single" w:color="000000" w:sz="12" w:space="0"/>
              <w:left w:val="nil"/>
              <w:bottom w:val="single" w:color="000000" w:sz="4" w:space="0"/>
              <w:right w:val="nil"/>
            </w:tcBorders>
            <w:shd w:val="clear" w:color="auto" w:fill="FFFFFF"/>
            <w:vAlign w:val="center"/>
          </w:tcPr>
          <w:p w14:paraId="0F013C82">
            <w:pPr>
              <w:keepNext/>
              <w:spacing w:before="40" w:after="40" w:line="252" w:lineRule="auto"/>
              <w:ind w:left="0" w:leftChars="0" w:firstLine="0" w:firstLineChars="0"/>
              <w:jc w:val="both"/>
              <w:rPr>
                <w:rFonts w:hint="eastAsia"/>
                <w:b w:val="0"/>
              </w:rPr>
              <w:snapToGrid w:val="0"/>
            </w:pPr>
            <w:r>
              <w:rPr>
                <w:rFonts w:cs="宋体"/>
                <w:b w:val="0"/>
                <w:sz w:val="21"/>
              </w:rPr>
              <w:t>最坏写延迟估算 ns</w:t>
            </w:r>
          </w:p>
        </w:tc>
        <w:tc>
          <w:tcPr>
            <w:tcW w:w="1814" w:type="dxa"/>
            <w:tcBorders>
              <w:top w:val="single" w:color="000000" w:sz="12" w:space="0"/>
              <w:left w:val="nil"/>
              <w:bottom w:val="single" w:color="000000" w:sz="4" w:space="0"/>
              <w:right w:val="nil"/>
            </w:tcBorders>
            <w:shd w:val="clear" w:color="auto" w:fill="FFFFFF"/>
            <w:vAlign w:val="center"/>
          </w:tcPr>
          <w:p w14:paraId="3D7B0D0F">
            <w:pPr>
              <w:keepNext/>
              <w:spacing w:before="40" w:after="40" w:line="252" w:lineRule="auto"/>
              <w:ind w:left="0" w:leftChars="0" w:firstLine="0" w:firstLineChars="0"/>
              <w:jc w:val="both"/>
              <w:rPr>
                <w:rFonts w:hint="eastAsia"/>
                <w:b w:val="0"/>
              </w:rPr>
              <w:snapToGrid w:val="0"/>
            </w:pPr>
            <w:r>
              <w:rPr>
                <w:rFonts w:cs="宋体"/>
                <w:b w:val="0"/>
                <w:sz w:val="21"/>
              </w:rPr>
              <w:t>最小Read SNMV</w:t>
            </w:r>
          </w:p>
        </w:tc>
        <w:tc>
          <w:tcPr>
            <w:tcW w:w="1984" w:type="dxa"/>
            <w:tcBorders>
              <w:top w:val="single" w:color="000000" w:sz="12" w:space="0"/>
              <w:left w:val="nil"/>
              <w:bottom w:val="single" w:color="000000" w:sz="4" w:space="0"/>
              <w:right w:val="nil"/>
            </w:tcBorders>
            <w:shd w:val="clear" w:color="auto" w:fill="FFFFFF"/>
            <w:vAlign w:val="center"/>
          </w:tcPr>
          <w:p w14:paraId="34B0DD61">
            <w:pPr>
              <w:keepNext/>
              <w:spacing w:before="40" w:after="40" w:line="252" w:lineRule="auto"/>
              <w:ind w:left="0" w:leftChars="0" w:firstLine="0" w:firstLineChars="0"/>
              <w:jc w:val="both"/>
              <w:rPr>
                <w:rFonts w:hint="eastAsia"/>
                <w:b w:val="0"/>
              </w:rPr>
              <w:snapToGrid w:val="0"/>
            </w:pPr>
            <w:r>
              <w:rPr>
                <w:rFonts w:cs="宋体"/>
                <w:b w:val="0"/>
                <w:sz w:val="21"/>
              </w:rPr>
              <w:t>bank面积估算 μm²</w:t>
            </w:r>
          </w:p>
        </w:tc>
      </w:tr>
      <w:tr w14:paraId="1AA822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794" w:type="dxa"/>
            <w:tcBorders>
              <w:top w:val="single" w:color="000000" w:sz="4" w:space="0"/>
              <w:left w:val="nil"/>
              <w:bottom w:val="nil"/>
              <w:right w:val="nil"/>
            </w:tcBorders>
            <w:shd w:val="clear" w:color="auto" w:fill="FFFFFF"/>
            <w:vAlign w:val="center"/>
          </w:tcPr>
          <w:p w14:paraId="57D582CB">
            <w:pPr>
              <w:spacing w:before="40" w:after="40" w:line="252" w:lineRule="auto"/>
              <w:ind w:left="0" w:leftChars="0" w:firstLine="0" w:firstLineChars="0"/>
              <w:rPr>
                <w:rFonts w:hint="eastAsia"/>
                <w:b w:val="0"/>
              </w:rPr>
              <w:snapToGrid w:val="0"/>
            </w:pPr>
            <w:r>
              <w:rPr>
                <w:rFonts w:cs="宋体"/>
                <w:b w:val="0"/>
                <w:sz w:val="21"/>
              </w:rPr>
              <w:t>90</w:t>
            </w:r>
          </w:p>
        </w:tc>
        <w:tc>
          <w:tcPr>
            <w:tcW w:w="2268" w:type="dxa"/>
            <w:tcBorders>
              <w:top w:val="single" w:color="000000" w:sz="4" w:space="0"/>
              <w:left w:val="nil"/>
              <w:bottom w:val="nil"/>
              <w:right w:val="nil"/>
            </w:tcBorders>
            <w:shd w:val="clear" w:color="auto" w:fill="FFFFFF"/>
            <w:vAlign w:val="center"/>
          </w:tcPr>
          <w:p w14:paraId="3507850F">
            <w:pPr>
              <w:spacing w:before="40" w:after="40" w:line="252" w:lineRule="auto"/>
              <w:jc w:val="both"/>
              <w:rPr>
                <w:rFonts w:hint="eastAsia"/>
                <w:b w:val="0"/>
              </w:rPr>
              <w:snapToGrid w:val="0"/>
            </w:pPr>
            <w:r>
              <w:rPr>
                <w:rFonts w:cs="宋体"/>
                <w:b w:val="0"/>
                <w:sz w:val="21"/>
              </w:rPr>
              <w:t>0.990239</w:t>
            </w:r>
          </w:p>
        </w:tc>
        <w:tc>
          <w:tcPr>
            <w:tcW w:w="1984" w:type="dxa"/>
            <w:tcBorders>
              <w:top w:val="single" w:color="000000" w:sz="4" w:space="0"/>
              <w:left w:val="nil"/>
              <w:bottom w:val="nil"/>
              <w:right w:val="nil"/>
            </w:tcBorders>
            <w:shd w:val="clear" w:color="auto" w:fill="FFFFFF"/>
            <w:vAlign w:val="center"/>
          </w:tcPr>
          <w:p w14:paraId="7C88541B">
            <w:pPr>
              <w:spacing w:before="40" w:after="40" w:line="252" w:lineRule="auto"/>
              <w:jc w:val="both"/>
              <w:rPr>
                <w:rFonts w:hint="eastAsia"/>
                <w:b w:val="0"/>
              </w:rPr>
              <w:snapToGrid w:val="0"/>
            </w:pPr>
            <w:r>
              <w:rPr>
                <w:rFonts w:cs="宋体"/>
                <w:b w:val="0"/>
                <w:sz w:val="21"/>
              </w:rPr>
              <w:t>0.610865</w:t>
            </w:r>
          </w:p>
        </w:tc>
        <w:tc>
          <w:tcPr>
            <w:tcW w:w="1814" w:type="dxa"/>
            <w:tcBorders>
              <w:top w:val="single" w:color="000000" w:sz="4" w:space="0"/>
              <w:left w:val="nil"/>
              <w:bottom w:val="nil"/>
              <w:right w:val="nil"/>
            </w:tcBorders>
            <w:shd w:val="clear" w:color="auto" w:fill="FFFFFF"/>
            <w:vAlign w:val="center"/>
          </w:tcPr>
          <w:p w14:paraId="150F90D7">
            <w:pPr>
              <w:spacing w:before="40" w:after="40" w:line="252" w:lineRule="auto"/>
              <w:jc w:val="both"/>
              <w:rPr>
                <w:rFonts w:hint="eastAsia"/>
                <w:b w:val="0"/>
              </w:rPr>
              <w:snapToGrid w:val="0"/>
            </w:pPr>
            <w:r>
              <w:rPr>
                <w:rFonts w:cs="宋体"/>
                <w:b w:val="0"/>
                <w:sz w:val="21"/>
              </w:rPr>
              <w:t>0.195115</w:t>
            </w:r>
          </w:p>
        </w:tc>
        <w:tc>
          <w:tcPr>
            <w:tcW w:w="1984" w:type="dxa"/>
            <w:tcBorders>
              <w:top w:val="single" w:color="000000" w:sz="4" w:space="0"/>
              <w:left w:val="nil"/>
              <w:bottom w:val="nil"/>
              <w:right w:val="nil"/>
            </w:tcBorders>
            <w:shd w:val="clear" w:color="auto" w:fill="FFFFFF"/>
            <w:vAlign w:val="center"/>
          </w:tcPr>
          <w:p w14:paraId="1134337E">
            <w:pPr>
              <w:spacing w:before="40" w:after="40" w:line="252" w:lineRule="auto"/>
              <w:jc w:val="both"/>
              <w:rPr>
                <w:rFonts w:hint="eastAsia"/>
                <w:b w:val="0"/>
              </w:rPr>
              <w:snapToGrid w:val="0"/>
            </w:pPr>
            <w:r>
              <w:rPr>
                <w:rFonts w:cs="宋体"/>
                <w:b w:val="0"/>
                <w:sz w:val="21"/>
              </w:rPr>
              <w:t>967.321</w:t>
            </w:r>
          </w:p>
        </w:tc>
      </w:tr>
      <w:tr w14:paraId="5E7F18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794" w:type="dxa"/>
            <w:tcBorders>
              <w:top w:val="nil"/>
              <w:left w:val="nil"/>
              <w:bottom w:val="nil"/>
              <w:right w:val="nil"/>
            </w:tcBorders>
            <w:shd w:val="clear" w:color="auto" w:fill="FFFFFF"/>
            <w:vAlign w:val="center"/>
          </w:tcPr>
          <w:p w14:paraId="3F4AA9AC">
            <w:pPr>
              <w:spacing w:before="40" w:after="40" w:line="252" w:lineRule="auto"/>
              <w:ind w:left="0" w:leftChars="0" w:firstLine="0" w:firstLineChars="0"/>
              <w:rPr>
                <w:rFonts w:hint="eastAsia"/>
                <w:b w:val="0"/>
              </w:rPr>
              <w:snapToGrid w:val="0"/>
            </w:pPr>
            <w:r>
              <w:rPr>
                <w:rFonts w:cs="宋体"/>
                <w:b w:val="0"/>
                <w:sz w:val="21"/>
              </w:rPr>
              <w:t>135</w:t>
            </w:r>
          </w:p>
        </w:tc>
        <w:tc>
          <w:tcPr>
            <w:tcW w:w="2268" w:type="dxa"/>
            <w:tcBorders>
              <w:top w:val="nil"/>
              <w:left w:val="nil"/>
              <w:bottom w:val="nil"/>
              <w:right w:val="nil"/>
            </w:tcBorders>
            <w:shd w:val="clear" w:color="auto" w:fill="FFFFFF"/>
            <w:vAlign w:val="center"/>
          </w:tcPr>
          <w:p w14:paraId="2E5BF79D">
            <w:pPr>
              <w:spacing w:before="40" w:after="40" w:line="252" w:lineRule="auto"/>
              <w:jc w:val="both"/>
              <w:rPr>
                <w:rFonts w:hint="eastAsia"/>
                <w:b w:val="0"/>
              </w:rPr>
              <w:snapToGrid w:val="0"/>
            </w:pPr>
            <w:r>
              <w:rPr>
                <w:rFonts w:cs="宋体"/>
                <w:b w:val="0"/>
                <w:sz w:val="21"/>
              </w:rPr>
              <w:t>0.968039</w:t>
            </w:r>
          </w:p>
        </w:tc>
        <w:tc>
          <w:tcPr>
            <w:tcW w:w="1984" w:type="dxa"/>
            <w:tcBorders>
              <w:top w:val="nil"/>
              <w:left w:val="nil"/>
              <w:bottom w:val="nil"/>
              <w:right w:val="nil"/>
            </w:tcBorders>
            <w:shd w:val="clear" w:color="auto" w:fill="FFFFFF"/>
            <w:vAlign w:val="center"/>
          </w:tcPr>
          <w:p w14:paraId="19370A7E">
            <w:pPr>
              <w:spacing w:before="40" w:after="40" w:line="252" w:lineRule="auto"/>
              <w:ind w:firstLine="0"/>
              <w:jc w:val="both"/>
              <w:rPr>
                <w:rFonts w:hint="eastAsia"/>
                <w:b w:val="0"/>
              </w:rPr>
              <w:snapToGrid w:val="0"/>
            </w:pPr>
            <w:r>
              <w:rPr>
                <w:rFonts w:cs="宋体"/>
                <w:b w:val="0"/>
                <w:sz w:val="21"/>
              </w:rPr>
              <w:t>0.629093</w:t>
            </w:r>
          </w:p>
        </w:tc>
        <w:tc>
          <w:tcPr>
            <w:tcW w:w="1814" w:type="dxa"/>
            <w:tcBorders>
              <w:top w:val="nil"/>
              <w:left w:val="nil"/>
              <w:bottom w:val="nil"/>
              <w:right w:val="nil"/>
            </w:tcBorders>
            <w:shd w:val="clear" w:color="auto" w:fill="FFFFFF"/>
            <w:vAlign w:val="center"/>
          </w:tcPr>
          <w:p w14:paraId="6F9A500C">
            <w:pPr>
              <w:spacing w:before="40" w:after="40" w:line="252" w:lineRule="auto"/>
              <w:jc w:val="both"/>
              <w:rPr>
                <w:rFonts w:hint="eastAsia"/>
                <w:b w:val="0"/>
              </w:rPr>
              <w:snapToGrid w:val="0"/>
            </w:pPr>
            <w:r>
              <w:rPr>
                <w:rFonts w:cs="宋体"/>
                <w:b w:val="0"/>
                <w:sz w:val="21"/>
              </w:rPr>
              <w:t>0.155480</w:t>
            </w:r>
          </w:p>
        </w:tc>
        <w:tc>
          <w:tcPr>
            <w:tcW w:w="1984" w:type="dxa"/>
            <w:tcBorders>
              <w:top w:val="nil"/>
              <w:left w:val="nil"/>
              <w:bottom w:val="nil"/>
              <w:right w:val="nil"/>
            </w:tcBorders>
            <w:shd w:val="clear" w:color="auto" w:fill="FFFFFF"/>
            <w:vAlign w:val="center"/>
          </w:tcPr>
          <w:p w14:paraId="0DFDD91E">
            <w:pPr>
              <w:spacing w:before="40" w:after="40" w:line="252" w:lineRule="auto"/>
              <w:ind w:firstLine="0"/>
              <w:jc w:val="both"/>
              <w:rPr>
                <w:rFonts w:hint="eastAsia"/>
                <w:b w:val="0"/>
              </w:rPr>
              <w:snapToGrid w:val="0"/>
            </w:pPr>
            <w:r>
              <w:rPr>
                <w:rFonts w:cs="宋体"/>
                <w:b w:val="0"/>
                <w:sz w:val="21"/>
              </w:rPr>
              <w:t>979.766</w:t>
            </w:r>
          </w:p>
        </w:tc>
      </w:tr>
      <w:tr w14:paraId="2D1762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794" w:type="dxa"/>
            <w:tcBorders>
              <w:top w:val="nil"/>
              <w:left w:val="nil"/>
              <w:bottom w:val="single" w:color="000000" w:sz="12" w:space="0"/>
              <w:right w:val="nil"/>
            </w:tcBorders>
            <w:shd w:val="clear" w:color="auto" w:fill="FFFFFF"/>
            <w:vAlign w:val="center"/>
          </w:tcPr>
          <w:p w14:paraId="4CC8E2D6">
            <w:pPr>
              <w:spacing w:before="40" w:after="40" w:line="252" w:lineRule="auto"/>
              <w:ind w:left="0" w:leftChars="0" w:firstLine="0" w:firstLineChars="0"/>
              <w:rPr>
                <w:rFonts w:hint="eastAsia"/>
                <w:b w:val="0"/>
              </w:rPr>
              <w:snapToGrid w:val="0"/>
            </w:pPr>
            <w:r>
              <w:rPr>
                <w:rFonts w:cs="宋体"/>
                <w:b w:val="0"/>
                <w:sz w:val="21"/>
              </w:rPr>
              <w:t>180</w:t>
            </w:r>
          </w:p>
        </w:tc>
        <w:tc>
          <w:tcPr>
            <w:tcW w:w="2268" w:type="dxa"/>
            <w:tcBorders>
              <w:top w:val="nil"/>
              <w:left w:val="nil"/>
              <w:bottom w:val="single" w:color="000000" w:sz="12" w:space="0"/>
              <w:right w:val="nil"/>
            </w:tcBorders>
            <w:shd w:val="clear" w:color="auto" w:fill="FFFFFF"/>
            <w:vAlign w:val="center"/>
          </w:tcPr>
          <w:p w14:paraId="51B30AFA">
            <w:pPr>
              <w:spacing w:before="40" w:after="40" w:line="252" w:lineRule="auto"/>
              <w:ind w:firstLine="0"/>
              <w:jc w:val="both"/>
              <w:rPr>
                <w:rFonts w:hint="eastAsia"/>
                <w:b w:val="0"/>
              </w:rPr>
              <w:snapToGrid w:val="0"/>
            </w:pPr>
            <w:r>
              <w:rPr>
                <w:rFonts w:cs="宋体"/>
                <w:b w:val="0"/>
                <w:sz w:val="21"/>
              </w:rPr>
              <w:t>0.956804</w:t>
            </w:r>
          </w:p>
        </w:tc>
        <w:tc>
          <w:tcPr>
            <w:tcW w:w="1984" w:type="dxa"/>
            <w:tcBorders>
              <w:top w:val="nil"/>
              <w:left w:val="nil"/>
              <w:bottom w:val="single" w:color="000000" w:sz="12" w:space="0"/>
              <w:right w:val="nil"/>
            </w:tcBorders>
            <w:shd w:val="clear" w:color="auto" w:fill="FFFFFF"/>
            <w:vAlign w:val="center"/>
          </w:tcPr>
          <w:p w14:paraId="5CB8ED7D">
            <w:pPr>
              <w:spacing w:before="40" w:after="40" w:line="252" w:lineRule="auto"/>
              <w:jc w:val="both"/>
              <w:rPr>
                <w:rFonts w:hint="eastAsia"/>
                <w:b w:val="0"/>
              </w:rPr>
              <w:snapToGrid w:val="0"/>
            </w:pPr>
            <w:r>
              <w:rPr>
                <w:rFonts w:cs="宋体"/>
                <w:b w:val="0"/>
                <w:sz w:val="21"/>
              </w:rPr>
              <w:t>0.649909</w:t>
            </w:r>
          </w:p>
        </w:tc>
        <w:tc>
          <w:tcPr>
            <w:tcW w:w="1814" w:type="dxa"/>
            <w:tcBorders>
              <w:top w:val="nil"/>
              <w:left w:val="nil"/>
              <w:bottom w:val="single" w:color="000000" w:sz="12" w:space="0"/>
              <w:right w:val="nil"/>
            </w:tcBorders>
            <w:shd w:val="clear" w:color="auto" w:fill="FFFFFF"/>
            <w:vAlign w:val="center"/>
          </w:tcPr>
          <w:p w14:paraId="3D7BB7FE">
            <w:pPr>
              <w:spacing w:before="40" w:after="40" w:line="252" w:lineRule="auto"/>
              <w:jc w:val="both"/>
              <w:rPr>
                <w:rFonts w:hint="eastAsia"/>
                <w:b w:val="0"/>
              </w:rPr>
              <w:snapToGrid w:val="0"/>
            </w:pPr>
            <w:r>
              <w:rPr>
                <w:rFonts w:cs="宋体"/>
                <w:b w:val="0"/>
                <w:sz w:val="21"/>
              </w:rPr>
              <w:t>0.169445</w:t>
            </w:r>
          </w:p>
        </w:tc>
        <w:tc>
          <w:tcPr>
            <w:tcW w:w="1984" w:type="dxa"/>
            <w:tcBorders>
              <w:top w:val="nil"/>
              <w:left w:val="nil"/>
              <w:bottom w:val="single" w:color="000000" w:sz="12" w:space="0"/>
              <w:right w:val="nil"/>
            </w:tcBorders>
            <w:shd w:val="clear" w:color="auto" w:fill="FFFFFF"/>
            <w:vAlign w:val="center"/>
          </w:tcPr>
          <w:p w14:paraId="4E4E4E1C">
            <w:pPr>
              <w:spacing w:before="40" w:after="40" w:line="252" w:lineRule="auto"/>
              <w:ind w:firstLine="0"/>
              <w:jc w:val="both"/>
              <w:rPr>
                <w:rFonts w:hint="eastAsia"/>
                <w:b w:val="0"/>
              </w:rPr>
              <w:snapToGrid w:val="0"/>
            </w:pPr>
            <w:r>
              <w:rPr>
                <w:rFonts w:cs="宋体"/>
                <w:b w:val="0"/>
                <w:sz w:val="21"/>
              </w:rPr>
              <w:t>992.210</w:t>
            </w:r>
          </w:p>
        </w:tc>
      </w:tr>
    </w:tbl>
    <w:p w14:paraId="753A5D35">
      <w:pPr>
        <w:spacing w:after="0"/>
        <w:rPr>
          <w:rFonts w:hint="eastAsia"/>
        </w:rPr>
        <w:snapToGrid w:val="0"/>
      </w:pPr>
    </w:p>
    <w:p w14:paraId="5B16AEEA">
      <w:pPr>
        <w:widowControl/>
        <w:spacing w:line="360" w:lineRule="exact"/>
        <w:ind w:firstLine="420"/>
        <w:rPr>
          <w:rFonts w:hint="eastAsia"/>
        </w:rPr>
        <w:snapToGrid w:val="0"/>
      </w:pPr>
      <w:r>
        <w:rPr>
          <w:rFonts w:cs="宋体"/>
        </w:rPr>
        <w:t>阵列读写和SNM由SPICE计算，bank外围组合与面积由相应模型估算。系统在固定组织下建立器件尺寸、PVT条件和性能指标的对应数据，支持同条件比较与参数检索，展示了器件评价流程的组织能力。[9，E5]</w:t>
      </w:r>
    </w:p>
    <w:p>
      <w:pPr>
        <w:pStyle w:val="3"/>
        <w:keepNext/>
        <w:snapToGrid w:val="0"/>
        <w:spacing w:line="400" w:lineRule="exact"/>
      </w:pPr>
      <w:r>
        <w:t>（四）自由探索闭环的实际验证</w:t>
      </w:r>
    </w:p>
    <w:p>
      <w:pPr>
        <w:widowControl/>
        <w:spacing w:line="360" w:lineRule="exact"/>
        <w:ind w:firstLine="420"/>
        <w:rPr>
          <w:rFonts w:hint="eastAsia"/>
        </w:rPr>
        <w:snapToGrid w:val="0"/>
      </w:pPr>
      <w:r>
        <w:t>历史任务20261011_140055_explore_multiplier_fdabd4展示了真正的多轮候选选择与实际验证。任务固定8位近似乘法器、seed=42、4096组测试、Nangate45 typical综合与MRED≤0.02要求，目标优先最小化综合面积、再比较MRED，预算128条候选记录。第一项为基线，其余127项由本地DeepSeek从合法菜单选择，并逐项执行RTL、综合及门级对照。[10]</w:t>
      </w:r>
    </w:p>
    <w:p>
      <w:pPr>
        <w:widowControl/>
        <w:spacing w:line="360" w:lineRule="exact"/>
        <w:ind w:firstLine="420"/>
        <w:rPr>
          <w:rFonts w:hint="eastAsia"/>
        </w:rPr>
        <w:snapToGrid w:val="0"/>
      </w:pPr>
      <w:r>
        <w:t>任务保存18条满足约束、86条误差未达标和24条执行失败记录，形成6个Pareto候选。最佳已测项为第6号AKbar2配置，MRED=0.0136390362，综合面积291.802μm²；相对本任务ACCI1基线322.924μm²减少约9.64%。这一结果体现了精度预算与面积目标的取舍，不表示误差也同时降低。[10]</w:t>
      </w:r>
    </w:p>
    <w:p>
      <w:pPr>
        <w:pStyle w:val="14"/>
        <w:snapToGrid w:val="0"/>
        <w:spacing w:line="280" w:lineRule="exact"/>
      </w:pPr>
      <w:r>
        <w:t>表8  自由探索任务的真实执行记录</w:t>
      </w:r>
    </w:p>
    <w:tbl>
      <w:tblPr>
        <w:tblW w:type="auto" w:w="0"/>
        <w:tblLayout w:type="fixed"/>
        <w:tblLook w:firstColumn="1" w:firstRow="1" w:lastColumn="0" w:lastRow="0" w:noHBand="0" w:noVBand="1" w:val="04A0"/>
      </w:tblPr>
      <w:tblGrid>
        <w:gridCol w:w="1814"/>
        <w:gridCol w:w="3231"/>
        <w:gridCol w:w="3345"/>
      </w:tblGrid>
      <w:tr>
        <w:trPr>
          <w:cantSplit/>
          <w:tblHeader/>
        </w:trPr>
        <w:tc>
          <w:tcPr>
            <w:tcW w:type="dxa" w:w="1814"/>
            <w:shd w:fill="EAF1F6"/>
          </w:tcPr>
          <w:p>
            <w:pPr>
              <w:spacing w:line="276" w:lineRule="auto" w:after="80" w:before="60"/>
              <w:ind w:firstLine="0"/>
              <w:snapToGrid w:val="0"/>
            </w:pPr>
            <w:r>
              <w:rPr>
                <w:rFonts w:ascii="Times New Roman" w:hAnsi="Times New Roman" w:eastAsia="宋体"/>
                <w:b/>
                <w:sz w:val="20"/>
              </w:rPr>
              <w:t>项目</w:t>
            </w:r>
          </w:p>
        </w:tc>
        <w:tc>
          <w:tcPr>
            <w:tcW w:type="dxa" w:w="3231"/>
            <w:shd w:fill="EAF1F6"/>
          </w:tcPr>
          <w:p>
            <w:pPr>
              <w:spacing w:line="276" w:lineRule="auto" w:after="80" w:before="60"/>
              <w:ind w:firstLine="0"/>
              <w:snapToGrid w:val="0"/>
            </w:pPr>
            <w:r>
              <w:rPr>
                <w:rFonts w:ascii="Times New Roman" w:hAnsi="Times New Roman" w:eastAsia="宋体"/>
                <w:b/>
                <w:sz w:val="20"/>
              </w:rPr>
              <w:t>本次记录</w:t>
            </w:r>
          </w:p>
        </w:tc>
        <w:tc>
          <w:tcPr>
            <w:tcW w:type="dxa" w:w="3345"/>
            <w:shd w:fill="EAF1F6"/>
          </w:tcPr>
          <w:p>
            <w:pPr>
              <w:spacing w:line="276" w:lineRule="auto" w:after="80" w:before="60"/>
              <w:ind w:firstLine="0"/>
              <w:snapToGrid w:val="0"/>
            </w:pPr>
            <w:r>
              <w:rPr>
                <w:rFonts w:ascii="Times New Roman" w:hAnsi="Times New Roman" w:eastAsia="宋体"/>
                <w:b/>
                <w:sz w:val="20"/>
              </w:rPr>
              <w:t>评价含义</w:t>
            </w:r>
          </w:p>
        </w:tc>
      </w:tr>
      <w:tr>
        <w:trPr>
          <w:cantSplit/>
        </w:trPr>
        <w:tc>
          <w:tcPr>
            <w:tcW w:type="dxa" w:w="1814"/>
          </w:tcPr>
          <w:p>
            <w:pPr>
              <w:spacing w:line="276" w:lineRule="auto" w:after="80" w:before="60"/>
              <w:ind w:firstLine="0"/>
              <w:snapToGrid w:val="0"/>
            </w:pPr>
            <w:r>
              <w:rPr>
                <w:rFonts w:ascii="Times New Roman" w:hAnsi="Times New Roman" w:eastAsia="宋体"/>
                <w:b w:val="0"/>
                <w:sz w:val="20"/>
              </w:rPr>
              <w:t>候选及来源</w:t>
            </w:r>
          </w:p>
        </w:tc>
        <w:tc>
          <w:tcPr>
            <w:tcW w:type="dxa" w:w="3231"/>
          </w:tcPr>
          <w:p>
            <w:pPr>
              <w:spacing w:line="276" w:lineRule="auto" w:after="80" w:before="60"/>
              <w:ind w:firstLine="0"/>
              <w:snapToGrid w:val="0"/>
            </w:pPr>
            <w:r>
              <w:rPr>
                <w:rFonts w:ascii="Times New Roman" w:hAnsi="Times New Roman" w:eastAsia="宋体"/>
                <w:b w:val="0"/>
                <w:sz w:val="20"/>
              </w:rPr>
              <w:t>128条；1基线＋127次DeepSeek选点</w:t>
            </w:r>
          </w:p>
        </w:tc>
        <w:tc>
          <w:tcPr>
            <w:tcW w:type="dxa" w:w="3345"/>
          </w:tcPr>
          <w:p>
            <w:pPr>
              <w:spacing w:line="276" w:lineRule="auto" w:after="80" w:before="60"/>
              <w:ind w:firstLine="0"/>
              <w:snapToGrid w:val="0"/>
            </w:pPr>
            <w:r>
              <w:rPr>
                <w:rFonts w:ascii="Times New Roman" w:hAnsi="Times New Roman" w:eastAsia="宋体"/>
                <w:b w:val="0"/>
                <w:sz w:val="20"/>
              </w:rPr>
              <w:t>每条都有相应候选与选择记录，不写成128次成功</w:t>
            </w:r>
          </w:p>
        </w:tc>
      </w:tr>
      <w:tr>
        <w:trPr>
          <w:cantSplit/>
        </w:trPr>
        <w:tc>
          <w:tcPr>
            <w:tcW w:type="dxa" w:w="1814"/>
          </w:tcPr>
          <w:p>
            <w:pPr>
              <w:spacing w:line="276" w:lineRule="auto" w:after="80" w:before="60"/>
              <w:ind w:firstLine="0"/>
              <w:snapToGrid w:val="0"/>
            </w:pPr>
            <w:r>
              <w:rPr>
                <w:rFonts w:ascii="Times New Roman" w:hAnsi="Times New Roman" w:eastAsia="宋体"/>
                <w:b w:val="0"/>
                <w:sz w:val="20"/>
              </w:rPr>
              <w:t>状态分布</w:t>
            </w:r>
          </w:p>
        </w:tc>
        <w:tc>
          <w:tcPr>
            <w:tcW w:type="dxa" w:w="3231"/>
          </w:tcPr>
          <w:p>
            <w:pPr>
              <w:spacing w:line="276" w:lineRule="auto" w:after="80" w:before="60"/>
              <w:ind w:firstLine="0"/>
              <w:snapToGrid w:val="0"/>
            </w:pPr>
            <w:r>
              <w:rPr>
                <w:rFonts w:ascii="Times New Roman" w:hAnsi="Times New Roman" w:eastAsia="宋体"/>
                <w:b w:val="0"/>
                <w:sz w:val="20"/>
              </w:rPr>
              <w:t>18满足约束／86未达标／24执行失败</w:t>
            </w:r>
          </w:p>
        </w:tc>
        <w:tc>
          <w:tcPr>
            <w:tcW w:type="dxa" w:w="3345"/>
          </w:tcPr>
          <w:p>
            <w:pPr>
              <w:spacing w:line="276" w:lineRule="auto" w:after="80" w:before="60"/>
              <w:ind w:firstLine="0"/>
              <w:snapToGrid w:val="0"/>
            </w:pPr>
            <w:r>
              <w:rPr>
                <w:rFonts w:ascii="Times New Roman" w:hAnsi="Times New Roman" w:eastAsia="宋体"/>
                <w:b w:val="0"/>
                <w:sz w:val="20"/>
              </w:rPr>
              <w:t>保留全部失败与分母，不以缺测值充当0</w:t>
            </w:r>
          </w:p>
        </w:tc>
      </w:tr>
      <w:tr>
        <w:trPr>
          <w:cantSplit/>
        </w:trPr>
        <w:tc>
          <w:tcPr>
            <w:tcW w:type="dxa" w:w="1814"/>
          </w:tcPr>
          <w:p>
            <w:pPr>
              <w:spacing w:line="276" w:lineRule="auto" w:after="80" w:before="60"/>
              <w:ind w:firstLine="0"/>
              <w:snapToGrid w:val="0"/>
            </w:pPr>
            <w:r>
              <w:rPr>
                <w:rFonts w:ascii="Times New Roman" w:hAnsi="Times New Roman" w:eastAsia="宋体"/>
                <w:b w:val="0"/>
                <w:sz w:val="20"/>
              </w:rPr>
              <w:t>最佳已测配置</w:t>
            </w:r>
          </w:p>
        </w:tc>
        <w:tc>
          <w:tcPr>
            <w:tcW w:type="dxa" w:w="3231"/>
          </w:tcPr>
          <w:p>
            <w:pPr>
              <w:spacing w:line="276" w:lineRule="auto" w:after="80" w:before="60"/>
              <w:ind w:firstLine="0"/>
              <w:snapToGrid w:val="0"/>
            </w:pPr>
            <w:r>
              <w:rPr>
                <w:rFonts w:ascii="Times New Roman" w:hAnsi="Times New Roman" w:eastAsia="宋体"/>
                <w:b w:val="0"/>
                <w:sz w:val="20"/>
              </w:rPr>
              <w:t>第6号；统一AKbar2</w:t>
            </w:r>
          </w:p>
        </w:tc>
        <w:tc>
          <w:tcPr>
            <w:tcW w:type="dxa" w:w="3345"/>
          </w:tcPr>
          <w:p>
            <w:pPr>
              <w:spacing w:line="276" w:lineRule="auto" w:after="80" w:before="60"/>
              <w:ind w:firstLine="0"/>
              <w:snapToGrid w:val="0"/>
            </w:pPr>
            <w:r>
              <w:rPr>
                <w:rFonts w:ascii="Times New Roman" w:hAnsi="Times New Roman" w:eastAsia="宋体"/>
                <w:b w:val="0"/>
                <w:sz w:val="20"/>
              </w:rPr>
              <w:t>仅对本任务有限候选成立</w:t>
            </w:r>
          </w:p>
        </w:tc>
      </w:tr>
      <w:tr>
        <w:trPr>
          <w:cantSplit/>
        </w:trPr>
        <w:tc>
          <w:tcPr>
            <w:tcW w:type="dxa" w:w="1814"/>
          </w:tcPr>
          <w:p>
            <w:pPr>
              <w:spacing w:line="276" w:lineRule="auto" w:after="80" w:before="60"/>
              <w:ind w:firstLine="0"/>
              <w:snapToGrid w:val="0"/>
            </w:pPr>
            <w:r>
              <w:rPr>
                <w:rFonts w:ascii="Times New Roman" w:hAnsi="Times New Roman" w:eastAsia="宋体"/>
                <w:b w:val="0"/>
                <w:sz w:val="20"/>
              </w:rPr>
              <w:t>MRED</w:t>
            </w:r>
          </w:p>
        </w:tc>
        <w:tc>
          <w:tcPr>
            <w:tcW w:type="dxa" w:w="3231"/>
          </w:tcPr>
          <w:p>
            <w:pPr>
              <w:spacing w:line="276" w:lineRule="auto" w:after="80" w:before="60"/>
              <w:ind w:firstLine="0"/>
              <w:snapToGrid w:val="0"/>
            </w:pPr>
            <w:r>
              <w:rPr>
                <w:rFonts w:ascii="Times New Roman" w:hAnsi="Times New Roman" w:eastAsia="宋体"/>
                <w:b w:val="0"/>
                <w:sz w:val="20"/>
              </w:rPr>
              <w:t>0.0136390362≤0.02</w:t>
            </w:r>
          </w:p>
        </w:tc>
        <w:tc>
          <w:tcPr>
            <w:tcW w:type="dxa" w:w="3345"/>
          </w:tcPr>
          <w:p>
            <w:pPr>
              <w:spacing w:line="276" w:lineRule="auto" w:after="80" w:before="60"/>
              <w:ind w:firstLine="0"/>
              <w:snapToGrid w:val="0"/>
            </w:pPr>
            <w:r>
              <w:rPr>
                <w:rFonts w:ascii="Times New Roman" w:hAnsi="Times New Roman" w:eastAsia="宋体"/>
                <w:b w:val="0"/>
                <w:sz w:val="20"/>
              </w:rPr>
              <w:t>4096组固定测试通过，不是穷举证明</w:t>
            </w:r>
          </w:p>
        </w:tc>
      </w:tr>
      <w:tr>
        <w:trPr>
          <w:cantSplit/>
        </w:trPr>
        <w:tc>
          <w:tcPr>
            <w:tcW w:type="dxa" w:w="1814"/>
          </w:tcPr>
          <w:p>
            <w:pPr>
              <w:spacing w:line="276" w:lineRule="auto" w:after="80" w:before="60"/>
              <w:ind w:firstLine="0"/>
              <w:snapToGrid w:val="0"/>
            </w:pPr>
            <w:r>
              <w:rPr>
                <w:rFonts w:ascii="Times New Roman" w:hAnsi="Times New Roman" w:eastAsia="宋体"/>
                <w:b w:val="0"/>
                <w:sz w:val="20"/>
              </w:rPr>
              <w:t>综合面积</w:t>
            </w:r>
          </w:p>
        </w:tc>
        <w:tc>
          <w:tcPr>
            <w:tcW w:type="dxa" w:w="3231"/>
          </w:tcPr>
          <w:p>
            <w:pPr>
              <w:spacing w:line="276" w:lineRule="auto" w:after="80" w:before="60"/>
              <w:ind w:firstLine="0"/>
              <w:snapToGrid w:val="0"/>
            </w:pPr>
            <w:r>
              <w:rPr>
                <w:rFonts w:ascii="Times New Roman" w:hAnsi="Times New Roman" w:eastAsia="宋体"/>
                <w:b w:val="0"/>
                <w:sz w:val="20"/>
              </w:rPr>
              <w:t>322.924→291.802μm²，约−9.64%</w:t>
            </w:r>
          </w:p>
        </w:tc>
        <w:tc>
          <w:tcPr>
            <w:tcW w:type="dxa" w:w="3345"/>
          </w:tcPr>
          <w:p>
            <w:pPr>
              <w:spacing w:line="276" w:lineRule="auto" w:after="80" w:before="60"/>
              <w:ind w:firstLine="0"/>
              <w:snapToGrid w:val="0"/>
            </w:pPr>
            <w:r>
              <w:rPr>
                <w:rFonts w:ascii="Times New Roman" w:hAnsi="Times New Roman" w:eastAsia="宋体"/>
                <w:b w:val="0"/>
                <w:sz w:val="20"/>
              </w:rPr>
              <w:t>与同任务基线比较；不是布线面积或LLM策略优势</w:t>
            </w:r>
          </w:p>
        </w:tc>
      </w:tr>
      <w:tr>
        <w:trPr>
          <w:cantSplit/>
        </w:trPr>
        <w:tc>
          <w:tcPr>
            <w:tcW w:type="dxa" w:w="1814"/>
          </w:tcPr>
          <w:p>
            <w:pPr>
              <w:spacing w:line="276" w:lineRule="auto" w:after="80" w:before="60"/>
              <w:ind w:firstLine="0"/>
              <w:snapToGrid w:val="0"/>
            </w:pPr>
            <w:r>
              <w:rPr>
                <w:rFonts w:ascii="Times New Roman" w:hAnsi="Times New Roman" w:eastAsia="宋体"/>
                <w:b w:val="0"/>
                <w:sz w:val="20"/>
              </w:rPr>
              <w:t>Pareto与停止</w:t>
            </w:r>
          </w:p>
        </w:tc>
        <w:tc>
          <w:tcPr>
            <w:tcW w:type="dxa" w:w="3231"/>
          </w:tcPr>
          <w:p>
            <w:pPr>
              <w:spacing w:line="276" w:lineRule="auto" w:after="80" w:before="60"/>
              <w:ind w:firstLine="0"/>
              <w:snapToGrid w:val="0"/>
            </w:pPr>
            <w:r>
              <w:rPr>
                <w:rFonts w:ascii="Times New Roman" w:hAnsi="Times New Roman" w:eastAsia="宋体"/>
                <w:b w:val="0"/>
                <w:sz w:val="20"/>
              </w:rPr>
              <w:t>6项；达到128条候选预算后停止</w:t>
            </w:r>
          </w:p>
        </w:tc>
        <w:tc>
          <w:tcPr>
            <w:tcW w:type="dxa" w:w="3345"/>
          </w:tcPr>
          <w:p>
            <w:pPr>
              <w:spacing w:line="276" w:lineRule="auto" w:after="80" w:before="60"/>
              <w:ind w:firstLine="0"/>
              <w:snapToGrid w:val="0"/>
            </w:pPr>
            <w:r>
              <w:rPr>
                <w:rFonts w:ascii="Times New Roman" w:hAnsi="Times New Roman" w:eastAsia="宋体"/>
                <w:b w:val="0"/>
                <w:sz w:val="20"/>
              </w:rPr>
              <w:t>保留权衡方案，不宣称全空间最优</w:t>
            </w:r>
          </w:p>
        </w:tc>
      </w:tr>
      <w:tr>
        <w:trPr>
          <w:cantSplit/>
        </w:trPr>
        <w:tc>
          <w:tcPr>
            <w:tcW w:type="dxa" w:w="1814"/>
          </w:tcPr>
          <w:p>
            <w:pPr>
              <w:spacing w:line="276" w:lineRule="auto" w:after="80" w:before="60"/>
              <w:ind w:firstLine="0"/>
              <w:snapToGrid w:val="0"/>
            </w:pPr>
            <w:r>
              <w:rPr>
                <w:rFonts w:ascii="Times New Roman" w:hAnsi="Times New Roman" w:eastAsia="宋体"/>
                <w:b w:val="0"/>
                <w:sz w:val="20"/>
              </w:rPr>
              <w:t>源工程校验</w:t>
            </w:r>
          </w:p>
        </w:tc>
        <w:tc>
          <w:tcPr>
            <w:tcW w:type="dxa" w:w="3231"/>
          </w:tcPr>
          <w:p>
            <w:pPr>
              <w:spacing w:line="276" w:lineRule="auto" w:after="80" w:before="60"/>
              <w:ind w:firstLine="0"/>
              <w:snapToGrid w:val="0"/>
            </w:pPr>
            <w:r>
              <w:rPr>
                <w:rFonts w:ascii="Times New Roman" w:hAnsi="Times New Roman" w:eastAsia="宋体"/>
                <w:b w:val="0"/>
                <w:sz w:val="20"/>
              </w:rPr>
              <w:t>2631文件；unchanged=true</w:t>
            </w:r>
          </w:p>
        </w:tc>
        <w:tc>
          <w:tcPr>
            <w:tcW w:type="dxa" w:w="3345"/>
          </w:tcPr>
          <w:p>
            <w:pPr>
              <w:spacing w:line="276" w:lineRule="auto" w:after="80" w:before="60"/>
              <w:ind w:firstLine="0"/>
              <w:snapToGrid w:val="0"/>
            </w:pPr>
            <w:r>
              <w:rPr>
                <w:rFonts w:ascii="Times New Roman" w:hAnsi="Times New Roman" w:eastAsia="宋体"/>
                <w:b w:val="0"/>
                <w:sz w:val="20"/>
              </w:rPr>
              <w:t>原始OpenACM未改动</w:t>
            </w:r>
          </w:p>
        </w:tc>
      </w:tr>
    </w:tbl>
    <w:p>
      <w:pPr>
        <w:keepNext/>
        <w:widowControl/>
        <w:ind w:firstLine="0"/>
        <w:jc w:val="center"/>
        <w:rPr>
          <w:rFonts w:hint="eastAsia"/>
        </w:rPr>
        <w:snapToGrid w:val="0"/>
      </w:pPr>
      <w:r>
        <w:drawing>
          <wp:inline xmlns:a="http://schemas.openxmlformats.org/drawingml/2006/main" xmlns:pic="http://schemas.openxmlformats.org/drawingml/2006/picture">
            <wp:extent cx="5328000" cy="2080016"/>
            <wp:docPr id="5" name="Picture 5"/>
            <wp:cNvGraphicFramePr>
              <a:graphicFrameLocks noChangeAspect="1"/>
            </wp:cNvGraphicFramePr>
            <a:graphic>
              <a:graphicData uri="http://schemas.openxmlformats.org/drawingml/2006/picture">
                <pic:pic>
                  <pic:nvPicPr>
                    <pic:cNvPr id="0" name="free_exploration_results.png"/>
                    <pic:cNvPicPr/>
                  </pic:nvPicPr>
                  <pic:blipFill>
                    <a:blip r:embed="rId18"/>
                    <a:stretch>
                      <a:fillRect/>
                    </a:stretch>
                  </pic:blipFill>
                  <pic:spPr>
                    <a:xfrm>
                      <a:off x="0" y="0"/>
                      <a:ext cx="5328000" cy="2080016"/>
                    </a:xfrm>
                    <a:prstGeom prst="rect"/>
                  </pic:spPr>
                </pic:pic>
              </a:graphicData>
            </a:graphic>
          </wp:inline>
        </w:drawing>
      </w:r>
    </w:p>
    <w:p>
      <w:pPr>
        <w:pStyle w:val="14"/>
        <w:snapToGrid w:val="0"/>
        <w:spacing w:line="280" w:lineRule="exact"/>
      </w:pPr>
      <w:r>
        <w:t>图4  自由探索的可行面积轨迹与实测误差—面积分布（24条执行失败无数值点）</w:t>
      </w:r>
    </w:p>
    <w:p>
      <w:pPr>
        <w:widowControl/>
        <w:spacing w:line="360" w:lineRule="exact"/>
        <w:ind w:firstLine="420"/>
        <w:rPr>
          <w:rFonts w:hint="eastAsia"/>
        </w:rPr>
        <w:snapToGrid w:val="0"/>
      </w:pPr>
      <w:r>
        <w:t>曲线在第6条后未出现更小的可行面积，表明后续预算并未继续改善该目标。这份记录验证了自动选点、反馈和归档链路，不能单独证明LLM搜索优于随机或NSGA-II。独立的三方法同池实验已有15轮尝试、14轮完整完成，本组未显示LLM更低的中位PDP；算法优劣按该对照口径判断。[9，E2]</w:t>
      </w:r>
    </w:p>
    <w:p>
      <w:pPr>
        <w:widowControl/>
        <w:spacing w:line="360" w:lineRule="exact"/>
        <w:ind w:firstLine="420"/>
        <w:rPr>
          <w:rFonts w:hint="eastAsia"/>
        </w:rPr>
        <w:snapToGrid w:val="0"/>
      </w:pPr>
      <w:r>
        <w:t>另一个任务20261025_132333_acco_multiplier_5f789e完成LLM架构选点、2次GNN查询、1次RTL/综合/STA与1项器件评价，说明上述语言选点已接入两级流程。它是小预算链路验证，与128条逐项实测的旧单级任务分别记录，不把两者混写成同一种搜索规模。[10]</w:t>
      </w:r>
    </w:p>
    <w:p w14:paraId="1041402C">
      <w:pPr>
        <w:pStyle w:val="3"/>
        <w:spacing w:line="400" w:lineRule="exact"/>
        <w:rPr>
          <w:rFonts w:hint="eastAsia"/>
        </w:rPr>
        <w:keepNext/>
        <w:snapToGrid w:val="0"/>
      </w:pPr>
      <w:bookmarkStart w:id="33" w:name="_Toc244189586"/>
      <w:r>
        <w:rPr>
          <w:rFonts w:cs="宋体"/>
        </w:rPr>
        <w:t>（五）设计数据与成果管理</w:t>
      </w:r>
      <w:bookmarkEnd w:id="33"/>
    </w:p>
    <w:p w14:paraId="32478072">
      <w:pPr>
        <w:widowControl/>
        <w:spacing w:line="360" w:lineRule="exact"/>
        <w:ind w:firstLine="420"/>
        <w:rPr>
          <w:rFonts w:hint="eastAsia"/>
        </w:rPr>
        <w:snapToGrid w:val="0"/>
      </w:pPr>
      <w:r>
        <w:rPr>
          <w:rFonts w:cs="宋体"/>
        </w:rPr>
        <w:t>平台已接入50000组不重复的8位近似乘法器配置。每组配置包含9个压缩器位置，并关联MRED、NMED、面积、时延和功耗标签；任务管理模块同时保存位宽、工艺环境、测试条件、工具日志和实测结果。</w:t>
      </w:r>
    </w:p>
    <w:p w14:paraId="7C17728C">
      <w:pPr>
        <w:widowControl/>
        <w:spacing w:line="360" w:lineRule="exact"/>
        <w:ind w:firstLine="420"/>
        <w:rPr>
          <w:rFonts w:hint="eastAsia"/>
        </w:rPr>
        <w:snapToGrid w:val="0"/>
      </w:pPr>
      <w:r>
        <w:rPr>
          <w:rFonts w:cs="宋体"/>
        </w:rPr>
        <w:t>代理查询、RTL验证、综合与STA采用独立调用记录。架构搜索支持共同候选池、统一基线、搜索随机种子、输入测试种子和每轮复核预算，形成可重复的设计空间探索环境。</w:t>
      </w:r>
    </w:p>
    <w:p w14:paraId="2A925C99">
      <w:pPr>
        <w:widowControl/>
        <w:spacing w:line="360" w:lineRule="exact"/>
        <w:ind w:firstLine="420"/>
        <w:rPr>
          <w:rFonts w:hint="eastAsia"/>
        </w:rPr>
        <w:snapToGrid w:val="0"/>
      </w:pPr>
      <w:r>
        <w:rPr>
          <w:rFonts w:cs="宋体"/>
        </w:rPr>
        <w:t>任务记录将自然语言输入、配置文件、电路文件和分析报告关联起来，便于复查参数来源、比较同条件结果并复用已有设计资料。平台的自动化能力体现在需求组织、工具编排、结果汇总与实验归档等环节。</w:t>
      </w:r>
    </w:p>
    <w:p w14:paraId="4BF7173F">
      <w:pPr>
        <w:pStyle w:val="3"/>
        <w:spacing w:line="400" w:lineRule="exact"/>
        <w:rPr>
          <w:rFonts w:hint="eastAsia"/>
        </w:rPr>
        <w:keepNext/>
        <w:snapToGrid w:val="0"/>
      </w:pPr>
      <w:bookmarkStart w:id="34" w:name="_Toc244189587"/>
      <w:r>
        <w:rPr>
          <w:rFonts w:cs="宋体"/>
        </w:rPr>
        <w:t>（六）应用场景与科研价值</w:t>
      </w:r>
      <w:bookmarkEnd w:id="34"/>
    </w:p>
    <w:p w14:paraId="6143B888">
      <w:pPr>
        <w:widowControl/>
        <w:spacing w:line="360" w:lineRule="exact"/>
        <w:ind w:firstLine="420"/>
        <w:rPr>
          <w:rFonts w:hint="eastAsia"/>
        </w:rPr>
        <w:snapToGrid w:val="0"/>
      </w:pPr>
      <w:r>
        <w:rPr>
          <w:rFonts w:cs="宋体"/>
        </w:rPr>
        <w:t>在端侧AI芯片领域，平台可以在精度约束下选择低功耗乘法器和SRAM结构，适用于可穿戴设备、物联网终端和低功耗智能节点。</w:t>
      </w:r>
    </w:p>
    <w:p w14:paraId="7E0B21C7">
      <w:pPr>
        <w:widowControl/>
        <w:spacing w:line="360" w:lineRule="exact"/>
        <w:ind w:firstLine="420"/>
        <w:rPr>
          <w:rFonts w:hint="eastAsia"/>
        </w:rPr>
        <w:snapToGrid w:val="0"/>
      </w:pPr>
      <w:r>
        <w:rPr>
          <w:rFonts w:cs="宋体"/>
        </w:rPr>
        <w:t>在智能传感器领域，平台可以用于视觉、声音或毫米波传感器的本地特征处理，降低数据传输和计算能耗。</w:t>
      </w:r>
    </w:p>
    <w:p w14:paraId="0C1BD079">
      <w:pPr>
        <w:widowControl/>
        <w:spacing w:line="360" w:lineRule="exact"/>
        <w:ind w:firstLine="420"/>
        <w:rPr>
          <w:rFonts w:hint="eastAsia"/>
        </w:rPr>
        <w:snapToGrid w:val="0"/>
      </w:pPr>
      <w:r>
        <w:rPr>
          <w:rFonts w:cs="宋体"/>
        </w:rPr>
        <w:t>在芯片早期架构预研中，平台可以快速比较大量精度与PPA方案，并对少量Pareto候选执行高成本验证。</w:t>
      </w:r>
    </w:p>
    <w:p w14:paraId="22196B21">
      <w:pPr>
        <w:widowControl/>
        <w:spacing w:line="360" w:lineRule="exact"/>
        <w:ind w:firstLine="420"/>
        <w:rPr>
          <w:rFonts w:hint="eastAsia"/>
        </w:rPr>
        <w:snapToGrid w:val="0"/>
      </w:pPr>
      <w:r>
        <w:rPr>
          <w:rFonts w:cs="宋体"/>
        </w:rPr>
        <w:t>在开源EDA研究中，平台可以为图神经网络电路建模、表格模型预测、多目标设计空间探索和近似计算研究提供统一实验环境。</w:t>
      </w:r>
    </w:p>
    <w:p w14:paraId="442F9B2B">
      <w:pPr>
        <w:widowControl/>
        <w:spacing w:line="360" w:lineRule="exact"/>
        <w:ind w:firstLine="420"/>
        <w:rPr>
          <w:rFonts w:hint="eastAsia"/>
        </w:rPr>
        <w:snapToGrid w:val="0"/>
      </w:pPr>
      <w:r>
        <w:rPr>
          <w:rFonts w:cs="宋体"/>
        </w:rPr>
        <w:t>在集成电路教学中，学生可以观察自然语言需求、结构化参数、RTL、SPICE波形、时序报告和版图结果之间的对应关系，从而降低EDA工具链的学习门槛。</w:t>
      </w:r>
    </w:p>
    <w:p w14:paraId="716093B7">
      <w:pPr>
        <w:widowControl/>
        <w:spacing w:line="360" w:lineRule="exact"/>
        <w:ind w:firstLine="420"/>
        <w:rPr>
          <w:rFonts w:hint="eastAsia"/>
        </w:rPr>
        <w:snapToGrid w:val="0"/>
      </w:pPr>
      <w:r>
        <w:rPr>
          <w:rFonts w:cs="宋体"/>
        </w:rPr>
        <w:t>平台为高校与科研团队提供本地化的电路设计入口和统一实验环境。设计数据、任务配置及工具输出按版本和任务编号保存，可用于近似计算研究、代理模型分析、多目标设计空间探索和集成电路教学。</w:t>
      </w:r>
    </w:p>
    <w:p w14:paraId="210FBE2E">
      <w:pPr>
        <w:pStyle w:val="2"/>
        <w:spacing w:line="440" w:lineRule="exact"/>
        <w:rPr>
          <w:rFonts w:hint="eastAsia"/>
        </w:rPr>
        <w:keepNext/>
        <w:snapToGrid w:val="0"/>
      </w:pPr>
      <w:bookmarkStart w:id="35" w:name="_Toc244189588"/>
      <w:bookmarkStart w:id="36" w:name="_Toc21333"/>
      <w:r>
        <w:rPr>
          <w:rFonts w:cs="宋体"/>
        </w:rPr>
        <w:t>六、总结与展望</w:t>
      </w:r>
      <w:bookmarkEnd w:id="35"/>
      <w:bookmarkEnd w:id="36"/>
    </w:p>
    <w:p w14:paraId="73FFB75C">
      <w:pPr>
        <w:pStyle w:val="3"/>
        <w:spacing w:line="400" w:lineRule="exact"/>
        <w:rPr>
          <w:rFonts w:hint="eastAsia"/>
        </w:rPr>
        <w:keepNext/>
        <w:snapToGrid w:val="0"/>
      </w:pPr>
      <w:bookmarkStart w:id="37" w:name="_Toc244189589"/>
      <w:r>
        <w:rPr>
          <w:rFonts w:cs="宋体"/>
        </w:rPr>
        <w:t>（一）项目总结</w:t>
      </w:r>
      <w:bookmarkEnd w:id="37"/>
    </w:p>
    <w:p w14:paraId="342A3DA8">
      <w:pPr>
        <w:widowControl/>
        <w:spacing w:line="360" w:lineRule="exact"/>
        <w:ind w:firstLine="420"/>
        <w:rPr>
          <w:rFonts w:hint="eastAsia"/>
        </w:rPr>
        <w:snapToGrid w:val="0"/>
      </w:pPr>
      <w:r>
        <w:rPr>
          <w:rFonts w:cs="宋体"/>
        </w:rPr>
        <w:t>本项目在OpenACM/OpenACMv2基础上，将本地模型、确定性执行器与EDA工具连接为连续设计平台。作品特色在于以自然语言给定目标和边界后，能够在允许设计域内逐轮选点、利用工具反馈推进探索；同时以独立任务目录、阶段记录及持久经验将设计过程保存为可复查、可复用的研究资产。</w:t>
      </w:r>
    </w:p>
    <w:p w14:paraId="538C2BF9">
      <w:pPr>
        <w:widowControl/>
        <w:spacing w:line="360" w:lineRule="exact"/>
        <w:ind w:firstLine="420"/>
        <w:rPr>
          <w:rFonts w:hint="eastAsia"/>
        </w:rPr>
        <w:snapToGrid w:val="0"/>
      </w:pPr>
      <w:r>
        <w:rPr>
          <w:rFonts w:cs="宋体"/>
        </w:rPr>
        <w:t>现有证据包括128条候选的模型选点与实测闭环、50000组公开参考接入、64bit SRAM的9个器件/PVT子任务，以及16×8精确DCiM的65536组乘法输入验证和12个后端阶段。自由探索任务在MRED≤0.02下得到面积较本任务基线小9.64%的已测配置；参考DCiM满足本次时序与布线验收。以上证明工程链路及可追溯性，策略优越性与应用级收益仍需独立对照。[9、10]</w:t>
      </w:r>
    </w:p>
    <w:p w14:paraId="437FD669">
      <w:pPr>
        <w:pStyle w:val="3"/>
        <w:spacing w:line="400" w:lineRule="exact"/>
        <w:rPr>
          <w:rFonts w:hint="eastAsia"/>
        </w:rPr>
        <w:keepNext/>
        <w:snapToGrid w:val="0"/>
      </w:pPr>
      <w:bookmarkStart w:id="38" w:name="_Toc244189590"/>
      <w:r>
        <w:rPr>
          <w:rFonts w:cs="宋体"/>
        </w:rPr>
        <w:t>（二）技术发展方向</w:t>
      </w:r>
      <w:bookmarkEnd w:id="38"/>
    </w:p>
    <w:p w14:paraId="1A5143A7">
      <w:pPr>
        <w:widowControl/>
        <w:spacing w:line="360" w:lineRule="exact"/>
        <w:ind w:firstLine="420"/>
        <w:rPr>
          <w:rFonts w:hint="eastAsia"/>
        </w:rPr>
        <w:snapToGrid w:val="0"/>
      </w:pPr>
      <w:r>
        <w:rPr>
          <w:rFonts w:cs="宋体"/>
        </w:rPr>
        <w:t>后续将完善自由探索的候选质量、停止策略和多轮原话理解，补齐独立代理验证与经验开关消融；在严格区分预测和实测的基础上，引入适合的表格代理与不确定性评价。进一步扩展应用级误差、更多工艺库及电路类型，按统一测试范围积累训练与比较数据。</w:t>
      </w:r>
    </w:p>
    <w:p w14:paraId="3A9D186A">
      <w:pPr>
        <w:widowControl/>
        <w:spacing w:line="360" w:lineRule="exact"/>
        <w:ind w:firstLine="420"/>
        <w:rPr>
          <w:rFonts w:hint="eastAsia"/>
        </w:rPr>
        <w:snapToGrid w:val="0"/>
      </w:pPr>
      <w:r>
        <w:rPr>
          <w:rFonts w:cs="宋体"/>
        </w:rPr>
        <w:t>平台将继续完善定制单元表征、器件参数与物理后端接口，推进架构、器件和处理单元的协同评价；同时建设图形化任务界面，集中展示设计配置、搜索过程、PVT结果、时序功耗和物理实现文件。</w:t>
      </w:r>
    </w:p>
    <w:p w14:paraId="37BE5D92">
      <w:pPr>
        <w:pStyle w:val="2"/>
        <w:spacing w:line="440" w:lineRule="exact"/>
        <w:rPr>
          <w:rFonts w:hint="eastAsia"/>
        </w:rPr>
        <w:keepNext/>
        <w:snapToGrid w:val="0"/>
      </w:pPr>
      <w:bookmarkStart w:id="39" w:name="_Toc244189591"/>
      <w:bookmarkStart w:id="40" w:name="_Toc15744"/>
      <w:r>
        <w:rPr>
          <w:rFonts w:cs="宋体"/>
        </w:rPr>
        <w:t>七、附录</w:t>
      </w:r>
      <w:bookmarkEnd w:id="39"/>
      <w:bookmarkEnd w:id="40"/>
    </w:p>
    <w:p w14:paraId="1D187352">
      <w:pPr>
        <w:pStyle w:val="3"/>
        <w:spacing w:line="400" w:lineRule="exact"/>
        <w:rPr>
          <w:rFonts w:hint="eastAsia"/>
        </w:rPr>
        <w:keepNext/>
        <w:snapToGrid w:val="0"/>
      </w:pPr>
      <w:bookmarkStart w:id="41" w:name="_Toc244189592"/>
      <w:r>
        <w:rPr>
          <w:rFonts w:cs="宋体"/>
        </w:rPr>
        <w:t>（一）实验配置与任务索引</w:t>
      </w:r>
      <w:bookmarkEnd w:id="41"/>
    </w:p>
    <w:p w14:paraId="4E0CDCFE">
      <w:pPr>
        <w:widowControl/>
        <w:spacing w:line="360" w:lineRule="exact"/>
        <w:ind w:firstLine="420"/>
        <w:rPr>
          <w:rFonts w:hint="eastAsia"/>
        </w:rPr>
        <w:snapToGrid w:val="0"/>
      </w:pPr>
      <w:r>
        <w:rPr>
          <w:rFonts w:cs="宋体"/>
        </w:rPr>
        <w:t>实验资料按任务编号归档，包含结构化配置、生成电路、测试记录、工具日志、结果报告和源完整性记录。关键实验任务如下。[9，证据索引]</w:t>
      </w:r>
    </w:p>
    <w:p w14:paraId="5E86CBB2">
      <w:pPr>
        <w:pStyle w:val="14"/>
        <w:keepNext/>
        <w:spacing w:before="100" w:after="140" w:line="280" w:lineRule="exact"/>
        <w:jc w:val="center"/>
        <w:rPr>
          <w:rFonts w:hint="eastAsia"/>
        </w:rPr>
        <w:snapToGrid w:val="0"/>
      </w:pPr>
      <w:r>
        <w:t>表9  已完成验证任务索引</w:t>
      </w:r>
    </w:p>
    <w:tbl>
      <w:tblPr>
        <w:tblStyle w:val="10"/>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85" w:type="dxa"/>
          <w:bottom w:w="85" w:type="dxa"/>
          <w:right w:w="85" w:type="dxa"/>
        </w:tblCellMar>
      </w:tblPr>
      <w:tblGrid>
        <w:gridCol w:w="3061"/>
        <w:gridCol w:w="5046"/>
      </w:tblGrid>
      <w:tr w14:paraId="118D86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tblHeader/>
          <w:jc w:val="center"/>
        </w:trPr>
        <w:tc>
          <w:tcPr>
            <w:tcW w:w="3061" w:type="dxa"/>
            <w:tcBorders>
              <w:top w:val="single" w:color="000000" w:sz="12" w:space="0"/>
              <w:left w:val="nil"/>
              <w:bottom w:val="single" w:color="000000" w:sz="4" w:space="0"/>
              <w:right w:val="nil"/>
              <w:tl2br w:val="nil"/>
            </w:tcBorders>
            <w:shd w:val="clear" w:color="auto" w:fill="FFFFFF"/>
            <w:vAlign w:val="center"/>
          </w:tcPr>
          <w:p w14:paraId="74415A2E">
            <w:pPr>
              <w:keepNext/>
              <w:spacing w:before="40" w:after="40" w:line="252" w:lineRule="auto"/>
              <w:ind w:left="0" w:leftChars="0" w:firstLine="0" w:firstLineChars="0"/>
              <w:rPr>
                <w:rFonts w:hint="eastAsia"/>
                <w:b w:val="0"/>
              </w:rPr>
              <w:snapToGrid w:val="0"/>
            </w:pPr>
            <w:r>
              <w:rPr>
                <w:rFonts w:cs="宋体"/>
                <w:b w:val="0"/>
                <w:sz w:val="21"/>
              </w:rPr>
              <w:t>验证任务</w:t>
            </w:r>
          </w:p>
        </w:tc>
        <w:tc>
          <w:tcPr>
            <w:tcW w:w="5046" w:type="dxa"/>
            <w:tcBorders>
              <w:top w:val="single" w:color="000000" w:sz="12" w:space="0"/>
              <w:left w:val="nil"/>
              <w:bottom w:val="single" w:color="000000" w:sz="4" w:space="0"/>
              <w:right w:val="nil"/>
            </w:tcBorders>
            <w:shd w:val="clear" w:color="auto" w:fill="FFFFFF"/>
            <w:vAlign w:val="center"/>
          </w:tcPr>
          <w:p w14:paraId="0A2D93D8">
            <w:pPr>
              <w:keepNext/>
              <w:spacing w:before="40" w:after="40" w:line="252" w:lineRule="auto"/>
              <w:jc w:val="both"/>
              <w:rPr>
                <w:rFonts w:hint="eastAsia"/>
                <w:b w:val="0"/>
              </w:rPr>
              <w:snapToGrid w:val="0"/>
            </w:pPr>
            <w:r>
              <w:rPr>
                <w:rFonts w:cs="宋体"/>
                <w:b w:val="0"/>
                <w:sz w:val="21"/>
              </w:rPr>
              <w:t>任务编号</w:t>
            </w:r>
          </w:p>
        </w:tc>
      </w:tr>
      <w:tr w14:paraId="005ACC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3061" w:type="dxa"/>
            <w:tcBorders>
              <w:top w:val="single" w:color="000000" w:sz="4" w:space="0"/>
              <w:left w:val="nil"/>
              <w:bottom w:val="nil"/>
              <w:right w:val="nil"/>
            </w:tcBorders>
            <w:shd w:val="clear" w:color="auto" w:fill="FFFFFF"/>
            <w:vAlign w:val="center"/>
          </w:tcPr>
          <w:p w14:paraId="7D5F96D2">
            <w:pPr>
              <w:spacing w:before="40" w:after="40" w:line="252" w:lineRule="auto"/>
              <w:ind w:left="0" w:leftChars="0" w:firstLine="0" w:firstLineChars="0"/>
              <w:rPr>
                <w:rFonts w:hint="eastAsia"/>
                <w:b w:val="0"/>
              </w:rPr>
              <w:snapToGrid w:val="0"/>
            </w:pPr>
            <w:r>
              <w:rPr>
                <w:rFonts w:cs="宋体"/>
                <w:b w:val="0"/>
                <w:sz w:val="21"/>
              </w:rPr>
              <w:t>64bit SRAM多尺寸与PVT评价</w:t>
            </w:r>
          </w:p>
        </w:tc>
        <w:tc>
          <w:tcPr>
            <w:tcW w:w="5046" w:type="dxa"/>
            <w:tcBorders>
              <w:top w:val="single" w:color="000000" w:sz="4" w:space="0"/>
              <w:left w:val="nil"/>
              <w:bottom w:val="nil"/>
              <w:right w:val="nil"/>
            </w:tcBorders>
            <w:shd w:val="clear" w:color="auto" w:fill="FFFFFF"/>
            <w:vAlign w:val="center"/>
          </w:tcPr>
          <w:p w14:paraId="5729F9A3">
            <w:pPr>
              <w:spacing w:before="40" w:after="40" w:line="252" w:lineRule="auto"/>
              <w:rPr>
                <w:rFonts w:hint="eastAsia"/>
                <w:b w:val="0"/>
              </w:rPr>
              <w:snapToGrid w:val="0"/>
            </w:pPr>
            <w:r>
              <w:rPr>
                <w:rFonts w:cs="宋体"/>
                <w:b w:val="0"/>
                <w:sz w:val="21"/>
              </w:rPr>
              <w:t>20261026_144235_acco_sram_27ed9c</w:t>
            </w:r>
          </w:p>
        </w:tc>
      </w:tr>
      <w:tr w14:paraId="2432F1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85" w:type="dxa"/>
            <w:bottom w:w="85" w:type="dxa"/>
            <w:right w:w="85" w:type="dxa"/>
          </w:tblCellMar>
        </w:tblPrEx>
        <w:trPr>
          <w:cantSplit/>
          <w:jc w:val="center"/>
        </w:trPr>
        <w:tc>
          <w:tcPr>
            <w:tcW w:w="3061" w:type="dxa"/>
            <w:tcBorders>
              <w:top w:val="nil"/>
              <w:left w:val="nil"/>
              <w:bottom w:val="single" w:color="000000" w:sz="12" w:space="0"/>
              <w:right w:val="nil"/>
            </w:tcBorders>
            <w:shd w:val="clear" w:color="auto" w:fill="FFFFFF"/>
            <w:vAlign w:val="center"/>
          </w:tcPr>
          <w:p w14:paraId="36545B15">
            <w:pPr>
              <w:spacing w:before="40" w:after="40" w:line="252" w:lineRule="auto"/>
              <w:ind w:left="0" w:leftChars="0" w:firstLine="0" w:firstLineChars="0"/>
              <w:rPr>
                <w:rFonts w:hint="eastAsia"/>
                <w:b w:val="0"/>
              </w:rPr>
              <w:snapToGrid w:val="0"/>
            </w:pPr>
            <w:r>
              <w:rPr>
                <w:rFonts w:cs="宋体"/>
                <w:b w:val="0"/>
                <w:sz w:val="21"/>
              </w:rPr>
              <w:t>16×8精确DCiM参考后端</w:t>
            </w:r>
          </w:p>
        </w:tc>
        <w:tc>
          <w:tcPr>
            <w:tcW w:w="5046" w:type="dxa"/>
            <w:tcBorders>
              <w:top w:val="nil"/>
              <w:left w:val="nil"/>
              <w:bottom w:val="single" w:color="000000" w:sz="12" w:space="0"/>
              <w:right w:val="nil"/>
            </w:tcBorders>
            <w:shd w:val="clear" w:color="auto" w:fill="FFFFFF"/>
            <w:vAlign w:val="center"/>
          </w:tcPr>
          <w:p w14:paraId="5D370E78">
            <w:pPr>
              <w:spacing w:before="40" w:after="40" w:line="252" w:lineRule="auto"/>
              <w:jc w:val="both"/>
              <w:rPr>
                <w:rFonts w:hint="eastAsia"/>
                <w:b w:val="0"/>
              </w:rPr>
              <w:snapToGrid w:val="0"/>
            </w:pPr>
            <w:r>
              <w:rPr>
                <w:rFonts w:cs="宋体"/>
                <w:b w:val="0"/>
                <w:sz w:val="21"/>
              </w:rPr>
              <w:t>20261028_230027_dcim_0026b3</w:t>
            </w:r>
          </w:p>
        </w:tc>
      </w:tr>
      <w:tr>
        <w:tc>
          <w:tcPr>
            <w:tcW w:type="dxa" w:w="3061"/>
          </w:tcPr>
          <w:p>
            <w:pPr>
              <w:snapToGrid w:val="0"/>
            </w:pPr>
            <w:r>
              <w:t>自由探索：128条候选与127次模型选点</w:t>
            </w:r>
          </w:p>
        </w:tc>
        <w:tc>
          <w:tcPr>
            <w:tcW w:type="dxa" w:w="5046"/>
          </w:tcPr>
          <w:p>
            <w:pPr>
              <w:snapToGrid w:val="0"/>
            </w:pPr>
            <w:r>
              <w:t>20261011_140055_explore_multiplier_fdabd4</w:t>
            </w:r>
          </w:p>
        </w:tc>
      </w:tr>
      <w:tr>
        <w:tc>
          <w:tcPr>
            <w:tcW w:type="dxa" w:w="3061"/>
          </w:tcPr>
          <w:p>
            <w:pPr>
              <w:snapToGrid w:val="0"/>
            </w:pPr>
            <w:r>
              <w:t>LLM选点接入两级探索</w:t>
            </w:r>
          </w:p>
        </w:tc>
        <w:tc>
          <w:tcPr>
            <w:tcW w:type="dxa" w:w="5046"/>
          </w:tcPr>
          <w:p>
            <w:pPr>
              <w:snapToGrid w:val="0"/>
            </w:pPr>
            <w:r>
              <w:t>20261025_132333_acco_multiplier_5f789e</w:t>
            </w:r>
          </w:p>
        </w:tc>
      </w:tr>
      <w:tr>
        <w:tc>
          <w:tcPr>
            <w:tcW w:type="dxa" w:w="3061"/>
          </w:tcPr>
          <w:p>
            <w:pPr>
              <w:snapToGrid w:val="0"/>
            </w:pPr>
            <w:r>
              <w:t>三方法同池架构搜索对照</w:t>
            </w:r>
          </w:p>
        </w:tc>
        <w:tc>
          <w:tcPr>
            <w:tcW w:type="dxa" w:w="5046"/>
          </w:tcPr>
          <w:p>
            <w:pPr>
              <w:snapToGrid w:val="0"/>
            </w:pPr>
            <w:r>
              <w:t>20261027_204422_search_comparison_d356cf</w:t>
            </w:r>
          </w:p>
        </w:tc>
      </w:tr>
    </w:tbl>
    <w:p w14:paraId="516D6843">
      <w:pPr>
        <w:spacing w:after="0"/>
        <w:rPr>
          <w:rFonts w:hint="eastAsia"/>
        </w:rPr>
        <w:snapToGrid w:val="0"/>
      </w:pPr>
    </w:p>
    <w:p w14:paraId="6D45AEF3">
      <w:pPr>
        <w:widowControl/>
        <w:spacing w:line="360" w:lineRule="exact"/>
        <w:ind w:firstLine="420"/>
        <w:rPr>
          <w:rFonts w:hint="eastAsia"/>
        </w:rPr>
        <w:snapToGrid w:val="0"/>
      </w:pPr>
      <w:r>
        <w:rPr>
          <w:rFonts w:cs="宋体"/>
        </w:rPr>
        <w:t>参考DCiM配置为16行×8位、exact、backend=asic、时钟10ns；SRAM配置为64bit、输出4bit、3种PD×3组PVT；自由探索案例固定8位、seed=42、4096组和MRED≤0.02。旧单级记录、ACCO两级验证与正式方法对照各用独立编号，不将其预算或评价来源混计。</w:t>
      </w:r>
    </w:p>
    <w:p w14:paraId="25558D9A">
      <w:pPr>
        <w:pStyle w:val="3"/>
        <w:spacing w:line="400" w:lineRule="exact"/>
        <w:rPr>
          <w:rFonts w:hint="eastAsia"/>
        </w:rPr>
        <w:keepNext/>
        <w:snapToGrid w:val="0"/>
      </w:pPr>
      <w:bookmarkStart w:id="42" w:name="_Toc244189593"/>
      <w:r>
        <w:rPr>
          <w:rFonts w:cs="宋体"/>
        </w:rPr>
        <w:t>（二）软件与模型构成</w:t>
      </w:r>
      <w:bookmarkEnd w:id="42"/>
    </w:p>
    <w:p w14:paraId="5E260105">
      <w:pPr>
        <w:widowControl/>
        <w:spacing w:line="360" w:lineRule="exact"/>
        <w:ind w:firstLine="420"/>
        <w:rPr>
          <w:rFonts w:hint="eastAsia"/>
        </w:rPr>
        <w:snapToGrid w:val="0"/>
      </w:pPr>
      <w:r>
        <w:rPr>
          <w:rFonts w:cs="宋体"/>
        </w:rPr>
        <w:t>软件构成包括连续对话Schema、本地模型接口、探索候选与预算调度、任务级脚本生成、OpenACM只读适配、PEA-GNN接口、SQLite经验索引、标准JSONL交换，以及RTL/SPICE/STA/OpenROAD后端。模型从合法菜单输出选择，执行器负责生成文件与运行工具；各部分可以分别替换和验证。</w:t>
      </w:r>
    </w:p>
    <w:p w14:paraId="7301FFDE">
      <w:pPr>
        <w:pStyle w:val="3"/>
        <w:spacing w:line="400" w:lineRule="exact"/>
        <w:rPr>
          <w:rFonts w:hint="eastAsia"/>
        </w:rPr>
        <w:keepNext/>
        <w:snapToGrid w:val="0"/>
      </w:pPr>
      <w:bookmarkStart w:id="43" w:name="_Toc244189594"/>
      <w:r>
        <w:rPr>
          <w:rFonts w:cs="宋体"/>
        </w:rPr>
        <w:t>（三）参考资料</w:t>
      </w:r>
      <w:bookmarkEnd w:id="43"/>
    </w:p>
    <w:p w14:paraId="2EC1ECCC">
      <w:pPr>
        <w:widowControl/>
        <w:spacing w:after="60" w:line="360" w:lineRule="exact"/>
        <w:ind w:firstLine="0"/>
        <w:rPr>
          <w:rFonts w:hint="eastAsia"/>
        </w:rPr>
        <w:snapToGrid w:val="0"/>
      </w:pPr>
      <w:r>
        <w:rPr>
          <w:rFonts w:cs="宋体"/>
          <w:sz w:val="21"/>
        </w:rPr>
        <w:t>[1] Yiqi Zhou et al. OpenACM: An Open-Source SRAM-Based Approximate CiM Compiler.</w:t>
      </w:r>
    </w:p>
    <w:p w14:paraId="60A61F68">
      <w:pPr>
        <w:widowControl/>
        <w:spacing w:after="60" w:line="360" w:lineRule="exact"/>
        <w:ind w:firstLine="0"/>
        <w:rPr>
          <w:rFonts w:hint="eastAsia"/>
        </w:rPr>
        <w:snapToGrid w:val="0"/>
      </w:pPr>
      <w:r>
        <w:rPr>
          <w:rFonts w:cs="宋体"/>
          <w:sz w:val="21"/>
        </w:rPr>
        <w:t>[2] Yiqi Zhou et al. OpenACMv2: An Accuracy-Constrained Co-Optimization Framework for Approximate DCiM. DAC 2026.</w:t>
      </w:r>
    </w:p>
    <w:p w14:paraId="600FB5B1">
      <w:pPr>
        <w:widowControl/>
        <w:spacing w:after="60" w:line="360" w:lineRule="exact"/>
        <w:ind w:firstLine="0"/>
        <w:rPr>
          <w:rFonts w:hint="eastAsia"/>
        </w:rPr>
        <w:snapToGrid w:val="0"/>
      </w:pPr>
      <w:r>
        <w:rPr>
          <w:rFonts w:cs="宋体"/>
          <w:sz w:val="21"/>
        </w:rPr>
        <w:t>[3] William L. Hamilton, Rex Ying, Jure Leskovec. Inductive Representation Learning on Large Graphs. NeurIPS 2017.</w:t>
      </w:r>
    </w:p>
    <w:p w14:paraId="55BA2A21">
      <w:pPr>
        <w:widowControl/>
        <w:spacing w:after="60" w:line="360" w:lineRule="exact"/>
        <w:ind w:firstLine="0"/>
        <w:rPr>
          <w:rFonts w:hint="eastAsia"/>
        </w:rPr>
        <w:snapToGrid w:val="0"/>
      </w:pPr>
      <w:r>
        <w:rPr>
          <w:rFonts w:cs="宋体"/>
          <w:sz w:val="21"/>
        </w:rPr>
        <w:t>[4] Hollmann N. et al. TabPFN: A Transformer That Solves Small Tabular Classification Problems in a Second.</w:t>
      </w:r>
    </w:p>
    <w:p w14:paraId="61EF243B">
      <w:pPr>
        <w:widowControl/>
        <w:spacing w:after="60" w:line="360" w:lineRule="exact"/>
        <w:ind w:firstLine="0"/>
        <w:rPr>
          <w:rFonts w:hint="eastAsia"/>
        </w:rPr>
        <w:snapToGrid w:val="0"/>
      </w:pPr>
      <w:r>
        <w:rPr>
          <w:rFonts w:cs="宋体"/>
          <w:sz w:val="21"/>
        </w:rPr>
        <w:t>[5] OpenROAD Project. Open-source Digital Physical Design Platform.</w:t>
      </w:r>
    </w:p>
    <w:p w14:paraId="2E4DC905">
      <w:pPr>
        <w:widowControl/>
        <w:spacing w:after="60" w:line="360" w:lineRule="exact"/>
        <w:ind w:firstLine="0"/>
        <w:rPr>
          <w:rFonts w:hint="eastAsia"/>
        </w:rPr>
        <w:snapToGrid w:val="0"/>
      </w:pPr>
      <w:r>
        <w:rPr>
          <w:rFonts w:cs="宋体"/>
          <w:sz w:val="21"/>
        </w:rPr>
        <w:t>[6] NCSU FreePDK45. Open 45 nm Process Design Kit.</w:t>
      </w:r>
    </w:p>
    <w:p w14:paraId="792599A2">
      <w:pPr>
        <w:widowControl/>
        <w:spacing w:after="60" w:line="360" w:lineRule="exact"/>
        <w:ind w:firstLine="0"/>
        <w:rPr>
          <w:rFonts w:hint="eastAsia"/>
        </w:rPr>
        <w:snapToGrid w:val="0"/>
      </w:pPr>
      <w:r>
        <w:rPr>
          <w:rFonts w:cs="宋体"/>
          <w:sz w:val="21"/>
        </w:rPr>
        <w:t>[7] Linux Kernel Documentation. Landlock Userspace Access-control Framework.</w:t>
      </w:r>
    </w:p>
    <w:p w14:paraId="54544104">
      <w:pPr>
        <w:widowControl/>
        <w:spacing w:after="60" w:line="360" w:lineRule="exact"/>
        <w:ind w:firstLine="0"/>
        <w:rPr>
          <w:rFonts w:cs="宋体"/>
          <w:sz w:val="21"/>
        </w:rPr>
        <w:snapToGrid w:val="0"/>
      </w:pPr>
      <w:r>
        <w:rPr>
          <w:rFonts w:cs="宋体"/>
          <w:sz w:val="21"/>
        </w:rPr>
        <w:t>[8] PyTorch Geometric Documentation. Graph Neural Network Data Processing and Model Implementation.</w:t>
      </w:r>
    </w:p>
    <w:p w14:paraId="128100DA">
      <w:pPr>
        <w:widowControl/>
        <w:spacing w:after="60" w:line="360" w:lineRule="exact"/>
        <w:ind w:firstLine="0"/>
        <w:rPr>
          <w:rFonts w:ascii="Times New Roman" w:hAnsi="Times New Roman" w:eastAsia="宋体" w:cs="宋体"/>
          <w:kern w:val="2"/>
          <w:sz w:val="21"/>
          <w:szCs w:val="24"/>
          <w:lang w:val="en-US" w:eastAsia="zh-CN" w:bidi="ar-SA"/>
        </w:rPr>
        <w:snapToGrid w:val="0"/>
      </w:pPr>
      <w:r>
        <w:rPr>
          <w:rFonts w:ascii="Times New Roman" w:hAnsi="Times New Roman" w:eastAsia="宋体" w:cs="宋体"/>
          <w:kern w:val="2"/>
          <w:sz w:val="21"/>
          <w:szCs w:val="24"/>
          <w:lang w:val="en-US" w:eastAsia="zh-CN" w:bidi="ar-SA"/>
        </w:rPr>
        <w:t>[9] OpenACMAssistant E1—E6问答与实验佐证报告，2026年10月28日。</w:t>
      </w:r>
      <w:bookmarkEnd w:id="5"/>
    </w:p>
    <w:p>
      <w:pPr>
        <w:widowControl/>
        <w:spacing w:line="360" w:lineRule="exact"/>
        <w:ind w:firstLine="420"/>
        <w:rPr>
          <w:rFonts w:hint="eastAsia"/>
        </w:rPr>
        <w:snapToGrid w:val="0"/>
      </w:pPr>
      <w:r>
        <w:t>[10] OpenACMAssistant本机探索记录：20261011_140055_explore_multiplier_fdabd4；20261025_132333_acco_multiplier_5f789e。本次2026年10月29日从result.json、逐轮决策及完整性文件重新核对。</w:t>
      </w:r>
    </w:p>
    <w:p w14:paraId="406C6E2E">
      <w:pPr>
        <w:ind w:left="0" w:leftChars="0" w:firstLine="0" w:firstLineChars="0"/>
        <w:snapToGrid w:val="0"/>
      </w:pPr>
    </w:p>
    <w:sectPr>
      <w:headerReference r:id="rId11" w:type="default"/>
      <w:footerReference r:id="rId12" w:type="default"/>
      <w:pgSz w:w="11906" w:h="16838"/>
      <w:pgMar w:top="1417" w:right="1701" w:bottom="1417" w:left="1701" w:header="850" w:footer="850" w:gutter="0"/>
      <w:pgBorders w:offsetFrom="page">
        <w:top w:val="none" w:sz="0" w:space="0"/>
        <w:left w:val="none" w:sz="0" w:space="0"/>
        <w:bottom w:val="none" w:sz="0" w:space="0"/>
        <w:right w:val="none" w:sz="0" w:space="0"/>
      </w:pgBorders>
      <w:cols w:space="720" w:num="1"/>
      <w:rtlGutter w:val="0"/>
      <w:docGrid w:type="lines" w:linePitch="333"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粗体">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 w:name="宋">
    <w:altName w:val="宋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5C186C">
    <w:pPr>
      <w:tabs>
        <w:tab w:val="center" w:pos="4153"/>
        <w:tab w:val="right" w:pos="8306"/>
      </w:tabs>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D96691">
    <w:pPr>
      <w:tabs>
        <w:tab w:val="center" w:pos="4153"/>
        <w:tab w:val="right" w:pos="8306"/>
      </w:tabs>
      <w:rPr>
        <w:color w:val="0000FF"/>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334114">
    <w:pPr>
      <w:tabs>
        <w:tab w:val="center" w:pos="4153"/>
        <w:tab w:val="right" w:pos="8306"/>
      </w:tabs>
      <w:jc w:val="center"/>
      <w:rPr>
        <w:rFonts w:hint="eastAsia"/>
      </w:rPr>
    </w:pPr>
    <w:r>
      <w:fldChar w:fldCharType="begin"/>
    </w:r>
    <w:r>
      <w:instrText xml:space="preserve">PAGE   \* MERGEFORMAT</w:instrText>
    </w:r>
    <w:r>
      <w:fldChar w:fldCharType="separate"/>
    </w:r>
    <w:r>
      <w:rPr>
        <w:lang w:val="zh-CN"/>
      </w:rPr>
      <w:t>2</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458551">
    <w:pPr>
      <w:tabs>
        <w:tab w:val="center" w:pos="4153"/>
        <w:tab w:val="right" w:pos="8306"/>
      </w:tabs>
      <w:jc w:val="center"/>
      <w:rPr>
        <w:rFonts w:hint="eastAsia"/>
      </w:rPr>
    </w:pPr>
    <w:r>
      <w:fldChar w:fldCharType="begin"/>
    </w:r>
    <w:r>
      <w:instrText xml:space="preserve">PAGE   \* MERGEFORMAT</w:instrText>
    </w:r>
    <w:r>
      <w:fldChar w:fldCharType="separate"/>
    </w:r>
    <w:r>
      <w:rPr>
        <w:lang w:val="zh-CN"/>
      </w:rPr>
      <w:t>2</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90013">
    <w:pPr>
      <w:tabs>
        <w:tab w:val="center" w:pos="4153"/>
        <w:tab w:val="right" w:pos="8306"/>
      </w:tabs>
      <w:jc w:val="center"/>
      <w:rPr>
        <w:rFonts w:hint="eastAsia"/>
      </w:rPr>
    </w:pPr>
    <w:r>
      <w:fldChar w:fldCharType="begin"/>
    </w:r>
    <w:r>
      <w:instrText xml:space="preserve">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FF5406">
    <w:pPr>
      <w:pBdr>
        <w:bottom w:val="single" w:color="auto" w:sz="4" w:space="0"/>
      </w:pBdr>
      <w:tabs>
        <w:tab w:val="center" w:pos="4153"/>
        <w:tab w:val="right" w:pos="8306"/>
      </w:tabs>
      <w:wordWrap/>
      <w:spacing w:line="240" w:lineRule="auto"/>
      <w:ind w:left="0" w:leftChars="0" w:firstLine="0" w:firstLineChars="0"/>
      <w:jc w:val="left"/>
    </w:pPr>
    <w:r>
      <w:rPr>
        <w:rFonts w:hint="eastAsia"/>
        <w:lang w:val="en-US" w:eastAsia="zh-CN"/>
      </w:rPr>
      <w:drawing>
        <wp:inline distT="0" distB="0" distL="114300" distR="114300">
          <wp:extent cx="401955" cy="190500"/>
          <wp:effectExtent l="0" t="0" r="9525" b="7620"/>
          <wp:docPr id="7" name="图片 291" descr="AIC方形logo@16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91" descr="AIC方形logo@16x"/>
                  <pic:cNvPicPr>
                    <a:picLocks noChangeAspect="1"/>
                  </pic:cNvPicPr>
                </pic:nvPicPr>
                <pic:blipFill>
                  <a:blip r:embed="rId1"/>
                  <a:srcRect b="26582"/>
                  <a:stretch>
                    <a:fillRect/>
                  </a:stretch>
                </pic:blipFill>
                <pic:spPr>
                  <a:xfrm>
                    <a:off x="0" y="0"/>
                    <a:ext cx="401955" cy="190500"/>
                  </a:xfrm>
                  <a:prstGeom prst="rect">
                    <a:avLst/>
                  </a:prstGeom>
                  <a:noFill/>
                  <a:ln>
                    <a:noFill/>
                  </a:ln>
                </pic:spPr>
              </pic:pic>
            </a:graphicData>
          </a:graphic>
        </wp:inline>
      </w:drawing>
    </w:r>
    <w:r>
      <w:rPr>
        <w:rFonts w:hint="eastAsia"/>
        <w:lang w:val="en-US" w:eastAsia="zh-CN"/>
      </w:rPr>
      <w:t xml:space="preserve">                               </w:t>
    </w:r>
    <w:r>
      <w:rPr>
        <w:rFonts w:hint="eastAsia"/>
        <w:sz w:val="21"/>
        <w:szCs w:val="21"/>
        <w:lang w:val="en-US" w:eastAsia="zh-CN"/>
      </w:rPr>
      <w:t>2026第八届全球校园人工智能算法精英大赛</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414E14">
    <w:pPr>
      <w:tabs>
        <w:tab w:val="center" w:pos="4153"/>
        <w:tab w:val="right" w:pos="8306"/>
      </w:tabs>
      <w:wordWrap/>
      <w:spacing w:line="240" w:lineRule="auto"/>
      <w:ind w:left="0" w:leftChars="0" w:firstLine="0" w:firstLineChars="0"/>
      <w:jc w:val="left"/>
    </w:pPr>
    <w:r>
      <w:rPr>
        <w:rFonts w:hint="eastAsia"/>
        <w:lang w:val="en-US" w:eastAsia="zh-CN"/>
      </w:rPr>
      <w:drawing>
        <wp:inline distT="0" distB="0" distL="114300" distR="114300">
          <wp:extent cx="401955" cy="190500"/>
          <wp:effectExtent l="0" t="0" r="9525" b="7620"/>
          <wp:docPr id="6" name="图片 289" descr="AIC方形logo@16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89" descr="AIC方形logo@16x"/>
                  <pic:cNvPicPr>
                    <a:picLocks noChangeAspect="1"/>
                  </pic:cNvPicPr>
                </pic:nvPicPr>
                <pic:blipFill>
                  <a:blip r:embed="rId1"/>
                  <a:srcRect b="26582"/>
                  <a:stretch>
                    <a:fillRect/>
                  </a:stretch>
                </pic:blipFill>
                <pic:spPr>
                  <a:xfrm>
                    <a:off x="0" y="0"/>
                    <a:ext cx="401955" cy="190500"/>
                  </a:xfrm>
                  <a:prstGeom prst="rect">
                    <a:avLst/>
                  </a:prstGeom>
                  <a:noFill/>
                  <a:ln>
                    <a:noFill/>
                  </a:ln>
                </pic:spPr>
              </pic:pic>
            </a:graphicData>
          </a:graphic>
        </wp:inline>
      </w:drawing>
    </w:r>
    <w:r>
      <w:rPr>
        <w:rFonts w:hint="eastAsia"/>
        <w:lang w:val="en-US" w:eastAsia="zh-CN"/>
      </w:rPr>
      <w:t xml:space="preserve">                                    2026第八届全球校园人工智能算法精英大赛</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758251">
    <w:pPr>
      <w:pBdr>
        <w:bottom w:val="single" w:color="auto" w:sz="4" w:space="0"/>
      </w:pBdr>
      <w:tabs>
        <w:tab w:val="center" w:pos="4153"/>
        <w:tab w:val="right" w:pos="8306"/>
      </w:tabs>
      <w:wordWrap/>
      <w:spacing w:line="240" w:lineRule="auto"/>
      <w:ind w:left="0" w:leftChars="0" w:firstLine="0" w:firstLineChars="0"/>
      <w:jc w:val="left"/>
    </w:pPr>
    <w:r>
      <w:rPr>
        <w:rFonts w:hint="eastAsia"/>
        <w:lang w:val="en-US" w:eastAsia="zh-CN"/>
      </w:rPr>
      <w:drawing>
        <wp:inline distT="0" distB="0" distL="114300" distR="114300">
          <wp:extent cx="401955" cy="190500"/>
          <wp:effectExtent l="0" t="0" r="9525" b="7620"/>
          <wp:docPr id="5" name="图片 291" descr="AIC方形logo@16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91" descr="AIC方形logo@16x"/>
                  <pic:cNvPicPr>
                    <a:picLocks noChangeAspect="1"/>
                  </pic:cNvPicPr>
                </pic:nvPicPr>
                <pic:blipFill>
                  <a:blip r:embed="rId1"/>
                  <a:srcRect b="26582"/>
                  <a:stretch>
                    <a:fillRect/>
                  </a:stretch>
                </pic:blipFill>
                <pic:spPr>
                  <a:xfrm>
                    <a:off x="0" y="0"/>
                    <a:ext cx="401955" cy="190500"/>
                  </a:xfrm>
                  <a:prstGeom prst="rect">
                    <a:avLst/>
                  </a:prstGeom>
                  <a:noFill/>
                  <a:ln>
                    <a:noFill/>
                  </a:ln>
                </pic:spPr>
              </pic:pic>
            </a:graphicData>
          </a:graphic>
        </wp:inline>
      </w:drawing>
    </w:r>
    <w:r>
      <w:rPr>
        <w:rFonts w:hint="eastAsia"/>
        <w:lang w:val="en-US" w:eastAsia="zh-CN"/>
      </w:rPr>
      <w:t xml:space="preserve">                                </w:t>
    </w:r>
    <w:r>
      <w:rPr>
        <w:rFonts w:hint="eastAsia"/>
        <w:sz w:val="21"/>
        <w:szCs w:val="21"/>
        <w:lang w:val="en-US" w:eastAsia="zh-CN"/>
      </w:rPr>
      <w:t>2026第八届全球校园人工智能算法精英大赛</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D8033E"/>
    <w:rsid w:val="1AAA20FA"/>
    <w:rsid w:val="1BBD770F"/>
    <w:rsid w:val="34D8033E"/>
    <w:rsid w:val="48CA17DF"/>
    <w:rsid w:val="766D5F57"/>
    <w:rsid w:val="76BD4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640" w:firstLineChars="200"/>
      <w:jc w:val="left"/>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9"/>
    <w:pPr>
      <w:keepNext/>
      <w:keepLines/>
      <w:spacing w:before="10" w:beforeLines="0" w:beforeAutospacing="0" w:after="10" w:afterLines="0" w:afterAutospacing="0" w:line="240" w:lineRule="auto"/>
      <w:ind w:firstLine="880" w:firstLineChars="200"/>
      <w:outlineLvl w:val="0"/>
    </w:pPr>
    <w:rPr>
      <w:rFonts w:eastAsia="宋体"/>
      <w:b/>
      <w:kern w:val="44"/>
      <w:sz w:val="32"/>
    </w:rPr>
  </w:style>
  <w:style w:type="paragraph" w:styleId="3">
    <w:name w:val="heading 2"/>
    <w:basedOn w:val="1"/>
    <w:next w:val="1"/>
    <w:unhideWhenUsed/>
    <w:qFormat/>
    <w:uiPriority w:val="9"/>
    <w:pPr>
      <w:keepNext/>
      <w:keepLines/>
      <w:spacing w:beforeLines="0" w:beforeAutospacing="0" w:afterLines="0" w:afterAutospacing="0" w:line="240" w:lineRule="auto"/>
      <w:outlineLvl w:val="1"/>
    </w:pPr>
    <w:rPr>
      <w:rFonts w:ascii="Arial" w:hAnsi="Arial"/>
      <w:b/>
      <w:sz w:val="28"/>
    </w:rPr>
  </w:style>
  <w:style w:type="paragraph" w:styleId="4">
    <w:name w:val="heading 3"/>
    <w:basedOn w:val="1"/>
    <w:next w:val="1"/>
    <w:link w:val="13"/>
    <w:unhideWhenUsed/>
    <w:qFormat/>
    <w:uiPriority w:val="9"/>
    <w:pPr>
      <w:keepNext/>
      <w:keepLines/>
      <w:spacing w:beforeLines="0" w:beforeAutospacing="0" w:afterLines="0" w:afterAutospacing="0" w:line="240" w:lineRule="auto"/>
      <w:ind w:firstLine="880" w:firstLineChars="200"/>
      <w:outlineLvl w:val="2"/>
    </w:pPr>
    <w:rPr>
      <w:b/>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0"/>
    <w:pPr>
      <w:ind w:left="840" w:leftChars="400"/>
    </w:pPr>
    <w:rPr>
      <w:rFonts w:ascii="Times New Roman" w:hAnsi="Times New Roman" w:eastAsia="粗体"/>
      <w:sz w:val="44"/>
    </w:rPr>
  </w:style>
  <w:style w:type="paragraph" w:styleId="6">
    <w:name w:val="toc 1"/>
    <w:basedOn w:val="1"/>
    <w:next w:val="1"/>
    <w:qFormat/>
    <w:uiPriority w:val="39"/>
    <w:pPr>
      <w:tabs>
        <w:tab w:val="right" w:leader="dot" w:pos="8296"/>
      </w:tabs>
      <w:spacing w:line="360" w:lineRule="auto"/>
      <w:ind w:firstLine="0" w:firstLineChars="0"/>
    </w:pPr>
    <w:rPr>
      <w:rFonts w:eastAsia="黑体" w:cs="Times New Roman"/>
    </w:rPr>
  </w:style>
  <w:style w:type="paragraph" w:styleId="7">
    <w:name w:val="toc 2"/>
    <w:basedOn w:val="1"/>
    <w:next w:val="1"/>
    <w:unhideWhenUsed/>
    <w:qFormat/>
    <w:uiPriority w:val="39"/>
    <w:pPr>
      <w:tabs>
        <w:tab w:val="right" w:leader="dot" w:pos="7927"/>
      </w:tabs>
      <w:ind w:left="0" w:leftChars="0" w:firstLine="880" w:firstLineChars="200"/>
      <w:jc w:val="right"/>
    </w:pPr>
    <w:rPr>
      <w:rFonts w:eastAsia="宋体"/>
    </w:rPr>
  </w:style>
  <w:style w:type="paragraph" w:styleId="8">
    <w:name w:val="Normal (Web)"/>
    <w:basedOn w:val="1"/>
    <w:unhideWhenUsed/>
    <w:qFormat/>
    <w:uiPriority w:val="99"/>
    <w:pPr>
      <w:widowControl/>
      <w:spacing w:beforeAutospacing="1" w:afterAutospacing="1"/>
      <w:jc w:val="left"/>
    </w:pPr>
    <w:rPr>
      <w:rFonts w:ascii="宋体" w:hAnsi="宋体" w:eastAsia="宋体" w:cs="Times New Roman"/>
      <w:kern w:val="0"/>
      <w:sz w:val="24"/>
    </w:rPr>
  </w:style>
  <w:style w:type="paragraph" w:styleId="9">
    <w:name w:val="Title"/>
    <w:basedOn w:val="1"/>
    <w:next w:val="1"/>
    <w:qFormat/>
    <w:uiPriority w:val="10"/>
    <w:pPr>
      <w:spacing w:before="240" w:after="60"/>
      <w:jc w:val="center"/>
      <w:outlineLvl w:val="0"/>
    </w:pPr>
    <w:rPr>
      <w:rFonts w:ascii="等线 Light" w:hAnsi="等线 Light" w:cs="Times New Roman"/>
      <w:b/>
      <w:bCs/>
      <w:sz w:val="44"/>
      <w:szCs w:val="32"/>
    </w:rPr>
  </w:style>
  <w:style w:type="character" w:styleId="12">
    <w:name w:val="Strong"/>
    <w:basedOn w:val="11"/>
    <w:qFormat/>
    <w:uiPriority w:val="22"/>
    <w:rPr>
      <w:b/>
    </w:rPr>
  </w:style>
  <w:style w:type="character" w:customStyle="1" w:styleId="13">
    <w:name w:val="标题 3 Char"/>
    <w:link w:val="4"/>
    <w:qFormat/>
    <w:uiPriority w:val="9"/>
    <w:rPr>
      <w:b/>
    </w:rPr>
  </w:style>
  <w:style w:type="paragraph" w:customStyle="1" w:styleId="14">
    <w:name w:val="题注1"/>
    <w:qFormat/>
    <w:uiPriority w:val="0"/>
    <w:pPr>
      <w:snapToGrid w:val="0"/>
      <w:spacing w:after="120" w:line="276" w:lineRule="auto"/>
    </w:pPr>
    <w:rPr>
      <w:rFonts w:ascii="宋体" w:hAnsi="宋体" w:eastAsia="宋体" w:cs="Times New Roman"/>
      <w:color w:val="000000"/>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 Id="rId17" Type="http://schemas.openxmlformats.org/officeDocument/2006/relationships/image" Target="media/image4.png"/><Relationship Id="rId1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10015</Words>
  <Characters>12046</Characters>
  <Lines>0</Lines>
  <Paragraphs>0</Paragraphs>
  <TotalTime>0</TotalTime>
  <ScaleCrop>false</ScaleCrop>
  <LinksUpToDate>false</LinksUpToDate>
  <CharactersWithSpaces>12433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2026-10-25T08:16:00Z</dcterms:created>
  <dc:creator>Carrie ～</dc:creator>
  <cp:lastModifiedBy>Carrie ～</cp:lastModifiedBy>
  <dcterms:modified xsi:type="dcterms:W3CDTF">2026-10-29T12:40:00Z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346104E6D1AC479BB6804490763AF131_13</vt:lpwstr>
  </property>
  <property fmtid="{D5CDD505-2E9C-101B-9397-08002B2CF9AE}" pid="4" name="KSOTemplateDocerSaveRecord">
    <vt:lpwstr>eyJoZGlkIjoiNjg0ZTg5ZWYxNzFmMTkxMjJmMjBiODBjZDEzZTc3ZDMiLCJ1c2VySWQiOiI0MjM0NTcxMTIifQ==</vt:lpwstr>
  </property>
</Properties>
</file>