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  <Override PartName="/word/media/rId23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о лабораторной работе</w:t>
      </w:r>
    </w:p>
    <w:p>
      <w:pPr>
        <w:pStyle w:val="Subtitle"/>
      </w:pPr>
      <w:r>
        <w:t xml:space="preserve">Лабораторная работа №13</w:t>
      </w:r>
    </w:p>
    <w:p>
      <w:pPr>
        <w:pStyle w:val="Author"/>
      </w:pPr>
      <w:r>
        <w:t xml:space="preserve">Скалозуб Александр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Список иллюстраций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sdt>
      <w:sdtPr>
        <w:docPartObj>
          <w:docPartGallery w:val="List of Tables"/>
          <w:docPartUnique/>
        </w:docPartObj>
      </w:sdtPr>
      <w:sdtContent>
        <w:p>
          <w:pPr>
            <w:pStyle w:val="TOCHeading"/>
          </w:pPr>
          <w:r>
            <w:t xml:space="preserve">Список таблиц</w:t>
          </w:r>
        </w:p>
        <w:p>
          <w:r>
            <w:fldChar w:fldCharType="begin" w:dirty="true"/>
            <w:instrText xml:space="preserve">TOC \h \z \t "Table Caption" \c</w:instrText>
            <w:fldChar w:fldCharType="separate"/>
            <w:fldChar w:fldCharType="end"/>
          </w:r>
        </w:p>
      </w:sdtContent>
    </w:sdt>
    <w:bookmarkStart w:id="9" w:name="цель-работы"/>
    <w:p>
      <w:pPr>
        <w:pStyle w:val="Heading1"/>
      </w:pPr>
      <w:r>
        <w:t xml:space="preserve">Цель работы</w:t>
      </w:r>
    </w:p>
    <w:p>
      <w:pPr>
        <w:pStyle w:val="FirstParagraph"/>
      </w:pPr>
      <w:r>
        <w:t xml:space="preserve">Получить навыки настройки пакетного фильтра в Linux.</w:t>
      </w:r>
    </w:p>
    <w:bookmarkEnd w:id="9"/>
    <w:bookmarkStart w:id="10" w:name="задание"/>
    <w:p>
      <w:pPr>
        <w:pStyle w:val="Heading1"/>
      </w:pPr>
      <w:r>
        <w:t xml:space="preserve">Задание</w:t>
      </w:r>
    </w:p>
    <w:p>
      <w:pPr>
        <w:pStyle w:val="FirstParagraph"/>
      </w:pPr>
      <w:r>
        <w:t xml:space="preserve">Поработать с пакетным фильтром в Linux.</w:t>
      </w:r>
    </w:p>
    <w:bookmarkEnd w:id="10"/>
    <w:bookmarkStart w:id="55" w:name="выполнение-лабораторной-работы"/>
    <w:p>
      <w:pPr>
        <w:pStyle w:val="Heading1"/>
      </w:pPr>
      <w:r>
        <w:t xml:space="preserve">Выполнение лабораторной работы</w:t>
      </w:r>
    </w:p>
    <w:p>
      <w:pPr>
        <w:pStyle w:val="FirstParagraph"/>
      </w:pPr>
      <w:bookmarkStart w:id="14" w:name="fig:001"/>
      <w:r>
        <w:drawing>
          <wp:inline>
            <wp:extent cx="3733800" cy="568686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./SC107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5686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4"/>
    </w:p>
    <w:p>
      <w:pPr>
        <w:pStyle w:val="BodyText"/>
      </w:pPr>
      <w:r>
        <w:t xml:space="preserve">Рис 1. Определяем пользователя и его принадлежности</w:t>
      </w:r>
    </w:p>
    <w:p>
      <w:pPr>
        <w:pStyle w:val="BodyText"/>
      </w:pPr>
      <w:bookmarkStart w:id="18" w:name="fig:002"/>
      <w:r>
        <w:drawing>
          <wp:inline>
            <wp:extent cx="3733800" cy="996059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./SC108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9960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8"/>
    </w:p>
    <w:p>
      <w:pPr>
        <w:pStyle w:val="BodyText"/>
      </w:pPr>
      <w:r>
        <w:t xml:space="preserve">Рис 2. определяем принадлежность админа</w:t>
      </w:r>
    </w:p>
    <w:p>
      <w:pPr>
        <w:pStyle w:val="BodyText"/>
      </w:pPr>
      <w:bookmarkStart w:id="22" w:name="fig:003"/>
      <w:r>
        <w:drawing>
          <wp:inline>
            <wp:extent cx="3733800" cy="2936124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./SC109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9361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2"/>
    </w:p>
    <w:p>
      <w:pPr>
        <w:pStyle w:val="BodyText"/>
      </w:pPr>
      <w:r>
        <w:t xml:space="preserve">Рис 3. открываем файл sudoers в редакторе vi и изменяем параметр %wheel</w:t>
      </w:r>
    </w:p>
    <w:p>
      <w:pPr>
        <w:pStyle w:val="BodyText"/>
      </w:pPr>
      <w:bookmarkStart w:id="26" w:name="fig:004"/>
      <w:r>
        <w:drawing>
          <wp:inline>
            <wp:extent cx="2906829" cy="16362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/SC110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6829" cy="1636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6"/>
    </w:p>
    <w:p>
      <w:pPr>
        <w:pStyle w:val="BodyText"/>
      </w:pPr>
      <w:r>
        <w:t xml:space="preserve">Рис 4. создаем пользователя alice и даем ему пароль в принадлежности wheel</w:t>
      </w:r>
    </w:p>
    <w:p>
      <w:pPr>
        <w:pStyle w:val="BodyText"/>
      </w:pPr>
      <w:bookmarkStart w:id="30" w:name="fig:005"/>
      <w:r>
        <w:drawing>
          <wp:inline>
            <wp:extent cx="3733800" cy="1581112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./SC11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581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0"/>
    </w:p>
    <w:p>
      <w:pPr>
        <w:pStyle w:val="BodyText"/>
      </w:pPr>
      <w:r>
        <w:t xml:space="preserve">Рис 5. Создаем пользователя bob и делаем те же манипуляции</w:t>
      </w:r>
    </w:p>
    <w:p>
      <w:pPr>
        <w:pStyle w:val="BodyText"/>
      </w:pPr>
      <w:bookmarkStart w:id="34" w:name="fig:006"/>
      <w:r>
        <w:drawing>
          <wp:inline>
            <wp:extent cx="3733800" cy="2283087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./SC112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2830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4"/>
    </w:p>
    <w:p>
      <w:pPr>
        <w:pStyle w:val="BodyText"/>
      </w:pPr>
      <w:r>
        <w:t xml:space="preserve">Рис 6. проверяем create_home на параметр yes</w:t>
      </w:r>
    </w:p>
    <w:p>
      <w:pPr>
        <w:pStyle w:val="BodyText"/>
      </w:pPr>
      <w:bookmarkStart w:id="38" w:name="fig:007"/>
      <w:r>
        <w:drawing>
          <wp:inline>
            <wp:extent cx="3733800" cy="2209879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./SC113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2098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8"/>
    </w:p>
    <w:p>
      <w:pPr>
        <w:pStyle w:val="BodyText"/>
      </w:pPr>
      <w:r>
        <w:t xml:space="preserve">Рис 7. проверяем usergroups_enab на значение no и меняем его на no</w:t>
      </w:r>
    </w:p>
    <w:p>
      <w:pPr>
        <w:pStyle w:val="BodyText"/>
      </w:pPr>
      <w:bookmarkStart w:id="42" w:name="fig:008"/>
      <w:r>
        <w:drawing>
          <wp:inline>
            <wp:extent cx="3733800" cy="2241076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./SC114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241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2"/>
    </w:p>
    <w:p>
      <w:pPr>
        <w:pStyle w:val="BodyText"/>
      </w:pPr>
      <w:r>
        <w:t xml:space="preserve">Рис 8. создаем директории</w:t>
      </w:r>
    </w:p>
    <w:p>
      <w:pPr>
        <w:pStyle w:val="BodyText"/>
      </w:pPr>
      <w:bookmarkStart w:id="46" w:name="fig:009"/>
      <w:r>
        <w:drawing>
          <wp:inline>
            <wp:extent cx="3542096" cy="683393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./SC115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2096" cy="6833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6"/>
    </w:p>
    <w:p>
      <w:pPr>
        <w:pStyle w:val="BodyText"/>
      </w:pPr>
      <w:r>
        <w:t xml:space="preserve">Рис 9. работаем с имеющимися пользователями</w:t>
      </w:r>
    </w:p>
    <w:p>
      <w:pPr>
        <w:pStyle w:val="BodyText"/>
      </w:pPr>
      <w:bookmarkStart w:id="50" w:name="fig:010"/>
      <w:r>
        <w:drawing>
          <wp:inline>
            <wp:extent cx="3733800" cy="1599621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./SC116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5996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0"/>
    </w:p>
    <w:p>
      <w:pPr>
        <w:pStyle w:val="BodyText"/>
      </w:pPr>
      <w:r>
        <w:t xml:space="preserve">Рис 10. Работаем с пользователями</w:t>
      </w:r>
    </w:p>
    <w:p>
      <w:pPr>
        <w:pStyle w:val="BodyText"/>
      </w:pPr>
      <w:bookmarkStart w:id="54" w:name="fig:011"/>
      <w:r>
        <w:drawing>
          <wp:inline>
            <wp:extent cx="3733800" cy="1911253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./SC117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9112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4"/>
    </w:p>
    <w:p>
      <w:pPr>
        <w:pStyle w:val="BodyText"/>
      </w:pPr>
      <w:r>
        <w:t xml:space="preserve">Рис 11. Работаем с группами</w:t>
      </w:r>
    </w:p>
    <w:bookmarkEnd w:id="55"/>
    <w:bookmarkStart w:id="56" w:name="выводы"/>
    <w:p>
      <w:pPr>
        <w:pStyle w:val="Heading1"/>
      </w:pPr>
      <w:r>
        <w:t xml:space="preserve">Выводы</w:t>
      </w:r>
    </w:p>
    <w:p>
      <w:pPr>
        <w:pStyle w:val="FirstParagraph"/>
      </w:pPr>
      <w:r>
        <w:t xml:space="preserve">Мы получили навыки для настройки пакетного фильтра в Linux.</w:t>
      </w:r>
    </w:p>
    <w:bookmarkEnd w:id="56"/>
    <w:bookmarkStart w:id="57" w:name="ответы-на-контрольные-вопросы"/>
    <w:p>
      <w:pPr>
        <w:pStyle w:val="Heading1"/>
      </w:pPr>
      <w:r>
        <w:t xml:space="preserve">Ответы на контрольные вопросы</w:t>
      </w:r>
    </w:p>
    <w:p>
      <w:pPr>
        <w:numPr>
          <w:ilvl w:val="0"/>
          <w:numId w:val="1001"/>
        </w:numPr>
      </w:pPr>
      <w:r>
        <w:t xml:space="preserve">firewalld</w:t>
      </w:r>
    </w:p>
    <w:p>
      <w:pPr>
        <w:numPr>
          <w:ilvl w:val="0"/>
          <w:numId w:val="1001"/>
        </w:numPr>
      </w:pPr>
      <w:r>
        <w:t xml:space="preserve">firewall-cmd –zone=public –add-port=2355/udp –permanent</w:t>
      </w:r>
    </w:p>
    <w:p>
      <w:pPr>
        <w:numPr>
          <w:ilvl w:val="0"/>
          <w:numId w:val="1001"/>
        </w:numPr>
      </w:pPr>
      <w:r>
        <w:t xml:space="preserve">firewall-cmd –list-all</w:t>
      </w:r>
    </w:p>
    <w:p>
      <w:pPr>
        <w:numPr>
          <w:ilvl w:val="0"/>
          <w:numId w:val="1001"/>
        </w:numPr>
      </w:pPr>
      <w:r>
        <w:t xml:space="preserve">firewall-cmd –remove-service=vnc-server –permanent</w:t>
      </w:r>
    </w:p>
    <w:p>
      <w:pPr>
        <w:numPr>
          <w:ilvl w:val="0"/>
          <w:numId w:val="1001"/>
        </w:numPr>
      </w:pPr>
      <w:r>
        <w:t xml:space="preserve">firewall-cmd –reload</w:t>
      </w:r>
    </w:p>
    <w:p>
      <w:pPr>
        <w:numPr>
          <w:ilvl w:val="0"/>
          <w:numId w:val="1001"/>
        </w:numPr>
      </w:pPr>
      <w:r>
        <w:t xml:space="preserve">firewall-cmd –zone=public –list-interfaces или firewall-cmd –list-all</w:t>
      </w:r>
    </w:p>
    <w:p>
      <w:pPr>
        <w:numPr>
          <w:ilvl w:val="0"/>
          <w:numId w:val="1001"/>
        </w:numPr>
      </w:pPr>
      <w:r>
        <w:t xml:space="preserve">firewall-cmd –zone=public –add-interface=eno1 –permanent</w:t>
      </w:r>
    </w:p>
    <w:p>
      <w:pPr>
        <w:numPr>
          <w:ilvl w:val="0"/>
          <w:numId w:val="1001"/>
        </w:numPr>
      </w:pPr>
      <w:r>
        <w:t xml:space="preserve">в зону по умолчанию (обычно</w:t>
      </w:r>
      <w:r>
        <w:t xml:space="preserve"> </w:t>
      </w:r>
      <w:r>
        <w:rPr>
          <w:rStyle w:val="VerbatimChar"/>
        </w:rPr>
        <w:t xml:space="preserve">public</w:t>
      </w:r>
      <w:r>
        <w:t xml:space="preserve">)</w:t>
      </w:r>
    </w:p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о лабораторной работе</dc:title>
  <dc:creator>Скалозуб Александр</dc:creator>
  <dc:language>ru-RU</dc:language>
  <cp:keywords/>
  <dcterms:created xsi:type="dcterms:W3CDTF">2026-03-17T19:45:06Z</dcterms:created>
  <dcterms:modified xsi:type="dcterms:W3CDTF">2026-03-17T19:45:06Z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bel-lang">
    <vt:lpwstr>russian</vt:lpwstr>
  </property>
  <property fmtid="{D5CDD505-2E9C-101B-9397-08002B2CF9AE}" pid="3" name="babel-otherlangs">
    <vt:lpwstr>english</vt:lpwstr>
  </property>
  <property fmtid="{D5CDD505-2E9C-101B-9397-08002B2CF9AE}" pid="4" name="biblatex">
    <vt:lpwstr>True</vt:lpwstr>
  </property>
  <property fmtid="{D5CDD505-2E9C-101B-9397-08002B2CF9AE}" pid="5" name="biblatexoptions">
    <vt:lpwstr/>
  </property>
  <property fmtid="{D5CDD505-2E9C-101B-9397-08002B2CF9AE}" pid="6" name="biblio-style">
    <vt:lpwstr>gost-numeric</vt:lpwstr>
  </property>
  <property fmtid="{D5CDD505-2E9C-101B-9397-08002B2CF9AE}" pid="7" name="bibliography">
    <vt:lpwstr>bib/cite.bib</vt:lpwstr>
  </property>
  <property fmtid="{D5CDD505-2E9C-101B-9397-08002B2CF9AE}" pid="8" name="csl">
    <vt:lpwstr>pandoc/csl/gost-r-7-0-5-2008-numeric.csl</vt:lpwstr>
  </property>
  <property fmtid="{D5CDD505-2E9C-101B-9397-08002B2CF9AE}" pid="9" name="documentclass">
    <vt:lpwstr>scrreprt</vt:lpwstr>
  </property>
  <property fmtid="{D5CDD505-2E9C-101B-9397-08002B2CF9AE}" pid="10" name="figureTitle">
    <vt:lpwstr>Рис.</vt:lpwstr>
  </property>
  <property fmtid="{D5CDD505-2E9C-101B-9397-08002B2CF9AE}" pid="11" name="fontsize">
    <vt:lpwstr>12pt</vt:lpwstr>
  </property>
  <property fmtid="{D5CDD505-2E9C-101B-9397-08002B2CF9AE}" pid="12" name="header-includes">
    <vt:lpwstr/>
  </property>
  <property fmtid="{D5CDD505-2E9C-101B-9397-08002B2CF9AE}" pid="13" name="indent">
    <vt:lpwstr>True</vt:lpwstr>
  </property>
  <property fmtid="{D5CDD505-2E9C-101B-9397-08002B2CF9AE}" pid="14" name="linestretch">
    <vt:lpwstr>1.5</vt:lpwstr>
  </property>
  <property fmtid="{D5CDD505-2E9C-101B-9397-08002B2CF9AE}" pid="15" name="listingTitle">
    <vt:lpwstr>Листинг</vt:lpwstr>
  </property>
  <property fmtid="{D5CDD505-2E9C-101B-9397-08002B2CF9AE}" pid="16" name="lof">
    <vt:lpwstr>True</vt:lpwstr>
  </property>
  <property fmtid="{D5CDD505-2E9C-101B-9397-08002B2CF9AE}" pid="17" name="lofTitle">
    <vt:lpwstr>Список иллюстраций</vt:lpwstr>
  </property>
  <property fmtid="{D5CDD505-2E9C-101B-9397-08002B2CF9AE}" pid="18" name="lolTitle">
    <vt:lpwstr>Листинги</vt:lpwstr>
  </property>
  <property fmtid="{D5CDD505-2E9C-101B-9397-08002B2CF9AE}" pid="19" name="lot">
    <vt:lpwstr>True</vt:lpwstr>
  </property>
  <property fmtid="{D5CDD505-2E9C-101B-9397-08002B2CF9AE}" pid="20" name="lotTitle">
    <vt:lpwstr>Список таблиц</vt:lpwstr>
  </property>
  <property fmtid="{D5CDD505-2E9C-101B-9397-08002B2CF9AE}" pid="21" name="mainfont">
    <vt:lpwstr>IBM Plex Serif</vt:lpwstr>
  </property>
  <property fmtid="{D5CDD505-2E9C-101B-9397-08002B2CF9AE}" pid="22" name="mainfontoptions">
    <vt:lpwstr>Ligatures=Common,Ligatures=TeX,Scale=0.94</vt:lpwstr>
  </property>
  <property fmtid="{D5CDD505-2E9C-101B-9397-08002B2CF9AE}" pid="23" name="mathfont">
    <vt:lpwstr>STIX Two Math</vt:lpwstr>
  </property>
  <property fmtid="{D5CDD505-2E9C-101B-9397-08002B2CF9AE}" pid="24" name="mathfontoptions">
    <vt:lpwstr/>
  </property>
  <property fmtid="{D5CDD505-2E9C-101B-9397-08002B2CF9AE}" pid="25" name="monofont">
    <vt:lpwstr>IBM Plex Mono</vt:lpwstr>
  </property>
  <property fmtid="{D5CDD505-2E9C-101B-9397-08002B2CF9AE}" pid="26" name="monofontoptions">
    <vt:lpwstr>Scale=MatchLowercase,Scale=0.94,FakeStretch=0.9</vt:lpwstr>
  </property>
  <property fmtid="{D5CDD505-2E9C-101B-9397-08002B2CF9AE}" pid="27" name="papersize">
    <vt:lpwstr>a4</vt:lpwstr>
  </property>
  <property fmtid="{D5CDD505-2E9C-101B-9397-08002B2CF9AE}" pid="28" name="polyglossia-lang">
    <vt:lpwstr/>
  </property>
  <property fmtid="{D5CDD505-2E9C-101B-9397-08002B2CF9AE}" pid="29" name="polyglossia-otherlangs">
    <vt:lpwstr/>
  </property>
  <property fmtid="{D5CDD505-2E9C-101B-9397-08002B2CF9AE}" pid="30" name="romanfont">
    <vt:lpwstr>IBM Plex Serif</vt:lpwstr>
  </property>
  <property fmtid="{D5CDD505-2E9C-101B-9397-08002B2CF9AE}" pid="31" name="romanfontoptions">
    <vt:lpwstr>Ligatures=Common,Ligatures=TeX,Scale=0.94</vt:lpwstr>
  </property>
  <property fmtid="{D5CDD505-2E9C-101B-9397-08002B2CF9AE}" pid="32" name="sansfont">
    <vt:lpwstr>IBM Plex Sans</vt:lpwstr>
  </property>
  <property fmtid="{D5CDD505-2E9C-101B-9397-08002B2CF9AE}" pid="33" name="sansfontoptions">
    <vt:lpwstr>Ligatures=Common,Ligatures=TeX,Scale=MatchLowercase,Scale=0.94</vt:lpwstr>
  </property>
  <property fmtid="{D5CDD505-2E9C-101B-9397-08002B2CF9AE}" pid="34" name="subtitle">
    <vt:lpwstr>Лабораторная работа №13</vt:lpwstr>
  </property>
  <property fmtid="{D5CDD505-2E9C-101B-9397-08002B2CF9AE}" pid="35" name="tableTitle">
    <vt:lpwstr>Таблица</vt:lpwstr>
  </property>
  <property fmtid="{D5CDD505-2E9C-101B-9397-08002B2CF9AE}" pid="36" name="toc">
    <vt:lpwstr>True</vt:lpwstr>
  </property>
  <property fmtid="{D5CDD505-2E9C-101B-9397-08002B2CF9AE}" pid="37" name="toc-depth">
    <vt:lpwstr>2</vt:lpwstr>
  </property>
  <property fmtid="{D5CDD505-2E9C-101B-9397-08002B2CF9AE}" pid="38" name="toc-title">
    <vt:lpwstr>Содержание</vt:lpwstr>
  </property>
</Properties>
</file>