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15.png" ContentType="image/png"/>
  <Override PartName="/word/media/rId19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Отчёт о лабораторной работе</w:t>
      </w:r>
    </w:p>
    <w:p>
      <w:pPr>
        <w:pStyle w:val="Subtitle"/>
      </w:pPr>
      <w:r>
        <w:t xml:space="preserve">Лабораторная работа №6</w:t>
      </w:r>
    </w:p>
    <w:p>
      <w:pPr>
        <w:pStyle w:val="Author"/>
      </w:pPr>
      <w:r>
        <w:t xml:space="preserve">Скалозуб Александр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Содержание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dt>
      <w:sdtPr>
        <w:docPartObj>
          <w:docPartGallery w:val="List of Figures"/>
          <w:docPartUnique/>
        </w:docPartObj>
      </w:sdtPr>
      <w:sdtContent>
        <w:p>
          <w:pPr>
            <w:pStyle w:val="TOCHeading"/>
          </w:pPr>
          <w:r>
            <w:t xml:space="preserve">Список иллюстраций</w:t>
          </w:r>
        </w:p>
        <w:p>
          <w:r>
            <w:fldChar w:fldCharType="begin" w:dirty="true"/>
            <w:instrText xml:space="preserve">TOC \h \z \t "Image Caption" \c</w:instrText>
            <w:fldChar w:fldCharType="separate"/>
            <w:fldChar w:fldCharType="end"/>
          </w:r>
        </w:p>
      </w:sdtContent>
    </w:sdt>
    <w:sdt>
      <w:sdtPr>
        <w:docPartObj>
          <w:docPartGallery w:val="List of Tables"/>
          <w:docPartUnique/>
        </w:docPartObj>
      </w:sdtPr>
      <w:sdtContent>
        <w:p>
          <w:pPr>
            <w:pStyle w:val="TOCHeading"/>
          </w:pPr>
          <w:r>
            <w:t xml:space="preserve">Список таблиц</w:t>
          </w:r>
        </w:p>
        <w:p>
          <w:r>
            <w:fldChar w:fldCharType="begin" w:dirty="true"/>
            <w:instrText xml:space="preserve">TOC \h \z \t "Table Caption" \c</w:instrText>
            <w:fldChar w:fldCharType="separate"/>
            <w:fldChar w:fldCharType="end"/>
          </w:r>
        </w:p>
      </w:sdtContent>
    </w:sdt>
    <w:bookmarkStart w:id="9" w:name="цель-работы"/>
    <w:p>
      <w:pPr>
        <w:pStyle w:val="Heading1"/>
      </w:pPr>
      <w:r>
        <w:t xml:space="preserve">Цель работы</w:t>
      </w:r>
    </w:p>
    <w:p>
      <w:pPr>
        <w:pStyle w:val="FirstParagraph"/>
      </w:pPr>
      <w:r>
        <w:t xml:space="preserve">Получить навыки управления процессами операционной системы.</w:t>
      </w:r>
    </w:p>
    <w:bookmarkEnd w:id="9"/>
    <w:bookmarkStart w:id="10" w:name="задание"/>
    <w:p>
      <w:pPr>
        <w:pStyle w:val="Heading1"/>
      </w:pPr>
      <w:r>
        <w:t xml:space="preserve">Задание</w:t>
      </w:r>
    </w:p>
    <w:p>
      <w:pPr>
        <w:pStyle w:val="FirstParagraph"/>
      </w:pPr>
      <w:r>
        <w:t xml:space="preserve">Научится работать с процессами операционной системы.</w:t>
      </w:r>
    </w:p>
    <w:bookmarkEnd w:id="10"/>
    <w:bookmarkStart w:id="27" w:name="выполнение-лабораторной-работы"/>
    <w:p>
      <w:pPr>
        <w:pStyle w:val="Heading1"/>
      </w:pPr>
      <w:r>
        <w:t xml:space="preserve">Выполнение лабораторной работы</w:t>
      </w:r>
    </w:p>
    <w:p>
      <w:pPr>
        <w:pStyle w:val="FirstParagraph"/>
      </w:pPr>
      <w:bookmarkStart w:id="14" w:name="fig:001"/>
      <w:r>
        <w:drawing>
          <wp:inline>
            <wp:extent cx="3733800" cy="3463119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./SC53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346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4"/>
    </w:p>
    <w:p>
      <w:pPr>
        <w:pStyle w:val="BodyText"/>
      </w:pPr>
      <w:r>
        <w:t xml:space="preserve">Рис 1. Запускаем процесс сна через и отменяем его</w:t>
      </w:r>
    </w:p>
    <w:p>
      <w:pPr>
        <w:pStyle w:val="BodyText"/>
      </w:pPr>
      <w:bookmarkStart w:id="18" w:name="fig:002"/>
      <w:r>
        <w:drawing>
          <wp:inline>
            <wp:extent cx="3733800" cy="518126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./SC54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51812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18"/>
    </w:p>
    <w:p>
      <w:pPr>
        <w:pStyle w:val="BodyText"/>
      </w:pPr>
      <w:r>
        <w:t xml:space="preserve">Рис 2. pid процесса и открываем диспетчер</w:t>
      </w:r>
    </w:p>
    <w:p>
      <w:pPr>
        <w:pStyle w:val="BodyText"/>
      </w:pPr>
      <w:bookmarkStart w:id="22" w:name="fig:003"/>
      <w:r>
        <w:drawing>
          <wp:inline>
            <wp:extent cx="3733800" cy="1783307"/>
            <wp:effectExtent b="0" l="0" r="0" t="0"/>
            <wp:docPr descr="" title="" id="20" name="Picture"/>
            <a:graphic>
              <a:graphicData uri="http://schemas.openxmlformats.org/drawingml/2006/picture">
                <pic:pic>
                  <pic:nvPicPr>
                    <pic:cNvPr descr="./SC55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33800" cy="178330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2"/>
    </w:p>
    <w:p>
      <w:pPr>
        <w:pStyle w:val="BodyText"/>
      </w:pPr>
      <w:r>
        <w:t xml:space="preserve">Рис 3. выводим процесс dd</w:t>
      </w:r>
    </w:p>
    <w:p>
      <w:pPr>
        <w:pStyle w:val="BodyText"/>
      </w:pPr>
      <w:bookmarkStart w:id="26" w:name="fig:004"/>
      <w:r>
        <w:drawing>
          <wp:inline>
            <wp:extent cx="2531444" cy="154004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/SC56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1444" cy="15400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bookmarkEnd w:id="26"/>
    </w:p>
    <w:p>
      <w:pPr>
        <w:pStyle w:val="BodyText"/>
      </w:pPr>
      <w:r>
        <w:t xml:space="preserve">Рис 4. убиваем процесс dd</w:t>
      </w:r>
    </w:p>
    <w:bookmarkEnd w:id="27"/>
    <w:bookmarkStart w:id="28" w:name="вывод"/>
    <w:p>
      <w:pPr>
        <w:pStyle w:val="Heading1"/>
      </w:pPr>
      <w:r>
        <w:t xml:space="preserve">Вывод</w:t>
      </w:r>
    </w:p>
    <w:p>
      <w:pPr>
        <w:pStyle w:val="FirstParagraph"/>
      </w:pPr>
      <w:r>
        <w:t xml:space="preserve">Научились управлять процессами</w:t>
      </w:r>
    </w:p>
    <w:bookmarkEnd w:id="28"/>
    <w:bookmarkStart w:id="29" w:name="ответы-на-контрольные-вопросы"/>
    <w:p>
      <w:pPr>
        <w:pStyle w:val="Heading1"/>
      </w:pPr>
      <w:r>
        <w:t xml:space="preserve">Ответы на контрольные вопросы</w:t>
      </w:r>
    </w:p>
    <w:p>
      <w:pPr>
        <w:numPr>
          <w:ilvl w:val="0"/>
          <w:numId w:val="1001"/>
        </w:numPr>
      </w:pPr>
      <w:r>
        <w:t xml:space="preserve">jobs</w:t>
      </w:r>
    </w:p>
    <w:p>
      <w:pPr>
        <w:numPr>
          <w:ilvl w:val="0"/>
          <w:numId w:val="1001"/>
        </w:numPr>
      </w:pPr>
      <w:r>
        <w:t xml:space="preserve">kill %</w:t>
      </w:r>
    </w:p>
    <w:p>
      <w:pPr>
        <w:numPr>
          <w:ilvl w:val="0"/>
          <w:numId w:val="1001"/>
        </w:numPr>
      </w:pPr>
      <w:r>
        <w:t xml:space="preserve">Ctrl + Z</w:t>
      </w:r>
    </w:p>
    <w:p>
      <w:pPr>
        <w:numPr>
          <w:ilvl w:val="0"/>
          <w:numId w:val="1001"/>
        </w:numPr>
      </w:pPr>
      <w:r>
        <w:t xml:space="preserve">Использовать kill по PID, если есть доступ к нему, или через системные средства удалённого управления.</w:t>
      </w:r>
    </w:p>
    <w:p>
      <w:pPr>
        <w:numPr>
          <w:ilvl w:val="0"/>
          <w:numId w:val="1001"/>
        </w:numPr>
      </w:pPr>
      <w:r>
        <w:t xml:space="preserve">pstree</w:t>
      </w:r>
    </w:p>
    <w:p>
      <w:pPr>
        <w:numPr>
          <w:ilvl w:val="0"/>
          <w:numId w:val="1001"/>
        </w:numPr>
      </w:pPr>
      <w:r>
        <w:t xml:space="preserve">renice -n -</w:t>
      </w:r>
      <w:r>
        <w:t xml:space="preserve"> </w:t>
      </w:r>
      <w:r>
        <w:t xml:space="preserve">-p 1234</w:t>
      </w:r>
    </w:p>
    <w:p>
      <w:pPr>
        <w:numPr>
          <w:ilvl w:val="0"/>
          <w:numId w:val="1001"/>
        </w:numPr>
      </w:pPr>
      <w:r>
        <w:t xml:space="preserve">pkill dd или killall dd</w:t>
      </w:r>
    </w:p>
    <w:p>
      <w:pPr>
        <w:numPr>
          <w:ilvl w:val="0"/>
          <w:numId w:val="1001"/>
        </w:numPr>
      </w:pPr>
      <w:r>
        <w:t xml:space="preserve">pkill mycommand или killall mycommand</w:t>
      </w:r>
    </w:p>
    <w:p>
      <w:pPr>
        <w:numPr>
          <w:ilvl w:val="0"/>
          <w:numId w:val="1001"/>
        </w:numPr>
      </w:pPr>
      <w:r>
        <w:t xml:space="preserve">В top — нажать k, ввести PID, затем указать приоритет.</w:t>
      </w:r>
    </w:p>
    <w:p>
      <w:pPr>
        <w:numPr>
          <w:ilvl w:val="0"/>
          <w:numId w:val="1001"/>
        </w:numPr>
      </w:pPr>
      <w:r>
        <w:t xml:space="preserve">nice -n</w:t>
      </w:r>
      <w:r>
        <w:t xml:space="preserve"> </w:t>
      </w:r>
      <w:r>
        <w:t xml:space="preserve"> </w:t>
      </w:r>
      <w:r>
        <w:t xml:space="preserve"> </w:t>
      </w:r>
      <w:r>
        <w:t xml:space="preserve">с высоким приоритетом (например,</w:t>
      </w:r>
      <w:r>
        <w:t xml:space="preserve"> </w:t>
      </w:r>
      <w:r>
        <w:rPr>
          <w:rStyle w:val="VerbatimChar"/>
        </w:rPr>
        <w:t xml:space="preserve">nice -n -10 команда</w:t>
      </w:r>
      <w:r>
        <w:t xml:space="preserve">).</w:t>
      </w:r>
    </w:p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ru-RU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15" Target="media/rId15.png" /><Relationship Type="http://schemas.openxmlformats.org/officeDocument/2006/relationships/image" Id="rId19" Target="media/rId19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лабораторной работе</dc:title>
  <dc:creator>Скалозуб Александр</dc:creator>
  <dc:language>ru-RU</dc:language>
  <cp:keywords/>
  <dcterms:created xsi:type="dcterms:W3CDTF">2026-03-17T19:43:50Z</dcterms:created>
  <dcterms:modified xsi:type="dcterms:W3CDTF">2026-03-17T19:43:50Z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abel-lang">
    <vt:lpwstr>russian</vt:lpwstr>
  </property>
  <property fmtid="{D5CDD505-2E9C-101B-9397-08002B2CF9AE}" pid="3" name="babel-otherlangs">
    <vt:lpwstr>english</vt:lpwstr>
  </property>
  <property fmtid="{D5CDD505-2E9C-101B-9397-08002B2CF9AE}" pid="4" name="biblatex">
    <vt:lpwstr>True</vt:lpwstr>
  </property>
  <property fmtid="{D5CDD505-2E9C-101B-9397-08002B2CF9AE}" pid="5" name="biblatexoptions">
    <vt:lpwstr/>
  </property>
  <property fmtid="{D5CDD505-2E9C-101B-9397-08002B2CF9AE}" pid="6" name="biblio-style">
    <vt:lpwstr>gost-numeric</vt:lpwstr>
  </property>
  <property fmtid="{D5CDD505-2E9C-101B-9397-08002B2CF9AE}" pid="7" name="bibliography">
    <vt:lpwstr>bib/cite.bib</vt:lpwstr>
  </property>
  <property fmtid="{D5CDD505-2E9C-101B-9397-08002B2CF9AE}" pid="8" name="csl">
    <vt:lpwstr>pandoc/csl/gost-r-7-0-5-2008-numeric.csl</vt:lpwstr>
  </property>
  <property fmtid="{D5CDD505-2E9C-101B-9397-08002B2CF9AE}" pid="9" name="documentclass">
    <vt:lpwstr>scrreprt</vt:lpwstr>
  </property>
  <property fmtid="{D5CDD505-2E9C-101B-9397-08002B2CF9AE}" pid="10" name="figureTitle">
    <vt:lpwstr>Рис.</vt:lpwstr>
  </property>
  <property fmtid="{D5CDD505-2E9C-101B-9397-08002B2CF9AE}" pid="11" name="fontsize">
    <vt:lpwstr>12pt</vt:lpwstr>
  </property>
  <property fmtid="{D5CDD505-2E9C-101B-9397-08002B2CF9AE}" pid="12" name="header-includes">
    <vt:lpwstr/>
  </property>
  <property fmtid="{D5CDD505-2E9C-101B-9397-08002B2CF9AE}" pid="13" name="indent">
    <vt:lpwstr>True</vt:lpwstr>
  </property>
  <property fmtid="{D5CDD505-2E9C-101B-9397-08002B2CF9AE}" pid="14" name="linestretch">
    <vt:lpwstr>1.5</vt:lpwstr>
  </property>
  <property fmtid="{D5CDD505-2E9C-101B-9397-08002B2CF9AE}" pid="15" name="listingTitle">
    <vt:lpwstr>Листинг</vt:lpwstr>
  </property>
  <property fmtid="{D5CDD505-2E9C-101B-9397-08002B2CF9AE}" pid="16" name="lof">
    <vt:lpwstr>True</vt:lpwstr>
  </property>
  <property fmtid="{D5CDD505-2E9C-101B-9397-08002B2CF9AE}" pid="17" name="lofTitle">
    <vt:lpwstr>Список иллюстраций</vt:lpwstr>
  </property>
  <property fmtid="{D5CDD505-2E9C-101B-9397-08002B2CF9AE}" pid="18" name="lolTitle">
    <vt:lpwstr>Листинги</vt:lpwstr>
  </property>
  <property fmtid="{D5CDD505-2E9C-101B-9397-08002B2CF9AE}" pid="19" name="lot">
    <vt:lpwstr>True</vt:lpwstr>
  </property>
  <property fmtid="{D5CDD505-2E9C-101B-9397-08002B2CF9AE}" pid="20" name="lotTitle">
    <vt:lpwstr>Список таблиц</vt:lpwstr>
  </property>
  <property fmtid="{D5CDD505-2E9C-101B-9397-08002B2CF9AE}" pid="21" name="mainfont">
    <vt:lpwstr>IBM Plex Serif</vt:lpwstr>
  </property>
  <property fmtid="{D5CDD505-2E9C-101B-9397-08002B2CF9AE}" pid="22" name="mainfontoptions">
    <vt:lpwstr>Ligatures=Common,Ligatures=TeX,Scale=0.94</vt:lpwstr>
  </property>
  <property fmtid="{D5CDD505-2E9C-101B-9397-08002B2CF9AE}" pid="23" name="mathfont">
    <vt:lpwstr>STIX Two Math</vt:lpwstr>
  </property>
  <property fmtid="{D5CDD505-2E9C-101B-9397-08002B2CF9AE}" pid="24" name="mathfontoptions">
    <vt:lpwstr/>
  </property>
  <property fmtid="{D5CDD505-2E9C-101B-9397-08002B2CF9AE}" pid="25" name="monofont">
    <vt:lpwstr>IBM Plex Mono</vt:lpwstr>
  </property>
  <property fmtid="{D5CDD505-2E9C-101B-9397-08002B2CF9AE}" pid="26" name="monofontoptions">
    <vt:lpwstr>Scale=MatchLowercase,Scale=0.94,FakeStretch=0.9</vt:lpwstr>
  </property>
  <property fmtid="{D5CDD505-2E9C-101B-9397-08002B2CF9AE}" pid="27" name="papersize">
    <vt:lpwstr>a4</vt:lpwstr>
  </property>
  <property fmtid="{D5CDD505-2E9C-101B-9397-08002B2CF9AE}" pid="28" name="polyglossia-lang">
    <vt:lpwstr/>
  </property>
  <property fmtid="{D5CDD505-2E9C-101B-9397-08002B2CF9AE}" pid="29" name="polyglossia-otherlangs">
    <vt:lpwstr/>
  </property>
  <property fmtid="{D5CDD505-2E9C-101B-9397-08002B2CF9AE}" pid="30" name="romanfont">
    <vt:lpwstr>IBM Plex Serif</vt:lpwstr>
  </property>
  <property fmtid="{D5CDD505-2E9C-101B-9397-08002B2CF9AE}" pid="31" name="romanfontoptions">
    <vt:lpwstr>Ligatures=Common,Ligatures=TeX,Scale=0.94</vt:lpwstr>
  </property>
  <property fmtid="{D5CDD505-2E9C-101B-9397-08002B2CF9AE}" pid="32" name="sansfont">
    <vt:lpwstr>IBM Plex Sans</vt:lpwstr>
  </property>
  <property fmtid="{D5CDD505-2E9C-101B-9397-08002B2CF9AE}" pid="33" name="sansfontoptions">
    <vt:lpwstr>Ligatures=Common,Ligatures=TeX,Scale=MatchLowercase,Scale=0.94</vt:lpwstr>
  </property>
  <property fmtid="{D5CDD505-2E9C-101B-9397-08002B2CF9AE}" pid="34" name="subtitle">
    <vt:lpwstr>Лабораторная работа №6</vt:lpwstr>
  </property>
  <property fmtid="{D5CDD505-2E9C-101B-9397-08002B2CF9AE}" pid="35" name="tableTitle">
    <vt:lpwstr>Таблица</vt:lpwstr>
  </property>
  <property fmtid="{D5CDD505-2E9C-101B-9397-08002B2CF9AE}" pid="36" name="toc">
    <vt:lpwstr>True</vt:lpwstr>
  </property>
  <property fmtid="{D5CDD505-2E9C-101B-9397-08002B2CF9AE}" pid="37" name="toc-depth">
    <vt:lpwstr>2</vt:lpwstr>
  </property>
  <property fmtid="{D5CDD505-2E9C-101B-9397-08002B2CF9AE}" pid="38" name="toc-title">
    <vt:lpwstr>Содержание</vt:lpwstr>
  </property>
</Properties>
</file>