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3A5F"/>
          <w:sz w:val="64"/>
          <w:szCs w:val="64"/>
        </w:rPr>
        <w:t xml:space="preserve">PIXPAX</w:t>
      </w:r>
    </w:p>
    <w:p>
      <w:pPr>
        <w:spacing w:after="120" w:before="0"/>
        <w:jc w:val="center"/>
      </w:pPr>
      <w:r>
        <w:rPr>
          <w:rFonts w:ascii="Calibri" w:cs="Calibri" w:eastAsia="Calibri" w:hAnsi="Calibri"/>
          <w:color w:val="2E86DE"/>
          <w:sz w:val="32"/>
          <w:szCs w:val="32"/>
        </w:rPr>
        <w:t xml:space="preserve">Guía de Documentación Legal para el Desarrollador</w:t>
      </w:r>
    </w:p>
    <w:p>
      <w:pPr>
        <w:spacing w:after="60" w:before="0"/>
        <w:jc w:val="center"/>
      </w:pPr>
      <w:r>
        <w:rPr>
          <w:rFonts w:ascii="Calibri" w:cs="Calibri" w:eastAsia="Calibri" w:hAnsi="Calibri"/>
          <w:color w:val="555555"/>
          <w:sz w:val="24"/>
          <w:szCs w:val="24"/>
        </w:rPr>
        <w:t xml:space="preserve">Aplicación móvil de transporte de mercancías</w:t>
      </w:r>
    </w:p>
    <w:p>
      <w:pPr>
        <w:spacing w:after="800" w:before="0"/>
        <w:jc w:val="center"/>
      </w:pPr>
      <w:r>
        <w:rPr>
          <w:rFonts w:ascii="Calibri" w:cs="Calibri" w:eastAsia="Calibri" w:hAnsi="Calibri"/>
          <w:i/>
          <w:iCs/>
          <w:color w:val="888888"/>
          <w:sz w:val="20"/>
          <w:szCs w:val="20"/>
        </w:rPr>
        <w:t xml:space="preserve">Versión 1.0 — Uso interno — DAM 2025/2026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Calibri" w:cs="Calibri" w:eastAsia="Calibri" w:hAnsi="Calibri"/>
                <w:b/>
                <w:bCs/>
                <w:color w:val="1E3A5F"/>
                <w:sz w:val="20"/>
                <w:szCs w:val="20"/>
              </w:rPr>
              <w:t xml:space="preserve">Autor</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Calibri" w:cs="Calibri" w:eastAsia="Calibri" w:hAnsi="Calibri"/>
                <w:b/>
                <w:bCs/>
                <w:color w:val="1E3A5F"/>
                <w:sz w:val="20"/>
                <w:szCs w:val="20"/>
              </w:rPr>
              <w:t xml:space="preserve">Tutor</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Calibri" w:cs="Calibri" w:eastAsia="Calibri" w:hAnsi="Calibri"/>
                <w:b/>
                <w:bCs/>
                <w:color w:val="1E3A5F"/>
                <w:sz w:val="20"/>
                <w:szCs w:val="20"/>
              </w:rPr>
              <w:t xml:space="preserve">Marco legal</w:t>
            </w:r>
          </w:p>
        </w:tc>
        <w:tc>
          <w:tcPr>
            <w:tcW w:type="dxa" w:w="2426"/>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Calibri" w:cs="Calibri" w:eastAsia="Calibri" w:hAnsi="Calibri"/>
                <w:b/>
                <w:bCs/>
                <w:color w:val="1E3A5F"/>
                <w:sz w:val="20"/>
                <w:szCs w:val="20"/>
              </w:rPr>
              <w:t xml:space="preserve">Documento</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alibri" w:cs="Calibri" w:eastAsia="Calibri" w:hAnsi="Calibri"/>
                <w:sz w:val="20"/>
                <w:szCs w:val="20"/>
              </w:rPr>
              <w:t xml:space="preserve">Adrián Salazar Nicolás</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alibri" w:cs="Calibri" w:eastAsia="Calibri" w:hAnsi="Calibri"/>
                <w:sz w:val="20"/>
                <w:szCs w:val="20"/>
              </w:rPr>
              <w:t xml:space="preserve">Andrés Dolón Sevilla</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alibri" w:cs="Calibri" w:eastAsia="Calibri" w:hAnsi="Calibri"/>
                <w:sz w:val="20"/>
                <w:szCs w:val="20"/>
              </w:rPr>
              <w:t xml:space="preserve">RGPD / LOPD-GDD / LSSI</w:t>
            </w:r>
          </w:p>
        </w:tc>
        <w:tc>
          <w:tcPr>
            <w:tcW w:type="dxa" w:w="24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Calibri" w:cs="Calibri" w:eastAsia="Calibri" w:hAnsi="Calibri"/>
                <w:sz w:val="20"/>
                <w:szCs w:val="20"/>
              </w:rPr>
              <w:t xml:space="preserve">Guía legal interna (no publicar)</w:t>
            </w:r>
          </w:p>
        </w:tc>
      </w:tr>
    </w:tbl>
    <w:p>
      <w:pPr>
        <w:spacing w:after="0" w:before="0"/>
      </w:pPr>
      <w:r>
        <w:t xml:space="preserve"/>
      </w:r>
    </w:p>
    <w:p>
      <w:pPr>
        <w:spacing w:after="0" w:before="0"/>
      </w:pPr>
      <w:r>
        <w:t xml:space="preserve"/>
      </w:r>
    </w:p>
    <w:p>
      <w:pPr>
        <w:pStyle w:val="Heading1"/>
        <w:spacing w:after="120" w:before="360"/>
      </w:pPr>
      <w:r>
        <w:rPr>
          <w:rFonts w:ascii="Calibri" w:cs="Calibri" w:eastAsia="Calibri" w:hAnsi="Calibri"/>
          <w:b/>
          <w:bCs/>
          <w:color w:val="1E3A5F"/>
          <w:sz w:val="28"/>
          <w:szCs w:val="28"/>
        </w:rPr>
        <w:t xml:space="preserve">1. Propósito de este documento</w:t>
      </w:r>
    </w:p>
    <w:p>
      <w:pPr>
        <w:spacing w:after="100" w:before="80"/>
        <w:jc w:val="both"/>
      </w:pPr>
      <w:r>
        <w:rPr>
          <w:rFonts w:ascii="Calibri" w:cs="Calibri" w:eastAsia="Calibri" w:hAnsi="Calibri"/>
          <w:sz w:val="22"/>
          <w:szCs w:val="22"/>
        </w:rPr>
        <w:t xml:space="preserve">Este documento es una guía interna de referencia para el desarrollador de PIXPAX. Su finalidad es explicar qué documentos legales debe incluir la aplicación, qué debe contener cada uno de ellos, y cuál es el marco normativo aplicable en España y la Unión Europea.</w:t>
      </w:r>
    </w:p>
    <w:p>
      <w:pPr>
        <w:spacing w:after="100" w:before="80"/>
        <w:jc w:val="both"/>
      </w:pPr>
      <w:r>
        <w:rPr>
          <w:rFonts w:ascii="Calibri" w:cs="Calibri" w:eastAsia="Calibri" w:hAnsi="Calibri"/>
          <w:sz w:val="22"/>
          <w:szCs w:val="22"/>
        </w:rPr>
        <w:t xml:space="preserve">Este documento NO está destinado a ser mostrado a los usuarios finales. Es una herramienta de trabajo para asegurar que la pantalla de términos legales de la app cumpla con la legislación vigente antes de publicarla.</w:t>
      </w:r>
    </w:p>
    <w:p>
      <w:pPr>
        <w:spacing w:after="0" w:before="0"/>
      </w:pPr>
      <w:r>
        <w:t xml:space="preserve"/>
      </w:r>
    </w:p>
    <w:p>
      <w:pPr>
        <w:pStyle w:val="Heading1"/>
        <w:spacing w:after="120" w:before="360"/>
      </w:pPr>
      <w:r>
        <w:rPr>
          <w:rFonts w:ascii="Calibri" w:cs="Calibri" w:eastAsia="Calibri" w:hAnsi="Calibri"/>
          <w:b/>
          <w:bCs/>
          <w:color w:val="1E3A5F"/>
          <w:sz w:val="28"/>
          <w:szCs w:val="28"/>
        </w:rPr>
        <w:t xml:space="preserve">2. Marco normativo aplicable</w:t>
      </w:r>
    </w:p>
    <w:p>
      <w:pPr>
        <w:spacing w:after="100" w:before="80"/>
        <w:jc w:val="both"/>
      </w:pPr>
      <w:r>
        <w:rPr>
          <w:rFonts w:ascii="Calibri" w:cs="Calibri" w:eastAsia="Calibri" w:hAnsi="Calibri"/>
          <w:sz w:val="22"/>
          <w:szCs w:val="22"/>
        </w:rPr>
        <w:t xml:space="preserve">PIXPAX opera en España y presta servicios digitales a través de una aplicación móvil. Por ello, está sujeta a las siguientes normativas: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c>
          <w:tcPr>
            <w:tcW w:type="dxa" w:w="2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Calibri" w:cs="Calibri" w:eastAsia="Calibri" w:hAnsi="Calibri"/>
                <w:b/>
                <w:bCs/>
                <w:color w:val="FFFFFF"/>
                <w:sz w:val="20"/>
                <w:szCs w:val="20"/>
              </w:rPr>
              <w:t xml:space="preserve">Normativa</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Calibri" w:cs="Calibri" w:eastAsia="Calibri" w:hAnsi="Calibri"/>
                <w:b/>
                <w:bCs/>
                <w:color w:val="FFFFFF"/>
                <w:sz w:val="20"/>
                <w:szCs w:val="20"/>
              </w:rPr>
              <w:t xml:space="preserve">Ámbito</w:t>
            </w:r>
          </w:p>
        </w:tc>
        <w:tc>
          <w:tcPr>
            <w:tcW w:type="dxa" w:w="4026"/>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Calibri" w:cs="Calibri" w:eastAsia="Calibri" w:hAnsi="Calibri"/>
                <w:b/>
                <w:bCs/>
                <w:color w:val="FFFFFF"/>
                <w:sz w:val="20"/>
                <w:szCs w:val="20"/>
              </w:rPr>
              <w:t xml:space="preserve">Qué regula en PIXPAX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19"/>
                <w:szCs w:val="19"/>
              </w:rPr>
              <w:t xml:space="preserve">RGPD (Reglamento UE 2016/679)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555555"/>
                <w:sz w:val="19"/>
                <w:szCs w:val="19"/>
              </w:rPr>
              <w:t xml:space="preserve">Protección de datos — UE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19"/>
                <w:szCs w:val="19"/>
              </w:rPr>
              <w:t xml:space="preserve">Recogida, tratamiento y almacenamiento de datos personales de usuarios y transportistas.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19"/>
                <w:szCs w:val="19"/>
              </w:rPr>
              <w:t xml:space="preserve">LOPD-GDD (Ley Orgánica 3/2018)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555555"/>
                <w:sz w:val="19"/>
                <w:szCs w:val="19"/>
              </w:rPr>
              <w:t xml:space="preserve">Protección de datos — España</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19"/>
                <w:szCs w:val="19"/>
              </w:rPr>
              <w:t xml:space="preserve">Adaptación española del RGPD. Regula consentimiento, derechos ARCO-POL y brechas de seguridad.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19"/>
                <w:szCs w:val="19"/>
              </w:rPr>
              <w:t xml:space="preserve">LSSI-CE (Ley 34/2002)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555555"/>
                <w:sz w:val="19"/>
                <w:szCs w:val="19"/>
              </w:rPr>
              <w:t xml:space="preserve">Servicios sociedad info.</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19"/>
                <w:szCs w:val="19"/>
              </w:rPr>
              <w:t xml:space="preserve">Obliga a informar sobre el responsable, condiciones de uso y comunicaciones comerciales.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19"/>
                <w:szCs w:val="19"/>
              </w:rPr>
              <w:t xml:space="preserve">LCGC (Ley 7/1998)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555555"/>
                <w:sz w:val="19"/>
                <w:szCs w:val="19"/>
              </w:rPr>
              <w:t xml:space="preserve">Condiciones generales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19"/>
                <w:szCs w:val="19"/>
              </w:rPr>
              <w:t xml:space="preserve">Las cláusulas tipo (T&amp;C) deben ser claras, accesibles y no abusivas.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19"/>
                <w:szCs w:val="19"/>
              </w:rPr>
              <w:t xml:space="preserve">TRLCU (RDL 1/2007)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555555"/>
                <w:sz w:val="19"/>
                <w:szCs w:val="19"/>
              </w:rPr>
              <w:t xml:space="preserve">Consumidores y usuarios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19"/>
                <w:szCs w:val="19"/>
              </w:rPr>
              <w:t xml:space="preserve">Protección al usuario frente a cláusulas abusivas. Aplica si clientes son particulares.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19"/>
                <w:szCs w:val="19"/>
              </w:rPr>
              <w:t xml:space="preserve">Ley 16/1987 LOTT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i/>
                <w:iCs/>
                <w:color w:val="555555"/>
                <w:sz w:val="19"/>
                <w:szCs w:val="19"/>
              </w:rPr>
              <w:t xml:space="preserve">Transporte por carretera</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19"/>
                <w:szCs w:val="19"/>
              </w:rPr>
              <w:t xml:space="preserve">Marco legal para transportistas profesionales. Afecta al onboarding del conductor.</w:t>
            </w:r>
          </w:p>
        </w:tc>
      </w:tr>
    </w:tbl>
    <w:p>
      <w:pPr>
        <w:spacing w:after="0" w:before="0"/>
      </w:pPr>
      <w:r>
        <w:t xml:space="preserve"/>
      </w:r>
    </w:p>
    <w:p>
      <w:pPr>
        <w:pStyle w:val="Heading1"/>
        <w:spacing w:after="120" w:before="360"/>
      </w:pPr>
      <w:r>
        <w:rPr>
          <w:rFonts w:ascii="Calibri" w:cs="Calibri" w:eastAsia="Calibri" w:hAnsi="Calibri"/>
          <w:b/>
          <w:bCs/>
          <w:color w:val="1E3A5F"/>
          <w:sz w:val="28"/>
          <w:szCs w:val="28"/>
        </w:rPr>
        <w:t xml:space="preserve">3. Documentos legales que debe incluir la app</w:t>
      </w:r>
    </w:p>
    <w:p>
      <w:pPr>
        <w:spacing w:after="100" w:before="80"/>
        <w:jc w:val="both"/>
      </w:pPr>
      <w:r>
        <w:rPr>
          <w:rFonts w:ascii="Calibri" w:cs="Calibri" w:eastAsia="Calibri" w:hAnsi="Calibri"/>
          <w:sz w:val="22"/>
          <w:szCs w:val="22"/>
        </w:rPr>
        <w:t xml:space="preserve">La pantalla o sección legal de PIXPAX debe contener obligatoriamente los siguientes documentos. A continuación se describe para qué sirve cada uno y qué debe incluir.</w:t>
      </w:r>
    </w:p>
    <w:p>
      <w:pPr>
        <w:spacing w:after="0" w:before="0"/>
      </w:pPr>
      <w:r>
        <w:t xml:space="preserve"/>
      </w:r>
    </w:p>
    <w:p>
      <w:pPr>
        <w:pStyle w:val="Heading2"/>
        <w:spacing w:after="80" w:before="240"/>
      </w:pPr>
      <w:r>
        <w:rPr>
          <w:rFonts w:ascii="Calibri" w:cs="Calibri" w:eastAsia="Calibri" w:hAnsi="Calibri"/>
          <w:b/>
          <w:bCs/>
          <w:color w:val="2E86DE"/>
          <w:sz w:val="24"/>
          <w:szCs w:val="24"/>
        </w:rPr>
        <w:t xml:space="preserve">3.1 Términos y Condiciones de Uso (T&amp;C)</w:t>
      </w:r>
    </w:p>
    <w:p>
      <w:pPr>
        <w:spacing w:after="100" w:before="80"/>
        <w:jc w:val="both"/>
      </w:pPr>
      <w:r>
        <w:rPr>
          <w:rFonts w:ascii="Calibri" w:cs="Calibri" w:eastAsia="Calibri" w:hAnsi="Calibri"/>
          <w:sz w:val="22"/>
          <w:szCs w:val="22"/>
        </w:rPr>
        <w:t xml:space="preserve">Los Términos y Condiciones establecen el contrato legal entre PIXPAX y el usuario de la aplicación. Al aceptarlos, el usuario reconoce y acepta las reglas de uso de la plataforma. Son obligatorios por la LSSI-CE y la LCGC.</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60"/>
              <w:right w:type="dxa" w:w="160"/>
            </w:tcMar>
          </w:tcPr>
          <w:p>
            <w:r>
              <w:rPr>
                <w:rFonts w:ascii="Calibri" w:cs="Calibri" w:eastAsia="Calibri" w:hAnsi="Calibri"/>
                <w:b/>
                <w:bCs/>
                <w:color w:val="1E3A5F"/>
                <w:sz w:val="22"/>
                <w:szCs w:val="22"/>
              </w:rPr>
              <w:t xml:space="preserve">¿Para qué sirve?</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i/>
                <w:iCs/>
                <w:sz w:val="20"/>
                <w:szCs w:val="20"/>
              </w:rPr>
              <w:t xml:space="preserve">Define las reglas del juego: qué puede hacer el usuario, qué puede hacer PIXPAX, qué pasa si alguien incumple, y cómo se resuelven los conflictos.</w:t>
            </w:r>
          </w:p>
          <w:p>
            <w:pPr>
              <w:spacing w:before="60"/>
            </w:pPr>
            <w:r>
              <w:rPr>
                <w:rFonts w:ascii="Calibri" w:cs="Calibri" w:eastAsia="Calibri" w:hAnsi="Calibri"/>
                <w:color w:val="2E7D32"/>
                <w:sz w:val="20"/>
                <w:szCs w:val="20"/>
              </w:rPr>
              <w:t xml:space="preserve">✔ Incluye: Objeto del servicio, roles de usuario, responsabilidades, prohibiciones, modificaciones de la app y ley aplicable.</w:t>
            </w:r>
          </w:p>
        </w:tc>
      </w:tr>
    </w:tbl>
    <w:p>
      <w:pPr>
        <w:spacing w:after="0" w:before="0"/>
      </w:pPr>
      <w:r>
        <w:t xml:space="preserve"/>
      </w:r>
    </w:p>
    <w:p>
      <w:pPr>
        <w:spacing w:after="100" w:before="80"/>
        <w:jc w:val="both"/>
      </w:pPr>
      <w:r>
        <w:rPr>
          <w:rFonts w:ascii="Calibri" w:cs="Calibri" w:eastAsia="Calibri" w:hAnsi="Calibri"/>
          <w:b/>
          <w:bCs/>
          <w:sz w:val="22"/>
          <w:szCs w:val="22"/>
        </w:rPr>
        <w:t xml:space="preserve">Contenido mínimo obligatorio:</w:t>
      </w:r>
    </w:p>
    <w:p>
      <w:pPr>
        <w:pStyle w:val="ListParagraph"/>
        <w:numPr>
          <w:ilvl w:val="0"/>
          <w:numId w:val="2"/>
        </w:numPr>
        <w:spacing w:after="60" w:before="60"/>
      </w:pPr>
      <w:r>
        <w:rPr>
          <w:rFonts w:ascii="Calibri" w:cs="Calibri" w:eastAsia="Calibri" w:hAnsi="Calibri"/>
          <w:sz w:val="22"/>
          <w:szCs w:val="22"/>
        </w:rPr>
        <w:t xml:space="preserve">Identificación del responsable del servicio: nombre, CIF, domicilio social, correo de contacto.</w:t>
      </w:r>
    </w:p>
    <w:p>
      <w:pPr>
        <w:pStyle w:val="ListParagraph"/>
        <w:numPr>
          <w:ilvl w:val="0"/>
          <w:numId w:val="2"/>
        </w:numPr>
        <w:spacing w:after="60" w:before="60"/>
      </w:pPr>
      <w:r>
        <w:rPr>
          <w:rFonts w:ascii="Calibri" w:cs="Calibri" w:eastAsia="Calibri" w:hAnsi="Calibri"/>
          <w:sz w:val="22"/>
          <w:szCs w:val="22"/>
        </w:rPr>
        <w:t xml:space="preserve">Descripción del servicio: qué es PIXPAX, cómo funciona la plataforma de transporte.</w:t>
      </w:r>
    </w:p>
    <w:p>
      <w:pPr>
        <w:pStyle w:val="ListParagraph"/>
        <w:numPr>
          <w:ilvl w:val="0"/>
          <w:numId w:val="2"/>
        </w:numPr>
        <w:spacing w:after="60" w:before="60"/>
      </w:pPr>
      <w:r>
        <w:rPr>
          <w:rFonts w:ascii="Calibri" w:cs="Calibri" w:eastAsia="Calibri" w:hAnsi="Calibri"/>
          <w:sz w:val="22"/>
          <w:szCs w:val="22"/>
        </w:rPr>
        <w:t xml:space="preserve">Condiciones de acceso y registro: edad mínima (18 años), datos requeridos, veracidad de la información.</w:t>
      </w:r>
    </w:p>
    <w:p>
      <w:pPr>
        <w:pStyle w:val="ListParagraph"/>
        <w:numPr>
          <w:ilvl w:val="0"/>
          <w:numId w:val="2"/>
        </w:numPr>
        <w:spacing w:after="60" w:before="60"/>
      </w:pPr>
      <w:r>
        <w:rPr>
          <w:rFonts w:ascii="Calibri" w:cs="Calibri" w:eastAsia="Calibri" w:hAnsi="Calibri"/>
          <w:sz w:val="22"/>
          <w:szCs w:val="22"/>
        </w:rPr>
        <w:t xml:space="preserve">Roles: diferenciación entre cliente y transportista, derechos y obligaciones de cada uno.</w:t>
      </w:r>
    </w:p>
    <w:p>
      <w:pPr>
        <w:pStyle w:val="ListParagraph"/>
        <w:numPr>
          <w:ilvl w:val="0"/>
          <w:numId w:val="2"/>
        </w:numPr>
        <w:spacing w:after="60" w:before="60"/>
      </w:pPr>
      <w:r>
        <w:rPr>
          <w:rFonts w:ascii="Calibri" w:cs="Calibri" w:eastAsia="Calibri" w:hAnsi="Calibri"/>
          <w:sz w:val="22"/>
          <w:szCs w:val="22"/>
        </w:rPr>
        <w:t xml:space="preserve">Obligaciones del transportista: documentación legal, carné vigente, seguro de mercancías, estado del vehículo.</w:t>
      </w:r>
    </w:p>
    <w:p>
      <w:pPr>
        <w:pStyle w:val="ListParagraph"/>
        <w:numPr>
          <w:ilvl w:val="0"/>
          <w:numId w:val="2"/>
        </w:numPr>
        <w:spacing w:after="60" w:before="60"/>
      </w:pPr>
      <w:r>
        <w:rPr>
          <w:rFonts w:ascii="Calibri" w:cs="Calibri" w:eastAsia="Calibri" w:hAnsi="Calibri"/>
          <w:sz w:val="22"/>
          <w:szCs w:val="22"/>
        </w:rPr>
        <w:t xml:space="preserve">Política de cancelaciones y penalizaciones: plazos, consecuencias del incumplimiento.</w:t>
      </w:r>
    </w:p>
    <w:p>
      <w:pPr>
        <w:pStyle w:val="ListParagraph"/>
        <w:numPr>
          <w:ilvl w:val="0"/>
          <w:numId w:val="2"/>
        </w:numPr>
        <w:spacing w:after="60" w:before="60"/>
      </w:pPr>
      <w:r>
        <w:rPr>
          <w:rFonts w:ascii="Calibri" w:cs="Calibri" w:eastAsia="Calibri" w:hAnsi="Calibri"/>
          <w:sz w:val="22"/>
          <w:szCs w:val="22"/>
        </w:rPr>
        <w:t xml:space="preserve">Limitación de responsabilidad: PIXPAX actúa como intermediario, no es transportista directo.</w:t>
      </w:r>
    </w:p>
    <w:p>
      <w:pPr>
        <w:pStyle w:val="ListParagraph"/>
        <w:numPr>
          <w:ilvl w:val="0"/>
          <w:numId w:val="2"/>
        </w:numPr>
        <w:spacing w:after="60" w:before="60"/>
      </w:pPr>
      <w:r>
        <w:rPr>
          <w:rFonts w:ascii="Calibri" w:cs="Calibri" w:eastAsia="Calibri" w:hAnsi="Calibri"/>
          <w:sz w:val="22"/>
          <w:szCs w:val="22"/>
        </w:rPr>
        <w:t xml:space="preserve">Propiedad intelectual: la app, su diseño y código son propiedad de PIXPAX.</w:t>
      </w:r>
    </w:p>
    <w:p>
      <w:pPr>
        <w:pStyle w:val="ListParagraph"/>
        <w:numPr>
          <w:ilvl w:val="0"/>
          <w:numId w:val="2"/>
        </w:numPr>
        <w:spacing w:after="60" w:before="60"/>
      </w:pPr>
      <w:r>
        <w:rPr>
          <w:rFonts w:ascii="Calibri" w:cs="Calibri" w:eastAsia="Calibri" w:hAnsi="Calibri"/>
          <w:sz w:val="22"/>
          <w:szCs w:val="22"/>
        </w:rPr>
        <w:t xml:space="preserve">Modificación de los T&amp;C: PIXPAX puede actualizar los términos con preaviso de 15 días.</w:t>
      </w:r>
    </w:p>
    <w:p>
      <w:pPr>
        <w:pStyle w:val="ListParagraph"/>
        <w:numPr>
          <w:ilvl w:val="0"/>
          <w:numId w:val="2"/>
        </w:numPr>
        <w:spacing w:after="60" w:before="60"/>
      </w:pPr>
      <w:r>
        <w:rPr>
          <w:rFonts w:ascii="Calibri" w:cs="Calibri" w:eastAsia="Calibri" w:hAnsi="Calibri"/>
          <w:sz w:val="22"/>
          <w:szCs w:val="22"/>
        </w:rPr>
        <w:t xml:space="preserve">Ley aplicable y jurisdicción: legislación española, tribunales de la ciudad del domicilio social.</w:t>
      </w:r>
    </w:p>
    <w:p>
      <w:pPr>
        <w:spacing w:after="0" w:before="0"/>
      </w:pPr>
      <w:r>
        <w:t xml:space="preserve"/>
      </w:r>
    </w:p>
    <w:p>
      <w:pPr>
        <w:pStyle w:val="Heading2"/>
        <w:spacing w:after="80" w:before="240"/>
      </w:pPr>
      <w:r>
        <w:rPr>
          <w:rFonts w:ascii="Calibri" w:cs="Calibri" w:eastAsia="Calibri" w:hAnsi="Calibri"/>
          <w:b/>
          <w:bCs/>
          <w:color w:val="2E86DE"/>
          <w:sz w:val="24"/>
          <w:szCs w:val="24"/>
        </w:rPr>
        <w:t xml:space="preserve">3.2 Política de Privacidad</w:t>
      </w:r>
    </w:p>
    <w:p>
      <w:pPr>
        <w:spacing w:after="100" w:before="80"/>
        <w:jc w:val="both"/>
      </w:pPr>
      <w:r>
        <w:rPr>
          <w:rFonts w:ascii="Calibri" w:cs="Calibri" w:eastAsia="Calibri" w:hAnsi="Calibri"/>
          <w:sz w:val="22"/>
          <w:szCs w:val="22"/>
        </w:rPr>
        <w:t xml:space="preserve">La Política de Privacidad es el documento más crítico desde el punto de vista del RGPD. Informa al usuario de qué datos se recogen, por qué, durante cuánto tiempo y cuáles son sus derechos. Es obligatoria y debe ser clara, concisa y accesible antes del registro.</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60"/>
              <w:right w:type="dxa" w:w="160"/>
            </w:tcMar>
          </w:tcPr>
          <w:p>
            <w:r>
              <w:rPr>
                <w:rFonts w:ascii="Calibri" w:cs="Calibri" w:eastAsia="Calibri" w:hAnsi="Calibri"/>
                <w:b/>
                <w:bCs/>
                <w:color w:val="1E3A5F"/>
                <w:sz w:val="22"/>
                <w:szCs w:val="22"/>
              </w:rPr>
              <w:t xml:space="preserve">¿Para qué sirve?</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i/>
                <w:iCs/>
                <w:sz w:val="20"/>
                <w:szCs w:val="20"/>
              </w:rPr>
              <w:t xml:space="preserve">Cumple con el principio de transparencia del RGPD: el usuario tiene derecho a saber exactamente qué datos se recogen y con qué finalidad antes de ceder su información.</w:t>
            </w:r>
          </w:p>
          <w:p>
            <w:pPr>
              <w:spacing w:before="60"/>
            </w:pPr>
            <w:r>
              <w:rPr>
                <w:rFonts w:ascii="Calibri" w:cs="Calibri" w:eastAsia="Calibri" w:hAnsi="Calibri"/>
                <w:color w:val="2E7D32"/>
                <w:sz w:val="20"/>
                <w:szCs w:val="20"/>
              </w:rPr>
              <w:t xml:space="preserve">✔ Incluye: Responsable del tratamiento, finalidades, base legal, destinatarios, plazos de conservación y derechos del usuario.</w:t>
            </w:r>
          </w:p>
        </w:tc>
      </w:tr>
    </w:tbl>
    <w:p>
      <w:pPr>
        <w:spacing w:after="0" w:before="0"/>
      </w:pPr>
      <w:r>
        <w:t xml:space="preserve"/>
      </w:r>
    </w:p>
    <w:p>
      <w:pPr>
        <w:spacing w:after="100" w:before="80"/>
        <w:jc w:val="both"/>
      </w:pPr>
      <w:r>
        <w:rPr>
          <w:rFonts w:ascii="Calibri" w:cs="Calibri" w:eastAsia="Calibri" w:hAnsi="Calibri"/>
          <w:b/>
          <w:bCs/>
          <w:sz w:val="22"/>
          <w:szCs w:val="22"/>
        </w:rPr>
        <w:t xml:space="preserve">Contenido mínimo obligatorio (Art. 13 RGPD):</w:t>
      </w:r>
    </w:p>
    <w:p>
      <w:pPr>
        <w:pStyle w:val="ListParagraph"/>
        <w:numPr>
          <w:ilvl w:val="0"/>
          <w:numId w:val="2"/>
        </w:numPr>
        <w:spacing w:after="60" w:before="60"/>
      </w:pPr>
      <w:r>
        <w:rPr>
          <w:rFonts w:ascii="Calibri" w:cs="Calibri" w:eastAsia="Calibri" w:hAnsi="Calibri"/>
          <w:sz w:val="22"/>
          <w:szCs w:val="22"/>
        </w:rPr>
        <w:t xml:space="preserve">Responsable del tratamiento: nombre o razón social, NIF, dirección y correo electrónico del responsable.</w:t>
      </w:r>
    </w:p>
    <w:p>
      <w:pPr>
        <w:pStyle w:val="ListParagraph"/>
        <w:numPr>
          <w:ilvl w:val="0"/>
          <w:numId w:val="2"/>
        </w:numPr>
        <w:spacing w:after="60" w:before="60"/>
      </w:pPr>
      <w:r>
        <w:rPr>
          <w:rFonts w:ascii="Calibri" w:cs="Calibri" w:eastAsia="Calibri" w:hAnsi="Calibri"/>
          <w:sz w:val="22"/>
          <w:szCs w:val="22"/>
        </w:rPr>
        <w:t xml:space="preserve">Datos recogidos: nombre, apellidos, email, teléfono, DNI/NIE (transportistas), matrícula del vehículo, datos de localización GPS, historial de viajes.</w:t>
      </w:r>
    </w:p>
    <w:p>
      <w:pPr>
        <w:pStyle w:val="ListParagraph"/>
        <w:numPr>
          <w:ilvl w:val="0"/>
          <w:numId w:val="2"/>
        </w:numPr>
        <w:spacing w:after="60" w:before="60"/>
      </w:pPr>
      <w:r>
        <w:rPr>
          <w:rFonts w:ascii="Calibri" w:cs="Calibri" w:eastAsia="Calibri" w:hAnsi="Calibri"/>
          <w:sz w:val="22"/>
          <w:szCs w:val="22"/>
        </w:rPr>
        <w:t xml:space="preserve">Finalidad del tratamiento: prestación del servicio, verificación de identidad del transportista, facturación, comunicaciones del servicio, mejora de la plataforma.</w:t>
      </w:r>
    </w:p>
    <w:p>
      <w:pPr>
        <w:pStyle w:val="ListParagraph"/>
        <w:numPr>
          <w:ilvl w:val="0"/>
          <w:numId w:val="2"/>
        </w:numPr>
        <w:spacing w:after="60" w:before="60"/>
      </w:pPr>
      <w:r>
        <w:rPr>
          <w:rFonts w:ascii="Calibri" w:cs="Calibri" w:eastAsia="Calibri" w:hAnsi="Calibri"/>
          <w:sz w:val="22"/>
          <w:szCs w:val="22"/>
        </w:rPr>
        <w:t xml:space="preserve">Base legal del tratamiento: ejecución de contrato (Art. 6.1.b RGPD), interés legítimo (Art. 6.1.f), cumplimiento legal (Art. 6.1.c).</w:t>
      </w:r>
    </w:p>
    <w:p>
      <w:pPr>
        <w:pStyle w:val="ListParagraph"/>
        <w:numPr>
          <w:ilvl w:val="0"/>
          <w:numId w:val="2"/>
        </w:numPr>
        <w:spacing w:after="60" w:before="60"/>
      </w:pPr>
      <w:r>
        <w:rPr>
          <w:rFonts w:ascii="Calibri" w:cs="Calibri" w:eastAsia="Calibri" w:hAnsi="Calibri"/>
          <w:sz w:val="22"/>
          <w:szCs w:val="22"/>
        </w:rPr>
        <w:t xml:space="preserve">Destinatarios: servicios cloud (Firebase/Google), pasarela de pagos, autoridades competentes si se requiere legalmente. No se venden datos a terceros.</w:t>
      </w:r>
    </w:p>
    <w:p>
      <w:pPr>
        <w:pStyle w:val="ListParagraph"/>
        <w:numPr>
          <w:ilvl w:val="0"/>
          <w:numId w:val="2"/>
        </w:numPr>
        <w:spacing w:after="60" w:before="60"/>
      </w:pPr>
      <w:r>
        <w:rPr>
          <w:rFonts w:ascii="Calibri" w:cs="Calibri" w:eastAsia="Calibri" w:hAnsi="Calibri"/>
          <w:sz w:val="22"/>
          <w:szCs w:val="22"/>
        </w:rPr>
        <w:t xml:space="preserve">Transferencias internacionales: si se usa Firebase (Google LLC, EEUU), indicar que Google está adherido al Data Privacy Framework UE-EEUU.</w:t>
      </w:r>
    </w:p>
    <w:p>
      <w:pPr>
        <w:pStyle w:val="ListParagraph"/>
        <w:numPr>
          <w:ilvl w:val="0"/>
          <w:numId w:val="2"/>
        </w:numPr>
        <w:spacing w:after="60" w:before="60"/>
      </w:pPr>
      <w:r>
        <w:rPr>
          <w:rFonts w:ascii="Calibri" w:cs="Calibri" w:eastAsia="Calibri" w:hAnsi="Calibri"/>
          <w:sz w:val="22"/>
          <w:szCs w:val="22"/>
        </w:rPr>
        <w:t xml:space="preserve">Plazo de conservación: datos de cuenta mientras sea usuario activo + 5 años tras baja por obligaciones fiscales. Datos de localización: 90 días desde el viaje.</w:t>
      </w:r>
    </w:p>
    <w:p>
      <w:pPr>
        <w:pStyle w:val="ListParagraph"/>
        <w:numPr>
          <w:ilvl w:val="0"/>
          <w:numId w:val="2"/>
        </w:numPr>
        <w:spacing w:after="60" w:before="60"/>
      </w:pPr>
      <w:r>
        <w:rPr>
          <w:rFonts w:ascii="Calibri" w:cs="Calibri" w:eastAsia="Calibri" w:hAnsi="Calibri"/>
          <w:sz w:val="22"/>
          <w:szCs w:val="22"/>
        </w:rPr>
        <w:t xml:space="preserve">Derechos ARCO-POL: Acceso, Rectificación, Cancelación, Oposición, Portabilidad, Olvido y Limitación del tratamiento. Ejercicio mediante correo a privacidad@pixpax.es.</w:t>
      </w:r>
    </w:p>
    <w:p>
      <w:pPr>
        <w:pStyle w:val="ListParagraph"/>
        <w:numPr>
          <w:ilvl w:val="0"/>
          <w:numId w:val="2"/>
        </w:numPr>
        <w:spacing w:after="60" w:before="60"/>
      </w:pPr>
      <w:r>
        <w:rPr>
          <w:rFonts w:ascii="Calibri" w:cs="Calibri" w:eastAsia="Calibri" w:hAnsi="Calibri"/>
          <w:sz w:val="22"/>
          <w:szCs w:val="22"/>
        </w:rPr>
        <w:t xml:space="preserve">Derecho a reclamar ante la AEPD: Agencia Española de Protección de Datos (www.aepd.es).</w:t>
      </w:r>
    </w:p>
    <w:p>
      <w:pPr>
        <w:pStyle w:val="ListParagraph"/>
        <w:numPr>
          <w:ilvl w:val="0"/>
          <w:numId w:val="2"/>
        </w:numPr>
        <w:spacing w:after="60" w:before="60"/>
      </w:pPr>
      <w:r>
        <w:rPr>
          <w:rFonts w:ascii="Calibri" w:cs="Calibri" w:eastAsia="Calibri" w:hAnsi="Calibri"/>
          <w:sz w:val="22"/>
          <w:szCs w:val="22"/>
        </w:rPr>
        <w:t xml:space="preserve">Uso de cookies / SDK de analítica: si se usa Firebase Analytics u otros SDKs de seguimiento.</w:t>
      </w:r>
    </w:p>
    <w:p>
      <w:pPr>
        <w:spacing w:after="0" w:before="0"/>
      </w:pPr>
      <w:r>
        <w:t xml:space="preserve"/>
      </w:r>
    </w:p>
    <w:p>
      <w:pPr>
        <w:pStyle w:val="Heading2"/>
        <w:spacing w:after="80" w:before="240"/>
      </w:pPr>
      <w:r>
        <w:rPr>
          <w:rFonts w:ascii="Calibri" w:cs="Calibri" w:eastAsia="Calibri" w:hAnsi="Calibri"/>
          <w:b/>
          <w:bCs/>
          <w:color w:val="2E86DE"/>
          <w:sz w:val="24"/>
          <w:szCs w:val="24"/>
        </w:rPr>
        <w:t xml:space="preserve">3.3 Política de Cookies (si aplica web/webapp)</w:t>
      </w:r>
    </w:p>
    <w:p>
      <w:pPr>
        <w:spacing w:after="100" w:before="80"/>
        <w:jc w:val="both"/>
      </w:pPr>
      <w:r>
        <w:rPr>
          <w:rFonts w:ascii="Calibri" w:cs="Calibri" w:eastAsia="Calibri" w:hAnsi="Calibri"/>
          <w:sz w:val="22"/>
          <w:szCs w:val="22"/>
        </w:rPr>
        <w:t xml:space="preserve">Si PIXPAX tiene una web de marketing o panel web, es obligatoria la política de cookies por la LSSI-CE. En la app móvil nativa (Android) no aplica cookies en sentido estricto, pero sí puede aplicar si se usan SDKs de analítica o identificadores de dispositivo.</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5" w:val="clear"/>
            <w:tcMar>
              <w:top w:type="dxa" w:w="100"/>
              <w:left w:type="dxa" w:w="160"/>
              <w:bottom w:type="dxa" w:w="60"/>
              <w:right w:type="dxa" w:w="160"/>
            </w:tcMar>
          </w:tcPr>
          <w:p>
            <w:r>
              <w:rPr>
                <w:rFonts w:ascii="Calibri" w:cs="Calibri" w:eastAsia="Calibri" w:hAnsi="Calibri"/>
                <w:b/>
                <w:bCs/>
                <w:color w:val="1E3A5F"/>
                <w:sz w:val="22"/>
                <w:szCs w:val="22"/>
              </w:rPr>
              <w:t xml:space="preserve">¿Cuándo es necesaria?</w:t>
            </w:r>
          </w:p>
        </w:tc>
      </w:tr>
      <w:tr>
        <w:tc>
          <w:tcPr>
            <w:tcW w:type="dxa" w:w="9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alibri" w:cs="Calibri" w:eastAsia="Calibri" w:hAnsi="Calibri"/>
                <w:i/>
                <w:iCs/>
                <w:sz w:val="20"/>
                <w:szCs w:val="20"/>
              </w:rPr>
              <w:t xml:space="preserve">Si la app usa Firebase Analytics, Crashlytics, AdMob u otros SDKs que recojan identificadores del dispositivo o analítica de comportamiento, se debe informar al usuario.</w:t>
            </w:r>
          </w:p>
          <w:p>
            <w:pPr>
              <w:spacing w:before="60"/>
            </w:pPr>
            <w:r>
              <w:rPr>
                <w:rFonts w:ascii="Calibri" w:cs="Calibri" w:eastAsia="Calibri" w:hAnsi="Calibri"/>
                <w:color w:val="2E7D32"/>
                <w:sz w:val="20"/>
                <w:szCs w:val="20"/>
              </w:rPr>
              <w:t xml:space="preserve">✔ Incluye: Tipo de rastreadores, finalidad, forma de desactivarlos y enlace a políticas de los proveedores.</w:t>
            </w:r>
          </w:p>
        </w:tc>
      </w:tr>
    </w:tbl>
    <w:p>
      <w:pPr>
        <w:spacing w:after="0" w:before="0"/>
      </w:pPr>
      <w:r>
        <w:t xml:space="preserve"/>
      </w:r>
    </w:p>
    <w:p>
      <w:pPr>
        <w:pStyle w:val="Heading2"/>
        <w:spacing w:after="80" w:before="240"/>
      </w:pPr>
      <w:r>
        <w:rPr>
          <w:rFonts w:ascii="Calibri" w:cs="Calibri" w:eastAsia="Calibri" w:hAnsi="Calibri"/>
          <w:b/>
          <w:bCs/>
          <w:color w:val="2E86DE"/>
          <w:sz w:val="24"/>
          <w:szCs w:val="24"/>
        </w:rPr>
        <w:t xml:space="preserve">3.4 Aviso Legal (obligatorio por LSSI-CE)</w:t>
      </w:r>
    </w:p>
    <w:p>
      <w:pPr>
        <w:spacing w:after="100" w:before="80"/>
        <w:jc w:val="both"/>
      </w:pPr>
      <w:r>
        <w:rPr>
          <w:rFonts w:ascii="Calibri" w:cs="Calibri" w:eastAsia="Calibri" w:hAnsi="Calibri"/>
          <w:sz w:val="22"/>
          <w:szCs w:val="22"/>
        </w:rPr>
        <w:t xml:space="preserve">El Aviso Legal identifica al titular de la plataforma y cumple con el Art. 10 de la LSSI-CE, que obliga a los prestadores de servicios de la sociedad de la información a facilitar ciertos datos de forma permanente, fácil y directa.</w:t>
      </w:r>
    </w:p>
    <w:p>
      <w:pPr>
        <w:spacing w:after="0" w:before="0"/>
      </w:pPr>
      <w:r>
        <w:t xml:space="preserve"/>
      </w:r>
    </w:p>
    <w:p>
      <w:pPr>
        <w:spacing w:after="100" w:before="80"/>
        <w:jc w:val="both"/>
      </w:pPr>
      <w:r>
        <w:rPr>
          <w:rFonts w:ascii="Calibri" w:cs="Calibri" w:eastAsia="Calibri" w:hAnsi="Calibri"/>
          <w:b/>
          <w:bCs/>
          <w:sz w:val="22"/>
          <w:szCs w:val="22"/>
        </w:rPr>
        <w:t xml:space="preserve">Contenido mínimo obligatorio:</w:t>
      </w:r>
    </w:p>
    <w:p>
      <w:pPr>
        <w:pStyle w:val="ListParagraph"/>
        <w:numPr>
          <w:ilvl w:val="0"/>
          <w:numId w:val="2"/>
        </w:numPr>
        <w:spacing w:after="60" w:before="60"/>
      </w:pPr>
      <w:r>
        <w:rPr>
          <w:rFonts w:ascii="Calibri" w:cs="Calibri" w:eastAsia="Calibri" w:hAnsi="Calibri"/>
          <w:sz w:val="22"/>
          <w:szCs w:val="22"/>
        </w:rPr>
        <w:t xml:space="preserve">Nombre o razón social del titular.</w:t>
      </w:r>
    </w:p>
    <w:p>
      <w:pPr>
        <w:pStyle w:val="ListParagraph"/>
        <w:numPr>
          <w:ilvl w:val="0"/>
          <w:numId w:val="2"/>
        </w:numPr>
        <w:spacing w:after="60" w:before="60"/>
      </w:pPr>
      <w:r>
        <w:rPr>
          <w:rFonts w:ascii="Calibri" w:cs="Calibri" w:eastAsia="Calibri" w:hAnsi="Calibri"/>
          <w:sz w:val="22"/>
          <w:szCs w:val="22"/>
        </w:rPr>
        <w:t xml:space="preserve">Número de identificación fiscal (NIF/CIF).</w:t>
      </w:r>
    </w:p>
    <w:p>
      <w:pPr>
        <w:pStyle w:val="ListParagraph"/>
        <w:numPr>
          <w:ilvl w:val="0"/>
          <w:numId w:val="2"/>
        </w:numPr>
        <w:spacing w:after="60" w:before="60"/>
      </w:pPr>
      <w:r>
        <w:rPr>
          <w:rFonts w:ascii="Calibri" w:cs="Calibri" w:eastAsia="Calibri" w:hAnsi="Calibri"/>
          <w:sz w:val="22"/>
          <w:szCs w:val="22"/>
        </w:rPr>
        <w:t xml:space="preserve">Domicilio social o dirección de contacto efectiva.</w:t>
      </w:r>
    </w:p>
    <w:p>
      <w:pPr>
        <w:pStyle w:val="ListParagraph"/>
        <w:numPr>
          <w:ilvl w:val="0"/>
          <w:numId w:val="2"/>
        </w:numPr>
        <w:spacing w:after="60" w:before="60"/>
      </w:pPr>
      <w:r>
        <w:rPr>
          <w:rFonts w:ascii="Calibri" w:cs="Calibri" w:eastAsia="Calibri" w:hAnsi="Calibri"/>
          <w:sz w:val="22"/>
          <w:szCs w:val="22"/>
        </w:rPr>
        <w:t xml:space="preserve">Correo electrónico de contacto.</w:t>
      </w:r>
    </w:p>
    <w:p>
      <w:pPr>
        <w:pStyle w:val="ListParagraph"/>
        <w:numPr>
          <w:ilvl w:val="0"/>
          <w:numId w:val="2"/>
        </w:numPr>
        <w:spacing w:after="60" w:before="60"/>
      </w:pPr>
      <w:r>
        <w:rPr>
          <w:rFonts w:ascii="Calibri" w:cs="Calibri" w:eastAsia="Calibri" w:hAnsi="Calibri"/>
          <w:sz w:val="22"/>
          <w:szCs w:val="22"/>
        </w:rPr>
        <w:t xml:space="preserve">Número de inscripción en el Registro Mercantil (cuando la empresa esté constituida).</w:t>
      </w:r>
    </w:p>
    <w:p>
      <w:pPr>
        <w:pStyle w:val="ListParagraph"/>
        <w:numPr>
          <w:ilvl w:val="0"/>
          <w:numId w:val="2"/>
        </w:numPr>
        <w:spacing w:after="60" w:before="60"/>
      </w:pPr>
      <w:r>
        <w:rPr>
          <w:rFonts w:ascii="Calibri" w:cs="Calibri" w:eastAsia="Calibri" w:hAnsi="Calibri"/>
          <w:sz w:val="22"/>
          <w:szCs w:val="22"/>
        </w:rPr>
        <w:t xml:space="preserve">Si está regulada: datos de la autorización administrativa o colegio profesional.</w:t>
      </w:r>
    </w:p>
    <w:p>
      <w:pPr>
        <w:spacing w:after="0" w:before="0"/>
      </w:pPr>
      <w:r>
        <w:t xml:space="preserve"/>
      </w:r>
    </w:p>
    <w:p>
      <w:pPr>
        <w:pStyle w:val="Heading2"/>
        <w:spacing w:after="80" w:before="240"/>
      </w:pPr>
      <w:r>
        <w:rPr>
          <w:rFonts w:ascii="Calibri" w:cs="Calibri" w:eastAsia="Calibri" w:hAnsi="Calibri"/>
          <w:b/>
          <w:bCs/>
          <w:color w:val="2E86DE"/>
          <w:sz w:val="24"/>
          <w:szCs w:val="24"/>
        </w:rPr>
        <w:t xml:space="preserve">3.5 Condiciones para Transportistas (documento específico)</w:t>
      </w:r>
    </w:p>
    <w:p>
      <w:pPr>
        <w:spacing w:after="100" w:before="80"/>
        <w:jc w:val="both"/>
      </w:pPr>
      <w:r>
        <w:rPr>
          <w:rFonts w:ascii="Calibri" w:cs="Calibri" w:eastAsia="Calibri" w:hAnsi="Calibri"/>
          <w:sz w:val="22"/>
          <w:szCs w:val="22"/>
        </w:rPr>
        <w:t xml:space="preserve">Dado que PIXPAX incluye un perfil de Conductor/Transportista que ejerce una actividad profesional regulada, se recomienda un documento específico que detalle las condiciones y requisitos legales aplicables a este perfil.</w:t>
      </w:r>
    </w:p>
    <w:p>
      <w:pPr>
        <w:spacing w:after="0" w:before="0"/>
      </w:pPr>
      <w:r>
        <w:t xml:space="preserve"/>
      </w:r>
    </w:p>
    <w:p>
      <w:pPr>
        <w:spacing w:after="100" w:before="80"/>
        <w:jc w:val="both"/>
      </w:pPr>
      <w:r>
        <w:rPr>
          <w:rFonts w:ascii="Calibri" w:cs="Calibri" w:eastAsia="Calibri" w:hAnsi="Calibri"/>
          <w:b/>
          <w:bCs/>
          <w:sz w:val="22"/>
          <w:szCs w:val="22"/>
        </w:rPr>
        <w:t xml:space="preserve">Contenido mínimo recomendado:</w:t>
      </w:r>
    </w:p>
    <w:p>
      <w:pPr>
        <w:pStyle w:val="ListParagraph"/>
        <w:numPr>
          <w:ilvl w:val="0"/>
          <w:numId w:val="2"/>
        </w:numPr>
        <w:spacing w:after="60" w:before="60"/>
      </w:pPr>
      <w:r>
        <w:rPr>
          <w:rFonts w:ascii="Calibri" w:cs="Calibri" w:eastAsia="Calibri" w:hAnsi="Calibri"/>
          <w:sz w:val="22"/>
          <w:szCs w:val="22"/>
        </w:rPr>
        <w:t xml:space="preserve">Requisitos legales para operar: carné de conducir vigente y adecuado al vehículo (B, C1, C, CE).</w:t>
      </w:r>
    </w:p>
    <w:p>
      <w:pPr>
        <w:pStyle w:val="ListParagraph"/>
        <w:numPr>
          <w:ilvl w:val="0"/>
          <w:numId w:val="2"/>
        </w:numPr>
        <w:spacing w:after="60" w:before="60"/>
      </w:pPr>
      <w:r>
        <w:rPr>
          <w:rFonts w:ascii="Calibri" w:cs="Calibri" w:eastAsia="Calibri" w:hAnsi="Calibri"/>
          <w:sz w:val="22"/>
          <w:szCs w:val="22"/>
        </w:rPr>
        <w:t xml:space="preserve">Tarjeta de Transporte: obligatoria para vehículos de más de 3.500 kg (LOTT). Debe aportarse en el proceso de verificación.</w:t>
      </w:r>
    </w:p>
    <w:p>
      <w:pPr>
        <w:pStyle w:val="ListParagraph"/>
        <w:numPr>
          <w:ilvl w:val="0"/>
          <w:numId w:val="2"/>
        </w:numPr>
        <w:spacing w:after="60" w:before="60"/>
      </w:pPr>
      <w:r>
        <w:rPr>
          <w:rFonts w:ascii="Calibri" w:cs="Calibri" w:eastAsia="Calibri" w:hAnsi="Calibri"/>
          <w:sz w:val="22"/>
          <w:szCs w:val="22"/>
        </w:rPr>
        <w:t xml:space="preserve">Seguro de mercancías: es responsabilidad del transportista contar con un seguro que cubra daños a la carga.</w:t>
      </w:r>
    </w:p>
    <w:p>
      <w:pPr>
        <w:pStyle w:val="ListParagraph"/>
        <w:numPr>
          <w:ilvl w:val="0"/>
          <w:numId w:val="2"/>
        </w:numPr>
        <w:spacing w:after="60" w:before="60"/>
      </w:pPr>
      <w:r>
        <w:rPr>
          <w:rFonts w:ascii="Calibri" w:cs="Calibri" w:eastAsia="Calibri" w:hAnsi="Calibri"/>
          <w:sz w:val="22"/>
          <w:szCs w:val="22"/>
        </w:rPr>
        <w:t xml:space="preserve">ITV del vehículo: el vehículo debe estar al corriente de la inspección técnica.</w:t>
      </w:r>
    </w:p>
    <w:p>
      <w:pPr>
        <w:pStyle w:val="ListParagraph"/>
        <w:numPr>
          <w:ilvl w:val="0"/>
          <w:numId w:val="2"/>
        </w:numPr>
        <w:spacing w:after="60" w:before="60"/>
      </w:pPr>
      <w:r>
        <w:rPr>
          <w:rFonts w:ascii="Calibri" w:cs="Calibri" w:eastAsia="Calibri" w:hAnsi="Calibri"/>
          <w:sz w:val="22"/>
          <w:szCs w:val="22"/>
        </w:rPr>
        <w:t xml:space="preserve">Responsabilidad sobre la carga: el transportista asume la responsabilidad de la mercancía desde la recogida hasta la entrega.</w:t>
      </w:r>
    </w:p>
    <w:p>
      <w:pPr>
        <w:pStyle w:val="ListParagraph"/>
        <w:numPr>
          <w:ilvl w:val="0"/>
          <w:numId w:val="2"/>
        </w:numPr>
        <w:spacing w:after="60" w:before="60"/>
      </w:pPr>
      <w:r>
        <w:rPr>
          <w:rFonts w:ascii="Calibri" w:cs="Calibri" w:eastAsia="Calibri" w:hAnsi="Calibri"/>
          <w:sz w:val="22"/>
          <w:szCs w:val="22"/>
        </w:rPr>
        <w:t xml:space="preserve">Proceso de validación en PIXPAX: el botón de disponibilidad solo se activa una vez que el equipo de PIXPAX verifica la documentación aportada.</w:t>
      </w:r>
    </w:p>
    <w:p>
      <w:pPr>
        <w:pStyle w:val="ListParagraph"/>
        <w:numPr>
          <w:ilvl w:val="0"/>
          <w:numId w:val="2"/>
        </w:numPr>
        <w:spacing w:after="60" w:before="60"/>
      </w:pPr>
      <w:r>
        <w:rPr>
          <w:rFonts w:ascii="Calibri" w:cs="Calibri" w:eastAsia="Calibri" w:hAnsi="Calibri"/>
          <w:sz w:val="22"/>
          <w:szCs w:val="22"/>
        </w:rPr>
        <w:t xml:space="preserve">Comisión de la plataforma: porcentaje que PIXPAX retiene sobre cada viaje completado (a definir).</w:t>
      </w:r>
    </w:p>
    <w:p>
      <w:pPr>
        <w:pStyle w:val="ListParagraph"/>
        <w:numPr>
          <w:ilvl w:val="0"/>
          <w:numId w:val="2"/>
        </w:numPr>
        <w:spacing w:after="60" w:before="60"/>
      </w:pPr>
      <w:r>
        <w:rPr>
          <w:rFonts w:ascii="Calibri" w:cs="Calibri" w:eastAsia="Calibri" w:hAnsi="Calibri"/>
          <w:sz w:val="22"/>
          <w:szCs w:val="22"/>
        </w:rPr>
        <w:t xml:space="preserve">Causas de suspensión de cuenta: valoraciones negativas reiteradas, documentación caducada, incumplimientos graves.</w:t>
      </w:r>
    </w:p>
    <w:p>
      <w:pPr>
        <w:spacing w:after="0" w:before="0"/>
      </w:pPr>
      <w:r>
        <w:t xml:space="preserve"/>
      </w:r>
    </w:p>
    <w:p>
      <w:pPr>
        <w:pStyle w:val="Heading1"/>
        <w:spacing w:after="120" w:before="360"/>
      </w:pPr>
      <w:r>
        <w:rPr>
          <w:rFonts w:ascii="Calibri" w:cs="Calibri" w:eastAsia="Calibri" w:hAnsi="Calibri"/>
          <w:b/>
          <w:bCs/>
          <w:color w:val="1E3A5F"/>
          <w:sz w:val="28"/>
          <w:szCs w:val="28"/>
        </w:rPr>
        <w:t xml:space="preserve">4. Cómo implementar esto en la app</w:t>
      </w:r>
    </w:p>
    <w:p>
      <w:pPr>
        <w:pStyle w:val="Heading2"/>
        <w:spacing w:after="80" w:before="240"/>
      </w:pPr>
      <w:r>
        <w:rPr>
          <w:rFonts w:ascii="Calibri" w:cs="Calibri" w:eastAsia="Calibri" w:hAnsi="Calibri"/>
          <w:b/>
          <w:bCs/>
          <w:color w:val="2E86DE"/>
          <w:sz w:val="24"/>
          <w:szCs w:val="24"/>
        </w:rPr>
        <w:t xml:space="preserve">4.1 Flujo recomendado para el usuario</w:t>
      </w:r>
    </w:p>
    <w:p>
      <w:pPr>
        <w:spacing w:after="100" w:before="80"/>
        <w:jc w:val="both"/>
      </w:pPr>
      <w:r>
        <w:rPr>
          <w:rFonts w:ascii="Calibri" w:cs="Calibri" w:eastAsia="Calibri" w:hAnsi="Calibri"/>
          <w:sz w:val="22"/>
          <w:szCs w:val="22"/>
        </w:rPr>
        <w:t xml:space="preserve">El momento de presentar los documentos legales es crítico para el cumplimiento normativo. Se recomienda el siguiente flujo:</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26"/>
      </w:tblGrid>
      <w:tr>
        <w:tc>
          <w:tcPr>
            <w:tcW w:type="dxa" w:w="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Paso</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Pantalla</w:t>
            </w:r>
          </w:p>
        </w:tc>
        <w:tc>
          <w:tcPr>
            <w:tcW w:type="dxa" w:w="5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Acción legal requerida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Pantalla de Registro</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19"/>
                <w:szCs w:val="19"/>
              </w:rPr>
              <w:t xml:space="preserve">Mostrar checkbox de aceptación de T&amp;C y Política de Privacidad con enlaces clickables a cada documento. Sin aceptación no se puede completar el registro. Guardar timestamp del consentimiento en base de datos.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Selección de rol</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19"/>
                <w:szCs w:val="19"/>
              </w:rPr>
              <w:t xml:space="preserve">Informar al usuario del rol que va a asumir. Si elige Transportista, advertir que necesitará documentación adicional.</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Onboarding Transportista</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19"/>
                <w:szCs w:val="19"/>
              </w:rPr>
              <w:t xml:space="preserve">Mostrar resumen de requisitos legales (carné, tarjeta transporte, seguro). Solicitar subida de documentos. Estado 'pendiente de validación' hasta revisión manual.</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Ajustes / Perfil</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19"/>
                <w:szCs w:val="19"/>
              </w:rPr>
              <w:t xml:space="preserve">Acceso permanente a T&amp;C, Política de Privacidad y Aviso Legal. Opción de ejercer derechos ARCO-POL y eliminar cuenta.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Actualización de T&amp;C</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19"/>
                <w:szCs w:val="19"/>
              </w:rPr>
              <w:t xml:space="preserve">Si se actualizan los T&amp;C, mostrar modal obligatorio al iniciar sesión. No permitir uso hasta nueva aceptación. Guardar nueva aceptación con timestamp.</w:t>
            </w:r>
          </w:p>
        </w:tc>
      </w:tr>
    </w:tbl>
    <w:p>
      <w:pPr>
        <w:spacing w:after="0" w:before="0"/>
      </w:pPr>
      <w:r>
        <w:t xml:space="preserve"/>
      </w:r>
    </w:p>
    <w:p>
      <w:pPr>
        <w:pStyle w:val="Heading2"/>
        <w:spacing w:after="80" w:before="240"/>
      </w:pPr>
      <w:r>
        <w:rPr>
          <w:rFonts w:ascii="Calibri" w:cs="Calibri" w:eastAsia="Calibri" w:hAnsi="Calibri"/>
          <w:b/>
          <w:bCs/>
          <w:color w:val="2E86DE"/>
          <w:sz w:val="24"/>
          <w:szCs w:val="24"/>
        </w:rPr>
        <w:t xml:space="preserve">4.2 Datos que debes guardar en base de datos</w:t>
      </w:r>
    </w:p>
    <w:p>
      <w:pPr>
        <w:spacing w:after="100" w:before="80"/>
        <w:jc w:val="both"/>
      </w:pPr>
      <w:r>
        <w:rPr>
          <w:rFonts w:ascii="Calibri" w:cs="Calibri" w:eastAsia="Calibri" w:hAnsi="Calibri"/>
          <w:sz w:val="22"/>
          <w:szCs w:val="22"/>
        </w:rPr>
        <w:t xml:space="preserve">Para demostrar el cumplimiento del RGPD en caso de inspección o reclamación, es obligatorio registrar el consentimiento explícito del usuario. Añade estos campos a la tabla usuario:</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Calibri" w:cs="Calibri" w:eastAsia="Calibri" w:hAnsi="Calibri"/>
                <w:b/>
                <w:bCs/>
                <w:color w:val="1E3A5F"/>
                <w:sz w:val="20"/>
                <w:szCs w:val="20"/>
              </w:rPr>
              <w:t xml:space="preserve">tc_accepted_at</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sz w:val="20"/>
                <w:szCs w:val="20"/>
              </w:rPr>
              <w:t xml:space="preserve">TIMESTAMP — Fecha y hora exacta en que el usuario aceptó los T&amp;C por primera vez.</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Calibri" w:cs="Calibri" w:eastAsia="Calibri" w:hAnsi="Calibri"/>
                <w:b/>
                <w:bCs/>
                <w:color w:val="1E3A5F"/>
                <w:sz w:val="20"/>
                <w:szCs w:val="20"/>
              </w:rPr>
              <w:t xml:space="preserve">tc_version</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sz w:val="20"/>
                <w:szCs w:val="20"/>
              </w:rPr>
              <w:t xml:space="preserve">VARCHAR — Versión de los T&amp;C aceptados (ej: '1.0', '1.1'). Crucial para re-mostrar si cambian.</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Calibri" w:cs="Calibri" w:eastAsia="Calibri" w:hAnsi="Calibri"/>
                <w:b/>
                <w:bCs/>
                <w:color w:val="1E3A5F"/>
                <w:sz w:val="20"/>
                <w:szCs w:val="20"/>
              </w:rPr>
              <w:t xml:space="preserve">privacy_accepted_at</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sz w:val="20"/>
                <w:szCs w:val="20"/>
              </w:rPr>
              <w:t xml:space="preserve">TIMESTAMP — Fecha y hora de aceptación de la Política de Privacidad.</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r>
              <w:rPr>
                <w:rFonts w:ascii="Calibri" w:cs="Calibri" w:eastAsia="Calibri" w:hAnsi="Calibri"/>
                <w:b/>
                <w:bCs/>
                <w:color w:val="1E3A5F"/>
                <w:sz w:val="20"/>
                <w:szCs w:val="20"/>
              </w:rPr>
              <w:t xml:space="preserve">marketing_consent</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sz w:val="20"/>
                <w:szCs w:val="20"/>
              </w:rPr>
              <w:t xml:space="preserve">BOOLEAN — Consentimiento para comunicaciones comerciales (opt-in separado, NO puede ir incluido en los T&amp;C generales).</w:t>
            </w:r>
          </w:p>
        </w:tc>
      </w:tr>
    </w:tbl>
    <w:p>
      <w:pPr>
        <w:spacing w:after="0" w:before="0"/>
      </w:pPr>
      <w:r>
        <w:t xml:space="preserve"/>
      </w:r>
    </w:p>
    <w:p>
      <w:pPr>
        <w:pStyle w:val="Heading2"/>
        <w:spacing w:after="80" w:before="240"/>
      </w:pPr>
      <w:r>
        <w:rPr>
          <w:rFonts w:ascii="Calibri" w:cs="Calibri" w:eastAsia="Calibri" w:hAnsi="Calibri"/>
          <w:b/>
          <w:bCs/>
          <w:color w:val="2E86DE"/>
          <w:sz w:val="24"/>
          <w:szCs w:val="24"/>
        </w:rPr>
        <w:t xml:space="preserve">4.3 Requisitos técnicos de presentación</w:t>
      </w:r>
    </w:p>
    <w:p>
      <w:pPr>
        <w:spacing w:after="100" w:before="80"/>
        <w:jc w:val="both"/>
      </w:pPr>
      <w:r>
        <w:rPr>
          <w:rFonts w:ascii="Calibri" w:cs="Calibri" w:eastAsia="Calibri" w:hAnsi="Calibri"/>
          <w:sz w:val="22"/>
          <w:szCs w:val="22"/>
        </w:rPr>
        <w:t xml:space="preserve">La normativa exige que los documentos legales sean accesibles, legibles y previos al consentimiento. Requisitos técnicos:</w:t>
      </w:r>
    </w:p>
    <w:p>
      <w:pPr>
        <w:pStyle w:val="ListParagraph"/>
        <w:numPr>
          <w:ilvl w:val="0"/>
          <w:numId w:val="2"/>
        </w:numPr>
        <w:spacing w:after="60" w:before="60"/>
      </w:pPr>
      <w:r>
        <w:rPr>
          <w:rFonts w:ascii="Calibri" w:cs="Calibri" w:eastAsia="Calibri" w:hAnsi="Calibri"/>
          <w:sz w:val="22"/>
          <w:szCs w:val="22"/>
        </w:rPr>
        <w:t xml:space="preserve">Los documentos deben estar disponibles en la app sin necesidad de iniciar sesión.</w:t>
      </w:r>
    </w:p>
    <w:p>
      <w:pPr>
        <w:pStyle w:val="ListParagraph"/>
        <w:numPr>
          <w:ilvl w:val="0"/>
          <w:numId w:val="2"/>
        </w:numPr>
        <w:spacing w:after="60" w:before="60"/>
      </w:pPr>
      <w:r>
        <w:rPr>
          <w:rFonts w:ascii="Calibri" w:cs="Calibri" w:eastAsia="Calibri" w:hAnsi="Calibri"/>
          <w:sz w:val="22"/>
          <w:szCs w:val="22"/>
        </w:rPr>
        <w:t xml:space="preserve">El texto debe ser legible: tamaño de fuente mínimo de 12px, contraste suficiente.</w:t>
      </w:r>
    </w:p>
    <w:p>
      <w:pPr>
        <w:pStyle w:val="ListParagraph"/>
        <w:numPr>
          <w:ilvl w:val="0"/>
          <w:numId w:val="2"/>
        </w:numPr>
        <w:spacing w:after="60" w:before="60"/>
      </w:pPr>
      <w:r>
        <w:rPr>
          <w:rFonts w:ascii="Calibri" w:cs="Calibri" w:eastAsia="Calibri" w:hAnsi="Calibri"/>
          <w:sz w:val="22"/>
          <w:szCs w:val="22"/>
        </w:rPr>
        <w:t xml:space="preserve">Los enlaces a T&amp;C y Política de Privacidad en el formulario de registro deben ser clickables (no solo texto plano).</w:t>
      </w:r>
    </w:p>
    <w:p>
      <w:pPr>
        <w:pStyle w:val="ListParagraph"/>
        <w:numPr>
          <w:ilvl w:val="0"/>
          <w:numId w:val="2"/>
        </w:numPr>
        <w:spacing w:after="60" w:before="60"/>
      </w:pPr>
      <w:r>
        <w:rPr>
          <w:rFonts w:ascii="Calibri" w:cs="Calibri" w:eastAsia="Calibri" w:hAnsi="Calibri"/>
          <w:sz w:val="22"/>
          <w:szCs w:val="22"/>
        </w:rPr>
        <w:t xml:space="preserve">El checkbox de aceptación debe ser desmarcado por defecto (opt-in activo, no opt-out).</w:t>
      </w:r>
    </w:p>
    <w:p>
      <w:pPr>
        <w:pStyle w:val="ListParagraph"/>
        <w:numPr>
          <w:ilvl w:val="0"/>
          <w:numId w:val="2"/>
        </w:numPr>
        <w:spacing w:after="60" w:before="60"/>
      </w:pPr>
      <w:r>
        <w:rPr>
          <w:rFonts w:ascii="Calibri" w:cs="Calibri" w:eastAsia="Calibri" w:hAnsi="Calibri"/>
          <w:sz w:val="22"/>
          <w:szCs w:val="22"/>
        </w:rPr>
        <w:t xml:space="preserve">Los documentos deben tener fecha de última actualización visible.</w:t>
      </w:r>
    </w:p>
    <w:p>
      <w:pPr>
        <w:pStyle w:val="ListParagraph"/>
        <w:numPr>
          <w:ilvl w:val="0"/>
          <w:numId w:val="2"/>
        </w:numPr>
        <w:spacing w:after="60" w:before="60"/>
      </w:pPr>
      <w:r>
        <w:rPr>
          <w:rFonts w:ascii="Calibri" w:cs="Calibri" w:eastAsia="Calibri" w:hAnsi="Calibri"/>
          <w:sz w:val="22"/>
          <w:szCs w:val="22"/>
        </w:rPr>
        <w:t xml:space="preserve">Deben poder descargarse o al menos verse en pantalla completa sin necesidad de salir de la app.</w:t>
      </w:r>
    </w:p>
    <w:p>
      <w:pPr>
        <w:spacing w:after="0" w:before="0"/>
      </w:pPr>
      <w:r>
        <w:t xml:space="preserve"/>
      </w:r>
    </w:p>
    <w:p>
      <w:pPr>
        <w:pStyle w:val="Heading1"/>
        <w:spacing w:after="120" w:before="360"/>
      </w:pPr>
      <w:r>
        <w:rPr>
          <w:rFonts w:ascii="Calibri" w:cs="Calibri" w:eastAsia="Calibri" w:hAnsi="Calibri"/>
          <w:b/>
          <w:bCs/>
          <w:color w:val="1E3A5F"/>
          <w:sz w:val="28"/>
          <w:szCs w:val="28"/>
        </w:rPr>
        <w:t xml:space="preserve">5. Checklist de cumplimiento legal</w:t>
      </w:r>
    </w:p>
    <w:p>
      <w:pPr>
        <w:spacing w:after="100" w:before="80"/>
        <w:jc w:val="both"/>
      </w:pPr>
      <w:r>
        <w:rPr>
          <w:rFonts w:ascii="Calibri" w:cs="Calibri" w:eastAsia="Calibri" w:hAnsi="Calibri"/>
          <w:sz w:val="22"/>
          <w:szCs w:val="22"/>
        </w:rPr>
        <w:t xml:space="preserve">Antes de publicar la app en Play Store, verifica que todos estos puntos están implementados: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426"/>
        <w:gridCol w:w="200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w:t>
            </w:r>
          </w:p>
        </w:tc>
        <w:tc>
          <w:tcPr>
            <w:tcW w:type="dxa" w:w="64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Elemento a verificar</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Estado</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1</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T&amp;C redactados, con versión y fecha de actualización visible</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Calibri" w:cs="Calibri" w:eastAsia="Calibri" w:hAnsi="Calibri"/>
                <w:color w:val="856404"/>
                <w:sz w:val="19"/>
                <w:szCs w:val="19"/>
              </w:rPr>
              <w:t xml:space="preserve">⬜ Pendiente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2</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Política de Privacidad completa conforme al Art. 13 RGPD</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Calibri" w:cs="Calibri" w:eastAsia="Calibri" w:hAnsi="Calibri"/>
                <w:color w:val="856404"/>
                <w:sz w:val="19"/>
                <w:szCs w:val="19"/>
              </w:rPr>
              <w:t xml:space="preserve">⬜ Pendiente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3</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Aviso Legal con datos del responsable del servicio (LSSI-CE)</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Calibri" w:cs="Calibri" w:eastAsia="Calibri" w:hAnsi="Calibri"/>
                <w:color w:val="856404"/>
                <w:sz w:val="19"/>
                <w:szCs w:val="19"/>
              </w:rPr>
              <w:t xml:space="preserve">⬜ Pendiente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4</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Condiciones específicas para Transportistas redactadas</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Calibri" w:cs="Calibri" w:eastAsia="Calibri" w:hAnsi="Calibri"/>
                <w:color w:val="856404"/>
                <w:sz w:val="19"/>
                <w:szCs w:val="19"/>
              </w:rPr>
              <w:t xml:space="preserve">⬜ Pendiente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5</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Checkbox de aceptación desmarcado por defecto en el registro</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Calibri" w:cs="Calibri" w:eastAsia="Calibri" w:hAnsi="Calibri"/>
                <w:color w:val="856404"/>
                <w:sz w:val="19"/>
                <w:szCs w:val="19"/>
              </w:rPr>
              <w:t xml:space="preserve">⬜ Pendiente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6</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Timestamp de aceptación guardado en base de datos</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Calibri" w:cs="Calibri" w:eastAsia="Calibri" w:hAnsi="Calibri"/>
                <w:color w:val="856404"/>
                <w:sz w:val="19"/>
                <w:szCs w:val="19"/>
              </w:rPr>
              <w:t xml:space="preserve">⬜ Pendiente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7</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Versión de T&amp;C aceptada guardada por usuario</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Calibri" w:cs="Calibri" w:eastAsia="Calibri" w:hAnsi="Calibri"/>
                <w:color w:val="856404"/>
                <w:sz w:val="19"/>
                <w:szCs w:val="19"/>
              </w:rPr>
              <w:t xml:space="preserve">⬜ Pendiente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8</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Consentimiento de marketing separado del consentimiento general</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Calibri" w:cs="Calibri" w:eastAsia="Calibri" w:hAnsi="Calibri"/>
                <w:color w:val="856404"/>
                <w:sz w:val="19"/>
                <w:szCs w:val="19"/>
              </w:rPr>
              <w:t xml:space="preserve">⬜ Pendiente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9</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Acceso a documentos sin necesidad de login</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Calibri" w:cs="Calibri" w:eastAsia="Calibri" w:hAnsi="Calibri"/>
                <w:color w:val="856404"/>
                <w:sz w:val="19"/>
                <w:szCs w:val="19"/>
              </w:rPr>
              <w:t xml:space="preserve">⬜ Pendiente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10</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Opción de eliminar cuenta y ejercer derechos ARCO-POL en Ajustes</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Calibri" w:cs="Calibri" w:eastAsia="Calibri" w:hAnsi="Calibri"/>
                <w:color w:val="856404"/>
                <w:sz w:val="19"/>
                <w:szCs w:val="19"/>
              </w:rPr>
              <w:t xml:space="preserve">⬜ Pendiente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11</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Proceso de validación de documentos del transportista implementado</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Calibri" w:cs="Calibri" w:eastAsia="Calibri" w:hAnsi="Calibri"/>
                <w:color w:val="856404"/>
                <w:sz w:val="19"/>
                <w:szCs w:val="19"/>
              </w:rPr>
              <w:t xml:space="preserve">⬜ Pendiente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12</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Botón ON/OFF bloqueado hasta validación documental completa</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Calibri" w:cs="Calibri" w:eastAsia="Calibri" w:hAnsi="Calibri"/>
                <w:color w:val="856404"/>
                <w:sz w:val="19"/>
                <w:szCs w:val="19"/>
              </w:rPr>
              <w:t xml:space="preserve">⬜ Pendiente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13</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Transferencias internacionales informadas (Firebase/Google)</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Calibri" w:cs="Calibri" w:eastAsia="Calibri" w:hAnsi="Calibri"/>
                <w:color w:val="856404"/>
                <w:sz w:val="19"/>
                <w:szCs w:val="19"/>
              </w:rPr>
              <w:t xml:space="preserve">⬜ Pendiente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Calibri" w:cs="Calibri" w:eastAsia="Calibri" w:hAnsi="Calibri"/>
                <w:b/>
                <w:bCs/>
                <w:color w:val="2E86DE"/>
                <w:sz w:val="20"/>
                <w:szCs w:val="20"/>
              </w:rPr>
              <w:t xml:space="preserve">14</w:t>
            </w:r>
          </w:p>
        </w:tc>
        <w:tc>
          <w:tcPr>
            <w:tcW w:type="dxa" w:w="6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Política de Privacidad enlazada en Play Store (obligatorio por Google)</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Calibri" w:cs="Calibri" w:eastAsia="Calibri" w:hAnsi="Calibri"/>
                <w:color w:val="856404"/>
                <w:sz w:val="19"/>
                <w:szCs w:val="19"/>
              </w:rPr>
              <w:t xml:space="preserve">⬜ Pendiente</w:t>
            </w:r>
          </w:p>
        </w:tc>
      </w:tr>
    </w:tbl>
    <w:p>
      <w:pPr>
        <w:spacing w:after="0" w:before="0"/>
      </w:pPr>
      <w:r>
        <w:t xml:space="preserve"/>
      </w:r>
    </w:p>
    <w:p>
      <w:pPr>
        <w:pStyle w:val="Heading1"/>
        <w:spacing w:after="120" w:before="360"/>
      </w:pPr>
      <w:r>
        <w:rPr>
          <w:rFonts w:ascii="Calibri" w:cs="Calibri" w:eastAsia="Calibri" w:hAnsi="Calibri"/>
          <w:b/>
          <w:bCs/>
          <w:color w:val="1E3A5F"/>
          <w:sz w:val="28"/>
          <w:szCs w:val="28"/>
        </w:rPr>
        <w:t xml:space="preserve">6. Notas importantes para el TFG</w:t>
      </w:r>
    </w:p>
    <w:p>
      <w:pPr>
        <w:spacing w:after="100" w:before="80"/>
        <w:jc w:val="both"/>
      </w:pPr>
      <w:r>
        <w:rPr>
          <w:rFonts w:ascii="Calibri" w:cs="Calibri" w:eastAsia="Calibri" w:hAnsi="Calibri"/>
          <w:sz w:val="22"/>
          <w:szCs w:val="22"/>
        </w:rPr>
        <w:t xml:space="preserve">Para el Proyecto Intermodular (TFG), la sección 4.1 del documento (Análisis del sistema) debe mencionar el cumplimiento legal como requisito no funcional. Se recomienda incluir:</w:t>
      </w:r>
    </w:p>
    <w:p>
      <w:pPr>
        <w:pStyle w:val="ListParagraph"/>
        <w:numPr>
          <w:ilvl w:val="0"/>
          <w:numId w:val="2"/>
        </w:numPr>
        <w:spacing w:after="60" w:before="60"/>
      </w:pPr>
      <w:r>
        <w:rPr>
          <w:rFonts w:ascii="Calibri" w:cs="Calibri" w:eastAsia="Calibri" w:hAnsi="Calibri"/>
          <w:sz w:val="22"/>
          <w:szCs w:val="22"/>
        </w:rPr>
        <w:t xml:space="preserve">RNF-01: La aplicación debe cumplir con el RGPD (UE 2016/679) y la LOPD-GDD (LO 3/2018) en el tratamiento de datos personales.</w:t>
      </w:r>
    </w:p>
    <w:p>
      <w:pPr>
        <w:pStyle w:val="ListParagraph"/>
        <w:numPr>
          <w:ilvl w:val="0"/>
          <w:numId w:val="2"/>
        </w:numPr>
        <w:spacing w:after="60" w:before="60"/>
      </w:pPr>
      <w:r>
        <w:rPr>
          <w:rFonts w:ascii="Calibri" w:cs="Calibri" w:eastAsia="Calibri" w:hAnsi="Calibri"/>
          <w:sz w:val="22"/>
          <w:szCs w:val="22"/>
        </w:rPr>
        <w:t xml:space="preserve">RNF-02: Los documentos legales deben estar accesibles desde la app en todo momento y sin necesidad de autenticación.</w:t>
      </w:r>
    </w:p>
    <w:p>
      <w:pPr>
        <w:pStyle w:val="ListParagraph"/>
        <w:numPr>
          <w:ilvl w:val="0"/>
          <w:numId w:val="2"/>
        </w:numPr>
        <w:spacing w:after="60" w:before="60"/>
      </w:pPr>
      <w:r>
        <w:rPr>
          <w:rFonts w:ascii="Calibri" w:cs="Calibri" w:eastAsia="Calibri" w:hAnsi="Calibri"/>
          <w:sz w:val="22"/>
          <w:szCs w:val="22"/>
        </w:rPr>
        <w:t xml:space="preserve">RNF-03: El consentimiento del usuario debe ser explícito, registrado con timestamp y versión del documento aceptado.</w:t>
      </w:r>
    </w:p>
    <w:p>
      <w:pPr>
        <w:pStyle w:val="ListParagraph"/>
        <w:numPr>
          <w:ilvl w:val="0"/>
          <w:numId w:val="2"/>
        </w:numPr>
        <w:spacing w:after="60" w:before="60"/>
      </w:pPr>
      <w:r>
        <w:rPr>
          <w:rFonts w:ascii="Calibri" w:cs="Calibri" w:eastAsia="Calibri" w:hAnsi="Calibri"/>
          <w:sz w:val="22"/>
          <w:szCs w:val="22"/>
        </w:rPr>
        <w:t xml:space="preserve">RNF-04: El sistema de validación documental del transportista debe garantizar que ningún conductor opere sin documentación verificada.</w:t>
      </w:r>
    </w:p>
    <w:p>
      <w:pPr>
        <w:spacing w:after="0" w:before="0"/>
      </w:pPr>
      <w:r>
        <w:t xml:space="preserve"/>
      </w:r>
    </w:p>
    <w:p>
      <w:pPr>
        <w:spacing w:after="100" w:before="80"/>
        <w:jc w:val="both"/>
      </w:pPr>
      <w:r>
        <w:rPr>
          <w:rFonts w:ascii="Calibri" w:cs="Calibri" w:eastAsia="Calibri" w:hAnsi="Calibri"/>
          <w:i/>
          <w:iCs/>
          <w:color w:val="C0392B"/>
          <w:sz w:val="22"/>
          <w:szCs w:val="22"/>
        </w:rPr>
        <w:t xml:space="preserve">AVISO: Este documento ha sido generado como guía de referencia para el desarrollo. Los textos legales definitivos que se muestren a los usuarios deben ser revisados por un profesional del derecho antes de la publicación comercial de la aplicación.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PIXPAX — Documentación legal interna — Página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Calibri" w:cs="Calibri" w:eastAsia="Calibri" w:hAnsi="Calibri"/>
      <w:b/>
      <w:bCs/>
      <w:color w:val="1E3A5F"/>
      <w:sz w:val="28"/>
      <w:szCs w:val="28"/>
    </w:rPr>
  </w:style>
  <w:style w:type="paragraph" w:styleId="Heading2">
    <w:name w:val="Heading 2"/>
    <w:basedOn w:val="Normal"/>
    <w:next w:val="Normal"/>
    <w:pPr>
      <w:spacing w:after="80" w:before="240"/>
      <w:outlineLvl w:val="1"/>
    </w:pPr>
    <w:rPr>
      <w:rFonts w:ascii="Calibri" w:cs="Calibri" w:eastAsia="Calibri" w:hAnsi="Calibri"/>
      <w:b/>
      <w:bCs/>
      <w:color w:val="2E86D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2026-05-05T18:05:14.643Z</dcterms:created>
  <dcterms:modified xsi:type="dcterms:W3CDTF">2026-05-05T18:05:14.644Z</dcterms:modified>
</cp:coreProperties>
</file>

<file path=docProps/custom.xml><?xml version="1.0" encoding="utf-8"?>
<Properties xmlns="http://schemas.openxmlformats.org/officeDocument/2006/custom-properties" xmlns:vt="http://schemas.openxmlformats.org/officeDocument/2006/docPropsVTypes"/>
</file>