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FF8E3B"/>
          <w:sz w:val="72"/>
          <w:szCs w:val="72"/>
        </w:rPr>
        <w:t xml:space="preserve">PIXPAX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2850"/>
          <w:sz w:val="36"/>
          <w:szCs w:val="36"/>
        </w:rPr>
        <w:t xml:space="preserve">Diseño de Base de Datos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7470"/>
          <w:sz w:val="22"/>
          <w:szCs w:val="22"/>
        </w:rPr>
        <w:t xml:space="preserve">Proyecto Intermodular — Desarrollo de Aplicaciones Multiplataforma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A7470"/>
          <w:sz w:val="20"/>
          <w:szCs w:val="20"/>
        </w:rPr>
        <w:t xml:space="preserve">v2.0 — Mayo 2026  |  Actualizado con catálogo ampliado de vehículos y mercancías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2850"/>
          <w:sz w:val="28"/>
          <w:szCs w:val="28"/>
        </w:rPr>
        <w:t xml:space="preserve">1. Descripción general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La base de datos de PIXPAX está diseñada sobre MySQL 8 siguiendo el modelo relacional. Contiene 5 tablas principales que cubren las entidades del dominio: usuarios (clientes y transportistas), vehículos, tipos de mercancía, la relación de compatibilidad entre vehículos y mercancías, y los viajes.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Se utilizan ENUMs nativos de MySQL para modelar los estados finitos del sistema, lo que garantiza integridad a nivel de base de datos. En esta versión 2.0 se amplían los catálogos de tipos de vehículo (7 categorías) y tipos de mercancía (12 categorías), y se añaden campos adicionales a la tabla vehiculo para reflejar requisitos legales y técnicos reales.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2850"/>
          <w:sz w:val="28"/>
          <w:szCs w:val="28"/>
        </w:rPr>
        <w:t xml:space="preserve">2. Tablas del sistema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2.1 Tabla: usuario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Tabla central del sistema. Almacena tanto clientes como transportistas, diferenciados por el campo rol. Un único registro por persona evita duplicidades y simplifica la gestión de sesiones.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26"/>
        <w:gridCol w:w="3100"/>
      </w:tblGrid>
      <w:tr>
        <w:tc>
          <w:tcPr>
            <w:tcW w:type="dxa" w:w="9026"/>
            <w:gridSpan w:val="4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18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Identificador único del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Nombre del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apellidos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Apellidos del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Correo electrónico — usado como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Contraseña cifrada con BCrypt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ENUM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CLIENTE o TRANSPORTISTA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Fecha de registro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2.2 Tabla: vehiculo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Registra los vehículos que los transportistas dan de alta en la plataforma. Actualizada en v2.0 con campos adicionales: subtipo (subclasificación del vehículo), tara_kg (peso en vacío), mma_kg (masa máxima autorizada) y carnet_requerido (tipo de licencia necesaria según la normativa española de transporte).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26"/>
        <w:gridCol w:w="3100"/>
      </w:tblGrid>
      <w:tr>
        <w:tc>
          <w:tcPr>
            <w:tcW w:type="dxa" w:w="9026"/>
            <w:gridSpan w:val="4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VEHICULO — actualizado</w:t>
            </w:r>
          </w:p>
        </w:tc>
      </w:tr>
      <w:tr>
        <w:tc>
          <w:tcPr>
            <w:tcW w:type="dxa" w:w="18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Identificador único del vehículo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matricula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Matrícula del vehículo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Marca del vehículo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Modelo del vehículo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tipo_vehiculo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ENUM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Categoría principal del vehículo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subtipo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Subclasificación (ej. Compacta, Mediana, Volume alto)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tara_kg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Peso en vacío del vehículo (kg)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capacidad_kg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Carga útil máxima en kilogramos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mma_kg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Masa Máxima Autorizada (kg)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carnet_requerido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ENUM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 DEFAULT 'B'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Carnet de conducir necesario: B, C1, C, C+E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transportista_id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FK → usuario.id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Propietario del vehículo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1E8" w:val="clear"/>
        <w:spacing w:after="60" w:before="60"/>
      </w:pPr>
      <w:r>
        <w:rPr>
          <w:rFonts w:ascii="Arial" w:cs="Arial" w:eastAsia="Arial" w:hAnsi="Arial"/>
          <w:i/>
          <w:iCs/>
          <w:color w:val="2D2850"/>
          <w:sz w:val="18"/>
          <w:szCs w:val="18"/>
        </w:rPr>
        <w:t xml:space="preserve">ℹ  Los campos tara_kg y mma_kg permiten al sistema validar que el peso de la mercancía solicitada no supere la carga útil del vehículo. El campo carnet_requerido es clave para la validación del perfil del transportista en el onboarding.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2.3 Tabla: tipo_mercancia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Catálogo de categorías de mercancía que el sistema reconoce. Ampliado de 6 a 12 tipos en v2.0. Se añade el campo nombre_db con el identificador snake_case utilizado en la API. Se pre-popula con datos semilla en el arranque de la aplicación.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26"/>
        <w:gridCol w:w="3100"/>
      </w:tblGrid>
      <w:tr>
        <w:tc>
          <w:tcPr>
            <w:tcW w:type="dxa" w:w="9026"/>
            <w:gridSpan w:val="4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TIPO_MERCANCIA — ampliada</w:t>
            </w:r>
          </w:p>
        </w:tc>
      </w:tr>
      <w:tr>
        <w:tc>
          <w:tcPr>
            <w:tcW w:type="dxa" w:w="18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Identificador del tipo de mercancía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Nombre de la categoría (legible)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nombre_db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Clave snake_case para uso interno en la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Descripción informativa del tipo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2.4 Tabla: vehiculo_tipo_mercancia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Tabla de unión N:M entre vehículos y tipos de mercancía. Actualizada en v2.0 con el campo compatible (ENUM: SI / CON_REQUISITOS) para poder registrar compatibilidades condicionales — por ejemplo, un camión C1 puede transportar alimentos frescos solo si dispone de módulo frigorífico homologado.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2263"/>
        <w:gridCol w:w="4500"/>
      </w:tblGrid>
      <w:tr>
        <w:tc>
          <w:tcPr>
            <w:tcW w:type="dxa" w:w="9026"/>
            <w:gridSpan w:val="3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VEHICULO_TIPO_MERCANCIA — actualizada</w:t>
            </w:r>
          </w:p>
        </w:tc>
      </w:tr>
      <w:tr>
        <w:tc>
          <w:tcPr>
            <w:tcW w:type="dxa" w:w="226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6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/ Descripción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vehiculo_id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 — PK, FK → vehiculo.id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Referencia al vehículo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tipo_mercancia_id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 — PK, FK → tipo_mercancia.id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Referencia al tipo de mercancía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compatible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ENUM — NOT NULL DEFAULT 'SI'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SI | CON_REQUISITOS — compatibilidad condicional (ADR, frío, GDP...)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1E8" w:val="clear"/>
        <w:spacing w:after="60" w:before="60"/>
      </w:pPr>
      <w:r>
        <w:rPr>
          <w:rFonts w:ascii="Arial" w:cs="Arial" w:eastAsia="Arial" w:hAnsi="Arial"/>
          <w:i/>
          <w:iCs/>
          <w:color w:val="2D2850"/>
          <w:sz w:val="18"/>
          <w:szCs w:val="18"/>
        </w:rPr>
        <w:t xml:space="preserve">ℹ  La compatibilidad CON_REQUISITOS implica que la lógica de negocio (capa Service) debe verificar los requisitos adicionales antes de asignar el viaje al transportista.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2.5 Tabla: viaje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Entidad central de la operativa. Registra cada solicitud de transporte desde su creación hasta su finalización. Los campos transportista_id y vehiculo_id son NULL en el momento de creación (estado PENDIENTE) y se rellenan cuando un transportista acepta el viaje.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126"/>
        <w:gridCol w:w="3100"/>
      </w:tblGrid>
      <w:tr>
        <w:tc>
          <w:tcPr>
            <w:tcW w:type="dxa" w:w="9026"/>
            <w:gridSpan w:val="4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VIAJE</w:t>
            </w:r>
          </w:p>
        </w:tc>
      </w:tr>
      <w:tr>
        <w:tc>
          <w:tcPr>
            <w:tcW w:type="dxa" w:w="19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Identificador del viaje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FK → usuario.id, 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Cliente que solicita el servicio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transportista_id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FK → usuario.id,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Transportista asignado (tras aceptación)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vehiculo_id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FK → vehiculo.id,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Vehículo utilizado (tras aceptación)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tipo_mercancia_id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BIGINT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FK → tipo_mercancia.id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Categoría de mercancía del envío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descripcion_mercancia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Descripción libre de la carga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direccion_recogida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Punto de origen del envío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direccion_entrega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Punto de destino del envío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peso_kg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Peso estimado de la mercancía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ENUM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NOT NULL, DEFAULT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Estado actual del viaje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fecha_solicitud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Momento de creación del viaje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Momento en que el transportista sale a recoger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fecha_fin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Momento de entrega completada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2850"/>
          <w:sz w:val="28"/>
          <w:szCs w:val="28"/>
        </w:rPr>
        <w:t xml:space="preserve">3. Relaciones entre tablas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26"/>
        <w:gridCol w:w="4100"/>
      </w:tblGrid>
      <w:tr>
        <w:tc>
          <w:tcPr>
            <w:tcW w:type="dxa" w:w="9026"/>
            <w:gridSpan w:val="4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 entre tablas</w:t>
            </w:r>
          </w:p>
        </w:tc>
      </w:tr>
      <w:tr>
        <w:tc>
          <w:tcPr>
            <w:tcW w:type="dxa" w:w="18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18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</w:t>
            </w:r>
          </w:p>
        </w:tc>
        <w:tc>
          <w:tcPr>
            <w:tcW w:type="dxa" w:w="13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41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vehiculo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E3B"/>
                <w:sz w:val="18"/>
                <w:szCs w:val="18"/>
              </w:rPr>
              <w:t xml:space="preserve">1 :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Un transportista puede tener varios vehículos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usuario (cliente)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viaje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E3B"/>
                <w:sz w:val="18"/>
                <w:szCs w:val="18"/>
              </w:rPr>
              <w:t xml:space="preserve">1 :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Un cliente puede tener varios viajes solicitados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usuario (transportista)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viaje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E3B"/>
                <w:sz w:val="18"/>
                <w:szCs w:val="18"/>
              </w:rPr>
              <w:t xml:space="preserve">1 :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Un transportista puede gestionar varios viajes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vehiculo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viaje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E3B"/>
                <w:sz w:val="18"/>
                <w:szCs w:val="18"/>
              </w:rPr>
              <w:t xml:space="preserve">1 :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Un vehículo puede ser asignado a varios viajes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vehiculo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vehiculo_tipo_mercancia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E3B"/>
                <w:sz w:val="18"/>
                <w:szCs w:val="18"/>
              </w:rPr>
              <w:t xml:space="preserve">1 :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Un vehículo acepta varios tipos de mercancía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tipo_mercancia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vehiculo_tipo_mercancia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E3B"/>
                <w:sz w:val="18"/>
                <w:szCs w:val="18"/>
              </w:rPr>
              <w:t xml:space="preserve">1 :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Un tipo puede ser aceptado por varios vehículos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tipo_mercancia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viaje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E3B"/>
                <w:sz w:val="18"/>
                <w:szCs w:val="18"/>
              </w:rPr>
              <w:t xml:space="preserve">1 :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Un tipo de mercancía aparece en varios viajes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2850"/>
          <w:sz w:val="28"/>
          <w:szCs w:val="28"/>
        </w:rPr>
        <w:t xml:space="preserve">4. ENUMs definidos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4.1 rol (tabla usuario)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6763"/>
      </w:tblGrid>
      <w:tr>
        <w:tc>
          <w:tcPr>
            <w:tcW w:type="dxa" w:w="9026"/>
            <w:gridSpan w:val="2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ENUM: rol</w:t>
            </w:r>
          </w:p>
        </w:tc>
      </w:tr>
      <w:tr>
        <w:tc>
          <w:tcPr>
            <w:tcW w:type="dxa" w:w="226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76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CLIENTE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Usuario que solicita servicios de transporte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TRANSPORTISTA</w:t>
            </w:r>
          </w:p>
        </w:tc>
        <w:tc>
          <w:tcPr>
            <w:tcW w:type="dxa" w:w="6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Usuario que ofrece y ejecuta servicios de transporte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4.2 tipo_vehiculo (tabla vehiculo) — v2.0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Actualizado en v2.0 para reflejar las categorías reales del mercado español de transporte de mercancías, incluyendo el carnet requerido y el rango de MMA (Masa Máxima Autorizada).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2263"/>
        <w:gridCol w:w="1500"/>
        <w:gridCol w:w="3000"/>
      </w:tblGrid>
      <w:tr>
        <w:tc>
          <w:tcPr>
            <w:tcW w:type="dxa" w:w="9026"/>
            <w:gridSpan w:val="4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ENUM: tipo_vehiculo — actualizado</w:t>
            </w:r>
          </w:p>
        </w:tc>
      </w:tr>
      <w:tr>
        <w:tc>
          <w:tcPr>
            <w:tcW w:type="dxa" w:w="226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6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MMA máx. (kg)</w:t>
            </w:r>
          </w:p>
        </w:tc>
        <w:tc>
          <w:tcPr>
            <w:tcW w:type="dxa" w:w="30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Carnet requerido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FURGONETA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Vehículo ligero de reparto. Compacta o mediana.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Hasta 3.500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FURGON_GRANDE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Furgón de alto volumen. Ideal para mobiliario.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Hasta 3.500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FRIGORIFICO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Vehículo con cámara de temperatura controlada.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Hasta 3.500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CAMION_LIGERO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Camión rígido pequeño para distribución regional.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3.500 – 7.500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CAMION_PESADO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Camión rígido de gran tonelaje. Requiere CAP.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&gt; 7.500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 + CAP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CAMION_ARTICULADO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Semirremolque. Para larga distancia. Requiere CAP.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Hasta 42.000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C+E + CAP</w:t>
            </w:r>
          </w:p>
        </w:tc>
      </w:tr>
      <w:tr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Vehículo para cargas voluminosas, palets o maquinaria.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C1/C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4.3 carnet_requerido (tabla vehiculo) — nuevo en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9026"/>
            <w:gridSpan w:val="3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ENUM: carnet_requerido (nuevo)</w:t>
            </w:r>
          </w:p>
        </w:tc>
      </w:tr>
      <w:tr>
        <w:tc>
          <w:tcPr>
            <w:tcW w:type="dxa" w:w="15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5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MMA</w:t>
            </w:r>
          </w:p>
        </w:tc>
        <w:tc>
          <w:tcPr>
            <w:tcW w:type="dxa" w:w="50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Hasta 3.500 kg MMA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Carnet estándar. Válido para furgonetas y furgones ligeros.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3.500 – 7.500 kg MMA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Requiere formación adicional. Para camiones ligeros de distribución regional.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Más de 7.500 kg MMA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Requiere CAP (Certificado de Aptitud Profesional). Para camiones pesados.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C+E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Articulado o con remolque &gt;750 kg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Requiere C previo y CAP. Para semirremolques y transporte de larga distancia.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8E3B"/>
          <w:sz w:val="22"/>
          <w:szCs w:val="22"/>
        </w:rPr>
        <w:t xml:space="preserve">4.4 estado (tabla viaje)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ENUM: estado (tabla viaje)</w:t>
            </w:r>
          </w:p>
        </w:tc>
      </w:tr>
      <w:tr>
        <w:tc>
          <w:tcPr>
            <w:tcW w:type="dxa" w:w="28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2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PENDIENTE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Viaje creado, esperando que un transportista lo acepte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ACEPTADO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Transportista asignado, aún no ha iniciado el desplazamiento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SALIDA_RECOGIDA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El transportista ha salido hacia el punto de recogida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LLEGADA_RECOGIDA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El transportista ha llegado al punto de recogida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MERCANCIA_RECOGIDA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La mercancía ha sido cargada en el vehículo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SALIDA_ENTREGA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El transportista ha salido hacia el punto de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LLEGADA_ENTREGA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El transportista ha llegado al punto de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COMPLETADO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Mercancía descargada y entrega finalizada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CANCELADO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Viaje cancelado por cliente o transportista (desde cualquier estado)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2850"/>
          <w:sz w:val="28"/>
          <w:szCs w:val="28"/>
        </w:rPr>
        <w:t xml:space="preserve">5. Datos semilla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Los siguientes registros se insertan automáticamente al iniciar la aplicación (data.sql o CommandLineRunner). En v2.0 se amplía de 6 a 12 tipos de mercancía. El campo nombre_db es el identificador utilizado internamente por la API REST para filtrar compatibilidades.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2000"/>
        <w:gridCol w:w="2226"/>
        <w:gridCol w:w="2700"/>
      </w:tblGrid>
      <w:tr>
        <w:tc>
          <w:tcPr>
            <w:tcW w:type="dxa" w:w="9026"/>
            <w:gridSpan w:val="5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semilla — tipo_mercancia (12 registros)</w:t>
            </w:r>
          </w:p>
        </w:tc>
      </w:tr>
      <w:tr>
        <w:tc>
          <w:tcPr>
            <w:tcW w:type="dxa" w:w="3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nombre_db</w:t>
            </w:r>
          </w:p>
        </w:tc>
        <w:tc>
          <w:tcPr>
            <w:tcW w:type="dxa" w:w="2226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Vehículo recomendado</w:t>
            </w:r>
          </w:p>
        </w:tc>
        <w:tc>
          <w:tcPr>
            <w:tcW w:type="dxa" w:w="27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Doc. especial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Paquetería 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paqueteria_general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Furgoneta / Furgón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Electrónica frágil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electronica_fragil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Furgón con protección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Alimentos frescos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alimentos_frescos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Frigorífico (0°C–8°C)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Alimentos congelados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alimentos_congelados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Frigorífico (&lt; -18°C)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Materiales construcción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materiales_construccion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Camión / Furgón carga pesada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Mobiliario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mobiliario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Furgón grande / Camión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Mercancía peligrosa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mercancia_peligrosa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Vehículo habilitado ADR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Sí — ADR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Productos farmacéuticos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productos_farmaceuticos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Furgón temp. controlada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GDP (recom.)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Textil y moda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textil_moda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Furgoneta / Furgón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Maquinaria industrial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maquinaria_industrial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Camión plataforma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Documentación y archivo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documentacion_archivo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Furgoneta estándar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Vehículos y automoción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E3B"/>
                <w:sz w:val="18"/>
                <w:szCs w:val="18"/>
              </w:rPr>
              <w:t xml:space="preserve">vehiculos_automocion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Camión plataforma / portaveh.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535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1E8" w:val="clear"/>
        <w:spacing w:after="60" w:before="60"/>
      </w:pPr>
      <w:r>
        <w:rPr>
          <w:rFonts w:ascii="Arial" w:cs="Arial" w:eastAsia="Arial" w:hAnsi="Arial"/>
          <w:i/>
          <w:iCs/>
          <w:color w:val="2D2850"/>
          <w:sz w:val="18"/>
          <w:szCs w:val="18"/>
        </w:rPr>
        <w:t xml:space="preserve">ℹ  Los tipos Alimentos congelados, Productos farmacéuticos, Maquinaria industrial, Vehículos y automoción añaden requisitos especiales de validación que deben implementarse en la capa Service antes de asignar un viaje.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2850"/>
          <w:sz w:val="28"/>
          <w:szCs w:val="28"/>
        </w:rPr>
        <w:t xml:space="preserve">6. Matriz de compatibilidad vehículo × mercancía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La siguiente tabla define qué tipos de mercancía puede transportar cada categoría de vehículo. Esta matriz es la base de la lógica de filtrado del endpoint GET /api/viajes/disponibles.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9026"/>
            <w:gridSpan w:val="8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Matriz de compatibilidad: Tipo de Vehículo × Tipo de Mercancía</w:t>
            </w:r>
          </w:p>
        </w:tc>
      </w:tr>
      <w:tr>
        <w:tc>
          <w:tcPr>
            <w:tcW w:type="dxa" w:w="2000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2D28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Mercancía ↓ / Vehículo →</w:t>
            </w:r>
          </w:p>
        </w:tc>
        <w:tc>
          <w:tcPr>
            <w:tcW w:type="dxa" w:w="100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Furgoneta</w:t>
            </w:r>
          </w:p>
        </w:tc>
        <w:tc>
          <w:tcPr>
            <w:tcW w:type="dxa" w:w="100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Furgón Grande</w:t>
            </w:r>
          </w:p>
        </w:tc>
        <w:tc>
          <w:tcPr>
            <w:tcW w:type="dxa" w:w="100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Frigorífico</w:t>
            </w:r>
          </w:p>
        </w:tc>
        <w:tc>
          <w:tcPr>
            <w:tcW w:type="dxa" w:w="100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Camión Ligero C1</w:t>
            </w:r>
          </w:p>
        </w:tc>
        <w:tc>
          <w:tcPr>
            <w:tcW w:type="dxa" w:w="100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Camión Pesado C</w:t>
            </w:r>
          </w:p>
        </w:tc>
        <w:tc>
          <w:tcPr>
            <w:tcW w:type="dxa" w:w="100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Camión Articulado C+E</w:t>
            </w:r>
          </w:p>
        </w:tc>
        <w:tc>
          <w:tcPr>
            <w:tcW w:type="dxa" w:w="1003"/>
            <w:gridSpan w:val="1"/>
            <w:tcBorders>
              <w:top w:val="single" w:color="2D2850" w:sz="1"/>
              <w:left w:val="single" w:color="2D2850" w:sz="1"/>
              <w:bottom w:val="single" w:color="2D2850" w:sz="1"/>
              <w:right w:val="single" w:color="2D2850" w:sz="1"/>
            </w:tcBorders>
            <w:shd w:fill="FF8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Paquetería general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Electrónica frágil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Alimentos frescos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Alimentos congelados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Mat. construcción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Mobiliario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Mercancía peligrosa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Prod. farmacéuticos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Textil y moda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Maquinaria industrial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850"/>
                <w:sz w:val="18"/>
                <w:szCs w:val="18"/>
              </w:rPr>
              <w:t xml:space="preserve">Vehículos / Automoción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❌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⚠️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F"/>
                <w:sz w:val="16"/>
                <w:szCs w:val="16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F"/>
          <w:sz w:val="18"/>
          <w:szCs w:val="18"/>
        </w:rPr>
        <w:t xml:space="preserve">✅ Compatible  </w:t>
      </w:r>
      <w:r>
        <w:rPr>
          <w:rFonts w:ascii="Arial" w:cs="Arial" w:eastAsia="Arial" w:hAnsi="Arial"/>
          <w:b/>
          <w:bCs/>
          <w:color w:val="8A5A00"/>
          <w:sz w:val="18"/>
          <w:szCs w:val="18"/>
        </w:rPr>
        <w:t xml:space="preserve">  ⚠️ Compatible con requisitos adicionales (ADR, frío, GDP...)  </w:t>
      </w: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  ❌ No compatible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2850"/>
          <w:sz w:val="28"/>
          <w:szCs w:val="28"/>
        </w:rPr>
        <w:t xml:space="preserve">7. Decisiones de diseño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Tabla única de usuarios con campo rol — evita duplicidades, simplifica el login y permite que un usuario pueda cambiar de rol en el futuro sin migración de datos.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transportista_id y vehiculo_id nullables en viaje — el viaje existe desde que el cliente lo crea, antes de que haya transportista disponible. Los NULL son semánticamente correctos en este contexto.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ENUMs en base de datos — garantizan integridad a nivel de motor, sin depender exclusivamente de la validación en la capa de aplicación.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Tabla vehiculo_tipo_mercancia con campo compatible — permite distinguir compatibilidades absolutas de condicionales (⚠️), facilitando la implementación de validaciones adicionales en la capa Service sin alterar el esquema.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Campos tara_kg y mma_kg en vehiculo — permiten calcular la carga útil real disponible y validar que el peso del viaje no supera la capacidad del vehículo.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Fechas de inicio y fin en viaje — permiten calcular la duración del servicio y son base para futuras métricas o facturación.</w:t>
      </w:r>
    </w:p>
    <w:p>
      <w:pPr>
        <w:spacing w:after="120" w:before="60"/>
      </w:pPr>
      <w:r>
        <w:rPr>
          <w:rFonts w:ascii="Arial" w:cs="Arial" w:eastAsia="Arial" w:hAnsi="Arial"/>
          <w:color w:val="1A1535"/>
          <w:sz w:val="20"/>
          <w:szCs w:val="20"/>
        </w:rPr>
        <w:t xml:space="preserve">Nombre_db en tipo_mercancia — desacopla el nombre de presentación del identificador técnico, facilitando cambios de naming sin afectar a la lógica de la API.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8E3B" w:sz="4" w:space="6"/>
      </w:pBdr>
      <w:tabs>
        <w:tab w:val="right" w:pos="9026"/>
      </w:tabs>
    </w:pPr>
    <w:r>
      <w:rPr>
        <w:rFonts w:ascii="Arial" w:cs="Arial" w:eastAsia="Arial" w:hAnsi="Arial"/>
        <w:color w:val="7A7470"/>
        <w:sz w:val="16"/>
        <w:szCs w:val="16"/>
      </w:rPr>
      <w:t xml:space="preserve">Adrián Salazar Nicolás  ·  Tutor: Andrés Dolón Sevilla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A7470"/>
        <w:sz w:val="16"/>
        <w:szCs w:val="16"/>
      </w:rPr>
      <w:t xml:space="preserve">Pág. </w:t>
    </w:r>
    <w:r>
      <w:rPr>
        <w:rFonts w:ascii="Arial" w:cs="Arial" w:eastAsia="Arial" w:hAnsi="Arial"/>
        <w:color w:val="7A747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E3B" w:sz="4" w:space="6"/>
      </w:pBdr>
    </w:pPr>
    <w:r>
      <w:rPr>
        <w:rFonts w:ascii="Arial" w:cs="Arial" w:eastAsia="Arial" w:hAnsi="Arial"/>
        <w:b/>
        <w:bCs/>
        <w:color w:val="FF8E3B"/>
        <w:sz w:val="20"/>
        <w:szCs w:val="20"/>
      </w:rPr>
      <w:t xml:space="preserve">PIXPAX  </w:t>
    </w:r>
    <w:r>
      <w:rPr>
        <w:rFonts w:ascii="Arial" w:cs="Arial" w:eastAsia="Arial" w:hAnsi="Arial"/>
        <w:color w:val="2D2850"/>
        <w:sz w:val="20"/>
        <w:szCs w:val="20"/>
      </w:rPr>
      <w:t xml:space="preserve">·  Diseño de Base de Datos</w:t>
    </w:r>
    <w:r>
      <w:rPr>
        <w:rFonts w:ascii="Arial" w:cs="Arial" w:eastAsia="Arial" w:hAnsi="Arial"/>
        <w:color w:val="7A7470"/>
        <w:sz w:val="18"/>
        <w:szCs w:val="18"/>
      </w:rPr>
      <w:t xml:space="preserve">  |  DAM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2026-05-05T18:56:46.522Z</dcterms:created>
  <dcterms:modified xsi:type="dcterms:W3CDTF">2026-05-05T18:56:46.522Z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