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D3557"/>
          <w:sz w:val="48"/>
          <w:szCs w:val="48"/>
        </w:rPr>
        <w:t xml:space="preserve">PISPAX</w:t>
      </w:r>
    </w:p>
    <w:p>
      <w:pPr>
        <w:spacing w:before="0" w:after="80"/>
        <w:jc w:val="center"/>
      </w:pPr>
      <w:r>
        <w:rPr>
          <w:rFonts w:ascii="Arial" w:cs="Arial" w:eastAsia="Arial" w:hAnsi="Arial"/>
          <w:color w:val="457B9D"/>
          <w:sz w:val="32"/>
          <w:szCs w:val="32"/>
        </w:rPr>
        <w:t xml:space="preserve">Stack Tecnológico</w:t>
      </w:r>
    </w:p>
    <w:p>
      <w:pPr>
        <w:spacing w:before="0" w:after="400"/>
        <w:jc w:val="center"/>
      </w:pPr>
      <w:r>
        <w:rPr>
          <w:rFonts w:ascii="Arial" w:cs="Arial" w:eastAsia="Arial" w:hAnsi="Arial"/>
          <w:color w:val="888888"/>
          <w:sz w:val="22"/>
          <w:szCs w:val="22"/>
        </w:rPr>
        <w:t xml:space="preserve">Proyecto Intermodular — DAM</w:t>
      </w:r>
    </w:p>
    <w:p>
      <w:pPr>
        <w:pStyle w:val="Heading1"/>
        <w:spacing w:before="320" w:after="160"/>
      </w:pPr>
      <w:r>
        <w:rPr>
          <w:rFonts w:ascii="Arial" w:cs="Arial" w:eastAsia="Arial" w:hAnsi="Arial"/>
          <w:b/>
          <w:bCs/>
          <w:color w:val="000000"/>
          <w:sz w:val="32"/>
          <w:szCs w:val="32"/>
        </w:rPr>
        <w:t xml:space="preserve">1. Visión general de la arquitectura</w:t>
      </w:r>
    </w:p>
    <w:p>
      <w:pPr>
        <w:spacing w:before="60" w:after="80"/>
        <w:jc w:val="both"/>
      </w:pPr>
      <w:r>
        <w:rPr>
          <w:rFonts w:ascii="Arial" w:cs="Arial" w:eastAsia="Arial" w:hAnsi="Arial"/>
          <w:sz w:val="22"/>
          <w:szCs w:val="22"/>
        </w:rPr>
        <w:t xml:space="preserve">El sistema sigue una arquitectura cliente-servidor desacoplada. El cliente es una aplicación móvil nativa para Android, que se comunica con un backend REST desarrollado en Java con Spring Boot. La persistencia de datos se gestiona mediante MySQL 8. Toda la comunicación entre capas se realiza mediante HTTP con intercambio de datos en formato JSON.</w:t>
      </w:r>
    </w:p>
    <w:p>
      <w:pPr>
        <w:spacing w:before="60" w:after="60"/>
      </w:pPr>
      <w:r>
        <w:t xml:space="preserve"/>
      </w:r>
    </w:p>
    <w:p>
      <w:pPr>
        <w:pStyle w:val="Heading1"/>
        <w:spacing w:before="320" w:after="160"/>
      </w:pPr>
      <w:r>
        <w:rPr>
          <w:rFonts w:ascii="Arial" w:cs="Arial" w:eastAsia="Arial" w:hAnsi="Arial"/>
          <w:b/>
          <w:bCs/>
          <w:color w:val="000000"/>
          <w:sz w:val="32"/>
          <w:szCs w:val="32"/>
        </w:rPr>
        <w:t xml:space="preserve">2. Stack por capa</w:t>
      </w:r>
    </w:p>
    <w:p>
      <w:pPr>
        <w:spacing w:before="60" w:after="60"/>
      </w:pPr>
      <w:r>
        <w:t xml:space="preserve"/>
      </w:r>
    </w:p>
    <w:p>
      <w:pPr>
        <w:pStyle w:val="Heading2"/>
        <w:spacing w:before="240" w:after="100"/>
      </w:pPr>
      <w:r>
        <w:rPr>
          <w:rFonts w:ascii="Arial" w:cs="Arial" w:eastAsia="Arial" w:hAnsi="Arial"/>
          <w:b/>
          <w:bCs/>
          <w:color w:val="000000"/>
          <w:sz w:val="28"/>
          <w:szCs w:val="28"/>
        </w:rPr>
        <w:t xml:space="preserve">2.1 Frontend — Aplicación Android</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CCCCCC" w:sz="1"/>
              <w:left w:val="single" w:color="CCCCCC" w:sz="1"/>
              <w:bottom w:val="single" w:color="CCCCCC" w:sz="1"/>
              <w:right w:val="single" w:color="CCCCCC" w:sz="1"/>
            </w:tcBorders>
            <w:shd w:fill="1D3557" w:val="clear"/>
            <w:tcMar>
              <w:top w:type="dxa" w:w="100"/>
              <w:left w:type="dxa" w:w="120"/>
              <w:bottom w:type="dxa" w:w="100"/>
              <w:right w:type="dxa" w:w="120"/>
            </w:tcMar>
          </w:tcPr>
          <w:p>
            <w:r>
              <w:rPr>
                <w:rFonts w:ascii="Arial" w:cs="Arial" w:eastAsia="Arial" w:hAnsi="Arial"/>
                <w:b/>
                <w:bCs/>
                <w:color w:val="FFFFFF"/>
                <w:sz w:val="20"/>
                <w:szCs w:val="20"/>
              </w:rPr>
              <w:t xml:space="preserve">Componente</w:t>
            </w:r>
          </w:p>
        </w:tc>
        <w:tc>
          <w:tcPr>
            <w:tcW w:type="dxa" w:w="2000"/>
            <w:tcBorders>
              <w:top w:val="single" w:color="CCCCCC" w:sz="1"/>
              <w:left w:val="single" w:color="CCCCCC" w:sz="1"/>
              <w:bottom w:val="single" w:color="CCCCCC" w:sz="1"/>
              <w:right w:val="single" w:color="CCCCCC" w:sz="1"/>
            </w:tcBorders>
            <w:shd w:fill="1D3557" w:val="clear"/>
            <w:tcMar>
              <w:top w:type="dxa" w:w="100"/>
              <w:left w:type="dxa" w:w="120"/>
              <w:bottom w:type="dxa" w:w="100"/>
              <w:right w:type="dxa" w:w="120"/>
            </w:tcMar>
          </w:tcPr>
          <w:p>
            <w:r>
              <w:rPr>
                <w:rFonts w:ascii="Arial" w:cs="Arial" w:eastAsia="Arial" w:hAnsi="Arial"/>
                <w:b/>
                <w:bCs/>
                <w:color w:val="FFFFFF"/>
                <w:sz w:val="20"/>
                <w:szCs w:val="20"/>
              </w:rPr>
              <w:t xml:space="preserve">Tecnología</w:t>
            </w:r>
          </w:p>
        </w:tc>
        <w:tc>
          <w:tcPr>
            <w:tcW w:type="dxa" w:w="4226"/>
            <w:tcBorders>
              <w:top w:val="single" w:color="CCCCCC" w:sz="1"/>
              <w:left w:val="single" w:color="CCCCCC" w:sz="1"/>
              <w:bottom w:val="single" w:color="CCCCCC" w:sz="1"/>
              <w:right w:val="single" w:color="CCCCCC" w:sz="1"/>
            </w:tcBorders>
            <w:shd w:fill="1D3557" w:val="clear"/>
            <w:tcMar>
              <w:top w:type="dxa" w:w="100"/>
              <w:left w:type="dxa" w:w="120"/>
              <w:bottom w:type="dxa" w:w="100"/>
              <w:right w:type="dxa" w:w="120"/>
            </w:tcMar>
          </w:tcPr>
          <w:p>
            <w:r>
              <w:rPr>
                <w:rFonts w:ascii="Arial" w:cs="Arial" w:eastAsia="Arial" w:hAnsi="Arial"/>
                <w:b/>
                <w:bCs/>
                <w:color w:val="FFFFFF"/>
                <w:sz w:val="20"/>
                <w:szCs w:val="20"/>
              </w:rPr>
              <w:t xml:space="preserve">Justificación</w:t>
            </w:r>
          </w:p>
        </w:tc>
      </w:tr>
      <w:tr>
        <w:tc>
          <w:tcPr>
            <w:tcW w:type="dxa" w:w="28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sz w:val="20"/>
                <w:szCs w:val="20"/>
              </w:rPr>
              <w:t xml:space="preserve">Lenguaje</w:t>
            </w:r>
          </w:p>
        </w:tc>
        <w:tc>
          <w:tcPr>
            <w:tcW w:type="dxa" w:w="20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sz w:val="20"/>
                <w:szCs w:val="20"/>
              </w:rPr>
              <w:t xml:space="preserve">Java 17</w:t>
            </w:r>
          </w:p>
        </w:tc>
        <w:tc>
          <w:tcPr>
            <w:tcW w:type="dxa" w:w="4226"/>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sz w:val="20"/>
                <w:szCs w:val="20"/>
              </w:rPr>
              <w:t xml:space="preserve">Lenguaje principal del ciclo DAM. Amplio soporte, estable y bien documentado.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Studio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Entorno oficial de Google para desarrollo Android.</w:t>
            </w:r>
          </w:p>
        </w:tc>
      </w:tr>
      <w:tr>
        <w:tc>
          <w:tcPr>
            <w:tcW w:type="dxa" w:w="28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sz w:val="20"/>
                <w:szCs w:val="20"/>
              </w:rPr>
              <w:t xml:space="preserve">UI</w:t>
            </w:r>
          </w:p>
        </w:tc>
        <w:tc>
          <w:tcPr>
            <w:tcW w:type="dxa" w:w="20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sz w:val="20"/>
                <w:szCs w:val="20"/>
              </w:rPr>
              <w:t xml:space="preserve">XML layouts</w:t>
            </w:r>
          </w:p>
        </w:tc>
        <w:tc>
          <w:tcPr>
            <w:tcW w:type="dxa" w:w="4226"/>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sz w:val="20"/>
                <w:szCs w:val="20"/>
              </w:rPr>
              <w:t xml:space="preserve">Sistema de maquetación nativo de Android. Ampliamente enseñado en DAM.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Cliente HTTP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Retrofit 2.9</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Librería estándar de facto para consumir APIs REST en Android.</w:t>
            </w:r>
          </w:p>
        </w:tc>
      </w:tr>
      <w:tr>
        <w:tc>
          <w:tcPr>
            <w:tcW w:type="dxa" w:w="28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sz w:val="20"/>
                <w:szCs w:val="20"/>
              </w:rPr>
              <w:t xml:space="preserve">Serialización JSON</w:t>
            </w:r>
          </w:p>
        </w:tc>
        <w:tc>
          <w:tcPr>
            <w:tcW w:type="dxa" w:w="20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sz w:val="20"/>
                <w:szCs w:val="20"/>
              </w:rPr>
              <w:t xml:space="preserve">Gson</w:t>
            </w:r>
          </w:p>
        </w:tc>
        <w:tc>
          <w:tcPr>
            <w:tcW w:type="dxa" w:w="4226"/>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sz w:val="20"/>
                <w:szCs w:val="20"/>
              </w:rPr>
              <w:t xml:space="preserve">Conversor JSON integrado con Retrofit. Simple y sin configuración adicional.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Sesión local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SharedPreferences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Almacenamiento clave-valor nativo de Android para el token JWT.</w:t>
            </w:r>
          </w:p>
        </w:tc>
      </w:tr>
    </w:tbl>
    <w:p>
      <w:pPr>
        <w:spacing w:before="60" w:after="60"/>
      </w:pPr>
      <w:r>
        <w:t xml:space="preserve"/>
      </w:r>
    </w:p>
    <w:p>
      <w:pPr>
        <w:pStyle w:val="Heading2"/>
        <w:spacing w:before="240" w:after="100"/>
      </w:pPr>
      <w:r>
        <w:rPr>
          <w:rFonts w:ascii="Arial" w:cs="Arial" w:eastAsia="Arial" w:hAnsi="Arial"/>
          <w:b/>
          <w:bCs/>
          <w:color w:val="000000"/>
          <w:sz w:val="28"/>
          <w:szCs w:val="28"/>
        </w:rPr>
        <w:t xml:space="preserve">2.2 Backend — API REST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CCCCCC" w:sz="1"/>
              <w:left w:val="single" w:color="CCCCCC" w:sz="1"/>
              <w:bottom w:val="single" w:color="CCCCCC" w:sz="1"/>
              <w:right w:val="single" w:color="CCCCCC" w:sz="1"/>
            </w:tcBorders>
            <w:shd w:fill="1D3557" w:val="clear"/>
            <w:tcMar>
              <w:top w:type="dxa" w:w="100"/>
              <w:left w:type="dxa" w:w="120"/>
              <w:bottom w:type="dxa" w:w="100"/>
              <w:right w:type="dxa" w:w="120"/>
            </w:tcMar>
          </w:tcPr>
          <w:p>
            <w:r>
              <w:rPr>
                <w:rFonts w:ascii="Arial" w:cs="Arial" w:eastAsia="Arial" w:hAnsi="Arial"/>
                <w:b/>
                <w:bCs/>
                <w:color w:val="FFFFFF"/>
                <w:sz w:val="20"/>
                <w:szCs w:val="20"/>
              </w:rPr>
              <w:t xml:space="preserve">Componente</w:t>
            </w:r>
          </w:p>
        </w:tc>
        <w:tc>
          <w:tcPr>
            <w:tcW w:type="dxa" w:w="2000"/>
            <w:tcBorders>
              <w:top w:val="single" w:color="CCCCCC" w:sz="1"/>
              <w:left w:val="single" w:color="CCCCCC" w:sz="1"/>
              <w:bottom w:val="single" w:color="CCCCCC" w:sz="1"/>
              <w:right w:val="single" w:color="CCCCCC" w:sz="1"/>
            </w:tcBorders>
            <w:shd w:fill="1D3557" w:val="clear"/>
            <w:tcMar>
              <w:top w:type="dxa" w:w="100"/>
              <w:left w:type="dxa" w:w="120"/>
              <w:bottom w:type="dxa" w:w="100"/>
              <w:right w:type="dxa" w:w="120"/>
            </w:tcMar>
          </w:tcPr>
          <w:p>
            <w:r>
              <w:rPr>
                <w:rFonts w:ascii="Arial" w:cs="Arial" w:eastAsia="Arial" w:hAnsi="Arial"/>
                <w:b/>
                <w:bCs/>
                <w:color w:val="FFFFFF"/>
                <w:sz w:val="20"/>
                <w:szCs w:val="20"/>
              </w:rPr>
              <w:t xml:space="preserve">Tecnología</w:t>
            </w:r>
          </w:p>
        </w:tc>
        <w:tc>
          <w:tcPr>
            <w:tcW w:type="dxa" w:w="4226"/>
            <w:tcBorders>
              <w:top w:val="single" w:color="CCCCCC" w:sz="1"/>
              <w:left w:val="single" w:color="CCCCCC" w:sz="1"/>
              <w:bottom w:val="single" w:color="CCCCCC" w:sz="1"/>
              <w:right w:val="single" w:color="CCCCCC" w:sz="1"/>
            </w:tcBorders>
            <w:shd w:fill="1D3557" w:val="clear"/>
            <w:tcMar>
              <w:top w:type="dxa" w:w="100"/>
              <w:left w:type="dxa" w:w="120"/>
              <w:bottom w:type="dxa" w:w="100"/>
              <w:right w:type="dxa" w:w="120"/>
            </w:tcMar>
          </w:tcPr>
          <w:p>
            <w:r>
              <w:rPr>
                <w:rFonts w:ascii="Arial" w:cs="Arial" w:eastAsia="Arial" w:hAnsi="Arial"/>
                <w:b/>
                <w:bCs/>
                <w:color w:val="FFFFFF"/>
                <w:sz w:val="20"/>
                <w:szCs w:val="20"/>
              </w:rPr>
              <w:t xml:space="preserve">Justificación</w:t>
            </w:r>
          </w:p>
        </w:tc>
      </w:tr>
      <w:tr>
        <w:tc>
          <w:tcPr>
            <w:tcW w:type="dxa" w:w="28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sz w:val="20"/>
                <w:szCs w:val="20"/>
              </w:rPr>
              <w:t xml:space="preserve">Lenguaje</w:t>
            </w:r>
          </w:p>
        </w:tc>
        <w:tc>
          <w:tcPr>
            <w:tcW w:type="dxa" w:w="20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sz w:val="20"/>
                <w:szCs w:val="20"/>
              </w:rPr>
              <w:t xml:space="preserve">Java 17</w:t>
            </w:r>
          </w:p>
        </w:tc>
        <w:tc>
          <w:tcPr>
            <w:tcW w:type="dxa" w:w="4226"/>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sz w:val="20"/>
                <w:szCs w:val="20"/>
              </w:rPr>
              <w:t xml:space="preserve">Versión LTS activa. Compatibilidad total con Spring Boot 3.2.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 3.2.x</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estándar en el sector para APIs REST en Java. Autoconfiguración, embedded Tomcat, ecosistema maduro.</w:t>
            </w:r>
          </w:p>
        </w:tc>
      </w:tr>
      <w:tr>
        <w:tc>
          <w:tcPr>
            <w:tcW w:type="dxa" w:w="28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sz w:val="20"/>
                <w:szCs w:val="20"/>
              </w:rPr>
              <w:t xml:space="preserve">ORM</w:t>
            </w:r>
          </w:p>
        </w:tc>
        <w:tc>
          <w:tcPr>
            <w:tcW w:type="dxa" w:w="20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sz w:val="20"/>
                <w:szCs w:val="20"/>
              </w:rPr>
              <w:t xml:space="preserve">Spring Data JPA</w:t>
            </w:r>
          </w:p>
        </w:tc>
        <w:tc>
          <w:tcPr>
            <w:tcW w:type="dxa" w:w="4226"/>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sz w:val="20"/>
                <w:szCs w:val="20"/>
              </w:rPr>
              <w:t xml:space="preserve">Abstracción sobre Hibernate. Elimina SQL manual para operaciones CRUD.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Seguridad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Security + JWT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Gestión de autenticación y autorización. Tokens stateless, adecuado para apps móviles.</w:t>
            </w:r>
          </w:p>
        </w:tc>
      </w:tr>
      <w:tr>
        <w:tc>
          <w:tcPr>
            <w:tcW w:type="dxa" w:w="28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sz w:val="20"/>
                <w:szCs w:val="20"/>
              </w:rPr>
              <w:t xml:space="preserve">Reduce boilerplate</w:t>
            </w:r>
          </w:p>
        </w:tc>
        <w:tc>
          <w:tcPr>
            <w:tcW w:type="dxa" w:w="20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sz w:val="20"/>
                <w:szCs w:val="20"/>
              </w:rPr>
              <w:t xml:space="preserve">Lombok</w:t>
            </w:r>
          </w:p>
        </w:tc>
        <w:tc>
          <w:tcPr>
            <w:tcW w:type="dxa" w:w="4226"/>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sz w:val="20"/>
                <w:szCs w:val="20"/>
              </w:rPr>
              <w:t xml:space="preserve">Genera getters, setters y constructores automáticamente en las entidades.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Build tool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Maven 3.9</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Gestión de dependencias y ciclo de vida del proyecto.</w:t>
            </w:r>
          </w:p>
        </w:tc>
      </w:tr>
    </w:tbl>
    <w:p>
      <w:pPr>
        <w:spacing w:before="60" w:after="60"/>
      </w:pPr>
      <w:r>
        <w:t xml:space="preserve"/>
      </w:r>
    </w:p>
    <w:p>
      <w:pPr>
        <w:pStyle w:val="Heading2"/>
        <w:spacing w:before="240" w:after="100"/>
      </w:pPr>
      <w:r>
        <w:rPr>
          <w:rFonts w:ascii="Arial" w:cs="Arial" w:eastAsia="Arial" w:hAnsi="Arial"/>
          <w:b/>
          <w:bCs/>
          <w:color w:val="000000"/>
          <w:sz w:val="28"/>
          <w:szCs w:val="28"/>
        </w:rPr>
        <w:t xml:space="preserve">2.3 Base de datos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CCCCCC" w:sz="1"/>
              <w:left w:val="single" w:color="CCCCCC" w:sz="1"/>
              <w:bottom w:val="single" w:color="CCCCCC" w:sz="1"/>
              <w:right w:val="single" w:color="CCCCCC" w:sz="1"/>
            </w:tcBorders>
            <w:shd w:fill="1D3557" w:val="clear"/>
            <w:tcMar>
              <w:top w:type="dxa" w:w="100"/>
              <w:left w:type="dxa" w:w="120"/>
              <w:bottom w:type="dxa" w:w="100"/>
              <w:right w:type="dxa" w:w="120"/>
            </w:tcMar>
          </w:tcPr>
          <w:p>
            <w:r>
              <w:rPr>
                <w:rFonts w:ascii="Arial" w:cs="Arial" w:eastAsia="Arial" w:hAnsi="Arial"/>
                <w:b/>
                <w:bCs/>
                <w:color w:val="FFFFFF"/>
                <w:sz w:val="20"/>
                <w:szCs w:val="20"/>
              </w:rPr>
              <w:t xml:space="preserve">Componente</w:t>
            </w:r>
          </w:p>
        </w:tc>
        <w:tc>
          <w:tcPr>
            <w:tcW w:type="dxa" w:w="2000"/>
            <w:tcBorders>
              <w:top w:val="single" w:color="CCCCCC" w:sz="1"/>
              <w:left w:val="single" w:color="CCCCCC" w:sz="1"/>
              <w:bottom w:val="single" w:color="CCCCCC" w:sz="1"/>
              <w:right w:val="single" w:color="CCCCCC" w:sz="1"/>
            </w:tcBorders>
            <w:shd w:fill="1D3557" w:val="clear"/>
            <w:tcMar>
              <w:top w:type="dxa" w:w="100"/>
              <w:left w:type="dxa" w:w="120"/>
              <w:bottom w:type="dxa" w:w="100"/>
              <w:right w:type="dxa" w:w="120"/>
            </w:tcMar>
          </w:tcPr>
          <w:p>
            <w:r>
              <w:rPr>
                <w:rFonts w:ascii="Arial" w:cs="Arial" w:eastAsia="Arial" w:hAnsi="Arial"/>
                <w:b/>
                <w:bCs/>
                <w:color w:val="FFFFFF"/>
                <w:sz w:val="20"/>
                <w:szCs w:val="20"/>
              </w:rPr>
              <w:t xml:space="preserve">Tecnología</w:t>
            </w:r>
          </w:p>
        </w:tc>
        <w:tc>
          <w:tcPr>
            <w:tcW w:type="dxa" w:w="4226"/>
            <w:tcBorders>
              <w:top w:val="single" w:color="CCCCCC" w:sz="1"/>
              <w:left w:val="single" w:color="CCCCCC" w:sz="1"/>
              <w:bottom w:val="single" w:color="CCCCCC" w:sz="1"/>
              <w:right w:val="single" w:color="CCCCCC" w:sz="1"/>
            </w:tcBorders>
            <w:shd w:fill="1D3557" w:val="clear"/>
            <w:tcMar>
              <w:top w:type="dxa" w:w="100"/>
              <w:left w:type="dxa" w:w="120"/>
              <w:bottom w:type="dxa" w:w="100"/>
              <w:right w:type="dxa" w:w="120"/>
            </w:tcMar>
          </w:tcPr>
          <w:p>
            <w:r>
              <w:rPr>
                <w:rFonts w:ascii="Arial" w:cs="Arial" w:eastAsia="Arial" w:hAnsi="Arial"/>
                <w:b/>
                <w:bCs/>
                <w:color w:val="FFFFFF"/>
                <w:sz w:val="20"/>
                <w:szCs w:val="20"/>
              </w:rPr>
              <w:t xml:space="preserve">Justificación</w:t>
            </w:r>
          </w:p>
        </w:tc>
      </w:tr>
      <w:tr>
        <w:tc>
          <w:tcPr>
            <w:tcW w:type="dxa" w:w="28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sz w:val="20"/>
                <w:szCs w:val="20"/>
              </w:rPr>
              <w:t xml:space="preserve">Motor</w:t>
            </w:r>
          </w:p>
        </w:tc>
        <w:tc>
          <w:tcPr>
            <w:tcW w:type="dxa" w:w="20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sz w:val="20"/>
                <w:szCs w:val="20"/>
              </w:rPr>
              <w:t xml:space="preserve">MySQL 8</w:t>
            </w:r>
          </w:p>
        </w:tc>
        <w:tc>
          <w:tcPr>
            <w:tcW w:type="dxa" w:w="4226"/>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sz w:val="20"/>
                <w:szCs w:val="20"/>
              </w:rPr>
              <w:t xml:space="preserve">SGBD relacional ampliamente utilizado. Soporte nativo de ENUMs, compatible con JPA.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Conector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mysql-connector-j</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JDBC oficial de MySQL para Java.</w:t>
            </w:r>
          </w:p>
        </w:tc>
      </w:tr>
      <w:tr>
        <w:tc>
          <w:tcPr>
            <w:tcW w:type="dxa" w:w="28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sz w:val="20"/>
                <w:szCs w:val="20"/>
              </w:rPr>
              <w:t xml:space="preserve">Gestión esquema</w:t>
            </w:r>
          </w:p>
        </w:tc>
        <w:tc>
          <w:tcPr>
            <w:tcW w:type="dxa" w:w="20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sz w:val="20"/>
                <w:szCs w:val="20"/>
              </w:rPr>
              <w:t xml:space="preserve">spring.jpa.ddl-auto</w:t>
            </w:r>
          </w:p>
        </w:tc>
        <w:tc>
          <w:tcPr>
            <w:tcW w:type="dxa" w:w="4226"/>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sz w:val="20"/>
                <w:szCs w:val="20"/>
              </w:rPr>
              <w:t xml:space="preserve">En desarrollo: update. En producción: validate o scripts SQL manuales.</w:t>
            </w:r>
          </w:p>
        </w:tc>
      </w:tr>
    </w:tbl>
    <w:p>
      <w:pPr>
        <w:spacing w:before="60" w:after="60"/>
      </w:pPr>
      <w:r>
        <w:t xml:space="preserve"/>
      </w:r>
    </w:p>
    <w:p>
      <w:pPr>
        <w:pStyle w:val="Heading1"/>
        <w:spacing w:before="320" w:after="160"/>
      </w:pPr>
      <w:r>
        <w:rPr>
          <w:rFonts w:ascii="Arial" w:cs="Arial" w:eastAsia="Arial" w:hAnsi="Arial"/>
          <w:b/>
          <w:bCs/>
          <w:color w:val="000000"/>
          <w:sz w:val="32"/>
          <w:szCs w:val="32"/>
        </w:rPr>
        <w:t xml:space="preserve">3. Dependencias principales (pom.xml)</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CCCCCC" w:sz="1"/>
              <w:left w:val="single" w:color="CCCCCC" w:sz="1"/>
              <w:bottom w:val="single" w:color="CCCCCC" w:sz="1"/>
              <w:right w:val="single" w:color="CCCCCC" w:sz="1"/>
            </w:tcBorders>
            <w:shd w:fill="457B9D" w:val="clear"/>
            <w:tcMar>
              <w:top w:type="dxa" w:w="100"/>
              <w:left w:type="dxa" w:w="120"/>
              <w:bottom w:type="dxa" w:w="100"/>
              <w:right w:type="dxa" w:w="120"/>
            </w:tcMar>
          </w:tcPr>
          <w:p>
            <w:r>
              <w:rPr>
                <w:rFonts w:ascii="Arial" w:cs="Arial" w:eastAsia="Arial" w:hAnsi="Arial"/>
                <w:b/>
                <w:bCs/>
                <w:color w:val="FFFFFF"/>
                <w:sz w:val="20"/>
                <w:szCs w:val="20"/>
              </w:rPr>
              <w:t xml:space="preserve">Dependencia</w:t>
            </w:r>
          </w:p>
        </w:tc>
        <w:tc>
          <w:tcPr>
            <w:tcW w:type="dxa" w:w="1800"/>
            <w:tcBorders>
              <w:top w:val="single" w:color="CCCCCC" w:sz="1"/>
              <w:left w:val="single" w:color="CCCCCC" w:sz="1"/>
              <w:bottom w:val="single" w:color="CCCCCC" w:sz="1"/>
              <w:right w:val="single" w:color="CCCCCC" w:sz="1"/>
            </w:tcBorders>
            <w:shd w:fill="457B9D" w:val="clear"/>
            <w:tcMar>
              <w:top w:type="dxa" w:w="100"/>
              <w:left w:type="dxa" w:w="120"/>
              <w:bottom w:type="dxa" w:w="100"/>
              <w:right w:type="dxa" w:w="120"/>
            </w:tcMar>
          </w:tcPr>
          <w:p>
            <w:r>
              <w:rPr>
                <w:rFonts w:ascii="Arial" w:cs="Arial" w:eastAsia="Arial" w:hAnsi="Arial"/>
                <w:b/>
                <w:bCs/>
                <w:color w:val="FFFFFF"/>
                <w:sz w:val="20"/>
                <w:szCs w:val="20"/>
              </w:rPr>
              <w:t xml:space="preserve">Versión</w:t>
            </w:r>
          </w:p>
        </w:tc>
        <w:tc>
          <w:tcPr>
            <w:tcW w:type="dxa" w:w="4026"/>
            <w:tcBorders>
              <w:top w:val="single" w:color="CCCCCC" w:sz="1"/>
              <w:left w:val="single" w:color="CCCCCC" w:sz="1"/>
              <w:bottom w:val="single" w:color="CCCCCC" w:sz="1"/>
              <w:right w:val="single" w:color="CCCCCC" w:sz="1"/>
            </w:tcBorders>
            <w:shd w:fill="457B9D" w:val="clear"/>
            <w:tcMar>
              <w:top w:type="dxa" w:w="100"/>
              <w:left w:type="dxa" w:w="120"/>
              <w:bottom w:type="dxa" w:w="100"/>
              <w:right w:type="dxa" w:w="120"/>
            </w:tcMar>
          </w:tcPr>
          <w:p>
            <w:r>
              <w:rPr>
                <w:rFonts w:ascii="Arial" w:cs="Arial" w:eastAsia="Arial" w:hAnsi="Arial"/>
                <w:b/>
                <w:bCs/>
                <w:color w:val="FFFFFF"/>
                <w:sz w:val="20"/>
                <w:szCs w:val="20"/>
              </w:rPr>
              <w:t xml:space="preserve">Propósito</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0"/>
                <w:szCs w:val="20"/>
              </w:rPr>
              <w:t xml:space="preserve">spring-boot-starter-web</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3.2.x</w:t>
            </w:r>
          </w:p>
        </w:tc>
        <w:tc>
          <w:tcPr>
            <w:tcW w:type="dxa" w:w="40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API REST con Tomcat embebido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spring-boot-starter-data-jpa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3.2.x</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 y acceso a base de datos</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0"/>
                <w:szCs w:val="20"/>
              </w:rPr>
              <w:t xml:space="preserve">spring-boot-starter-security</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3.2.x</w:t>
            </w:r>
          </w:p>
        </w:tc>
        <w:tc>
          <w:tcPr>
            <w:tcW w:type="dxa" w:w="40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Autenticación y autorización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mysql-connector-j</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8.x</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JDBC para MySQL</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0"/>
                <w:szCs w:val="20"/>
              </w:rPr>
              <w:t xml:space="preserve">lombok</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1.18.x</w:t>
            </w:r>
          </w:p>
        </w:tc>
        <w:tc>
          <w:tcPr>
            <w:tcW w:type="dxa" w:w="40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Reducción de boilerplate en entidades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jjwt-api / jjwt-impl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0.12.x</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Generación y validación de tokens JWT</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0"/>
                <w:szCs w:val="20"/>
              </w:rPr>
              <w:t xml:space="preserve">spring-boot-starter-validation</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3.2.x</w:t>
            </w:r>
          </w:p>
        </w:tc>
        <w:tc>
          <w:tcPr>
            <w:tcW w:type="dxa" w:w="40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Validación de DTOs con anotaciones</w:t>
            </w:r>
          </w:p>
        </w:tc>
      </w:tr>
    </w:tbl>
    <w:p>
      <w:pPr>
        <w:spacing w:before="60" w:after="60"/>
      </w:pPr>
      <w:r>
        <w:t xml:space="preserve"/>
      </w:r>
    </w:p>
    <w:p>
      <w:pPr>
        <w:pBdr>
          <w:bottom w:val="single" w:color="CCCCCC" w:sz="4"/>
        </w:pBdr>
        <w:spacing w:before="20" w:after="2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CCCCCC" w:sz="1"/>
              <w:left w:val="single" w:color="CCCCCC" w:sz="1"/>
              <w:bottom w:val="single" w:color="CCCCCC" w:sz="1"/>
              <w:right w:val="single" w:color="CCCCCC" w:sz="1"/>
            </w:tcBorders>
            <w:shd w:fill="457B9D" w:val="clear"/>
            <w:tcMar>
              <w:top w:type="dxa" w:w="100"/>
              <w:left w:type="dxa" w:w="120"/>
              <w:bottom w:type="dxa" w:w="100"/>
              <w:right w:type="dxa" w:w="120"/>
            </w:tcMar>
          </w:tcPr>
          <w:p>
            <w:r>
              <w:rPr>
                <w:rFonts w:ascii="Arial" w:cs="Arial" w:eastAsia="Arial" w:hAnsi="Arial"/>
                <w:b/>
                <w:bCs/>
                <w:color w:val="FFFFFF"/>
                <w:sz w:val="20"/>
                <w:szCs w:val="20"/>
              </w:rPr>
              <w:t xml:space="preserve">Dependencia</w:t>
            </w:r>
          </w:p>
        </w:tc>
        <w:tc>
          <w:tcPr>
            <w:tcW w:type="dxa" w:w="1800"/>
            <w:tcBorders>
              <w:top w:val="single" w:color="CCCCCC" w:sz="1"/>
              <w:left w:val="single" w:color="CCCCCC" w:sz="1"/>
              <w:bottom w:val="single" w:color="CCCCCC" w:sz="1"/>
              <w:right w:val="single" w:color="CCCCCC" w:sz="1"/>
            </w:tcBorders>
            <w:shd w:fill="457B9D" w:val="clear"/>
            <w:tcMar>
              <w:top w:type="dxa" w:w="100"/>
              <w:left w:type="dxa" w:w="120"/>
              <w:bottom w:type="dxa" w:w="100"/>
              <w:right w:type="dxa" w:w="120"/>
            </w:tcMar>
          </w:tcPr>
          <w:p>
            <w:r>
              <w:rPr>
                <w:rFonts w:ascii="Arial" w:cs="Arial" w:eastAsia="Arial" w:hAnsi="Arial"/>
                <w:b/>
                <w:bCs/>
                <w:color w:val="FFFFFF"/>
                <w:sz w:val="20"/>
                <w:szCs w:val="20"/>
              </w:rPr>
              <w:t xml:space="preserve">Versión</w:t>
            </w:r>
          </w:p>
        </w:tc>
        <w:tc>
          <w:tcPr>
            <w:tcW w:type="dxa" w:w="4026"/>
            <w:tcBorders>
              <w:top w:val="single" w:color="CCCCCC" w:sz="1"/>
              <w:left w:val="single" w:color="CCCCCC" w:sz="1"/>
              <w:bottom w:val="single" w:color="CCCCCC" w:sz="1"/>
              <w:right w:val="single" w:color="CCCCCC" w:sz="1"/>
            </w:tcBorders>
            <w:shd w:fill="457B9D" w:val="clear"/>
            <w:tcMar>
              <w:top w:type="dxa" w:w="100"/>
              <w:left w:type="dxa" w:w="120"/>
              <w:bottom w:type="dxa" w:w="100"/>
              <w:right w:type="dxa" w:w="120"/>
            </w:tcMar>
          </w:tcPr>
          <w:p>
            <w:r>
              <w:rPr>
                <w:rFonts w:ascii="Arial" w:cs="Arial" w:eastAsia="Arial" w:hAnsi="Arial"/>
                <w:b/>
                <w:bCs/>
                <w:color w:val="FFFFFF"/>
                <w:sz w:val="20"/>
                <w:szCs w:val="20"/>
              </w:rPr>
              <w:t xml:space="preserve">Propósito</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0"/>
                <w:szCs w:val="20"/>
              </w:rPr>
              <w:t xml:space="preserve">retrofit</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2.9.0</w:t>
            </w:r>
          </w:p>
        </w:tc>
        <w:tc>
          <w:tcPr>
            <w:tcW w:type="dxa" w:w="40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Cliente HTTP para Android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converter-gson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Deserialización JSON con Retrofit</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0"/>
                <w:szCs w:val="20"/>
              </w:rPr>
              <w:t xml:space="preserve">recyclerview</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1.3.2</w:t>
            </w:r>
          </w:p>
        </w:tc>
        <w:tc>
          <w:tcPr>
            <w:tcW w:type="dxa" w:w="40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Listas eficientes en Android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material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Componentes Material Design</w:t>
            </w:r>
          </w:p>
        </w:tc>
      </w:tr>
    </w:tbl>
    <w:p>
      <w:pPr>
        <w:spacing w:before="60" w:after="60"/>
      </w:pPr>
      <w:r>
        <w:t xml:space="preserve"/>
      </w:r>
    </w:p>
    <w:p>
      <w:pPr>
        <w:pStyle w:val="Heading1"/>
        <w:spacing w:before="320" w:after="160"/>
      </w:pPr>
      <w:r>
        <w:rPr>
          <w:rFonts w:ascii="Arial" w:cs="Arial" w:eastAsia="Arial" w:hAnsi="Arial"/>
          <w:b/>
          <w:bCs/>
          <w:color w:val="000000"/>
          <w:sz w:val="32"/>
          <w:szCs w:val="32"/>
        </w:rPr>
        <w:t xml:space="preserve">4. Comunicación entre capas</w:t>
      </w:r>
    </w:p>
    <w:p>
      <w:pPr>
        <w:spacing w:before="60" w:after="80"/>
        <w:jc w:val="both"/>
      </w:pPr>
      <w:r>
        <w:rPr>
          <w:rFonts w:ascii="Arial" w:cs="Arial" w:eastAsia="Arial" w:hAnsi="Arial"/>
          <w:sz w:val="22"/>
          <w:szCs w:val="22"/>
        </w:rPr>
        <w:t xml:space="preserve">La app Android construye las peticiones HTTP a través de la interfaz ApiService de Retrofit. Cada endpoint corresponde a una operación definida en el backend. El token JWT obtenido al hacer login se almacena en SharedPreferences mediante SessionManager y se inyecta como cabecera Authorization: Bearer {token} en cada petición autenticada.</w:t>
      </w:r>
    </w:p>
    <w:p>
      <w:pPr>
        <w:spacing w:before="60" w:after="60"/>
      </w:pPr>
      <w:r>
        <w:t xml:space="preserve"/>
      </w:r>
    </w:p>
    <w:p>
      <w:pPr>
        <w:spacing w:before="60" w:after="80"/>
        <w:jc w:val="both"/>
      </w:pPr>
      <w:r>
        <w:rPr>
          <w:rFonts w:ascii="Arial" w:cs="Arial" w:eastAsia="Arial" w:hAnsi="Arial"/>
          <w:sz w:val="22"/>
          <w:szCs w:val="22"/>
        </w:rPr>
        <w:t xml:space="preserve">El backend valida el token en cada petición mediante un filtro de Spring Security (JwtAuthFilter) antes de que la petición llegue al controlador. Si el token es inválido o ha expirado, la API responde con HTTP 401.</w:t>
      </w:r>
    </w:p>
    <w:p>
      <w:pPr>
        <w:spacing w:before="60" w:after="60"/>
      </w:pPr>
      <w:r>
        <w:t xml:space="preserve"/>
      </w:r>
    </w:p>
    <w:p>
      <w:pPr>
        <w:pStyle w:val="Heading1"/>
        <w:spacing w:before="320" w:after="160"/>
      </w:pPr>
      <w:r>
        <w:rPr>
          <w:rFonts w:ascii="Arial" w:cs="Arial" w:eastAsia="Arial" w:hAnsi="Arial"/>
          <w:b/>
          <w:bCs/>
          <w:color w:val="000000"/>
          <w:sz w:val="32"/>
          <w:szCs w:val="32"/>
        </w:rPr>
        <w:t xml:space="preserve">5. Consideraciones MVP</w:t>
      </w:r>
    </w:p>
    <w:p>
      <w:pPr>
        <w:spacing w:before="60" w:after="60"/>
      </w:pPr>
      <w:r>
        <w:t xml:space="preserve"/>
      </w:r>
    </w:p>
    <w:p>
      <w:pPr>
        <w:pStyle w:val="ListParagraph"/>
        <w:numPr>
          <w:ilvl w:val="0"/>
          <w:numId w:val="2"/>
        </w:numPr>
      </w:pPr>
      <w:r>
        <w:rPr>
          <w:rFonts w:ascii="Arial" w:cs="Arial" w:eastAsia="Arial" w:hAnsi="Arial"/>
          <w:sz w:val="22"/>
          <w:szCs w:val="22"/>
        </w:rPr>
        <w:t xml:space="preserve">No se implementa sistema de pagos en esta versión.</w:t>
      </w:r>
    </w:p>
    <w:p>
      <w:pPr>
        <w:pStyle w:val="ListParagraph"/>
        <w:numPr>
          <w:ilvl w:val="0"/>
          <w:numId w:val="2"/>
        </w:numPr>
      </w:pPr>
      <w:r>
        <w:rPr>
          <w:rFonts w:ascii="Arial" w:cs="Arial" w:eastAsia="Arial" w:hAnsi="Arial"/>
          <w:sz w:val="22"/>
          <w:szCs w:val="22"/>
        </w:rPr>
        <w:t xml:space="preserve">No se implementa geolocalización en tiempo real (fuera del alcance del MVP).</w:t>
      </w:r>
    </w:p>
    <w:p>
      <w:pPr>
        <w:pStyle w:val="ListParagraph"/>
        <w:numPr>
          <w:ilvl w:val="0"/>
          <w:numId w:val="2"/>
        </w:numPr>
      </w:pPr>
      <w:r>
        <w:rPr>
          <w:rFonts w:ascii="Arial" w:cs="Arial" w:eastAsia="Arial" w:hAnsi="Arial"/>
          <w:sz w:val="22"/>
          <w:szCs w:val="22"/>
        </w:rPr>
        <w:t xml:space="preserve">La aplicación se desarrolla únicamente para Android en esta fase.</w:t>
      </w:r>
    </w:p>
    <w:p>
      <w:pPr>
        <w:pStyle w:val="ListParagraph"/>
        <w:numPr>
          <w:ilvl w:val="0"/>
          <w:numId w:val="2"/>
        </w:numPr>
      </w:pPr>
      <w:r>
        <w:rPr>
          <w:rFonts w:ascii="Arial" w:cs="Arial" w:eastAsia="Arial" w:hAnsi="Arial"/>
          <w:sz w:val="22"/>
          <w:szCs w:val="22"/>
        </w:rPr>
        <w:t xml:space="preserve">No se utilizan algoritmos complejos de optimización de rutas.</w:t>
      </w:r>
    </w:p>
    <w:p>
      <w:pPr>
        <w:pStyle w:val="ListParagraph"/>
        <w:numPr>
          <w:ilvl w:val="0"/>
          <w:numId w:val="2"/>
        </w:numPr>
      </w:pPr>
      <w:r>
        <w:rPr>
          <w:rFonts w:ascii="Arial" w:cs="Arial" w:eastAsia="Arial" w:hAnsi="Arial"/>
          <w:sz w:val="22"/>
          <w:szCs w:val="22"/>
        </w:rPr>
        <w:t xml:space="preserve">La arquitectura cloud y las notificaciones push quedan como líneas de evolución futura.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2026-03-24T22:48:33.205Z</dcterms:created>
  <dcterms:modified xsi:type="dcterms:W3CDTF">2026-03-24T22:48:33.206Z</dcterms:modified>
</cp:coreProperties>
</file>

<file path=docProps/custom.xml><?xml version="1.0" encoding="utf-8"?>
<Properties xmlns="http://schemas.openxmlformats.org/officeDocument/2006/custom-properties" xmlns:vt="http://schemas.openxmlformats.org/officeDocument/2006/docPropsVTypes"/>
</file>