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36"/>
          <w:szCs w:val="36"/>
        </w:rPr>
        <w:t xml:space="preserve">NYC Property Sales Analysis (2016–2017)</w:t>
      </w:r>
    </w:p>
    <w:p>
      <w:pPr>
        <w:spacing w:before="0" w:after="60"/>
        <w:jc w:val="center"/>
      </w:pPr>
      <w:r>
        <w:rPr>
          <w:rFonts w:ascii="Arial" w:cs="Arial" w:eastAsia="Arial" w:hAnsi="Arial"/>
          <w:color w:val="2E75B6"/>
          <w:sz w:val="26"/>
          <w:szCs w:val="26"/>
        </w:rPr>
        <w:t xml:space="preserve">Project Summary Report</w:t>
      </w:r>
    </w:p>
    <w:p>
      <w:pPr>
        <w:spacing w:before="0" w:after="60"/>
        <w:jc w:val="center"/>
      </w:pPr>
      <w:r>
        <w:rPr>
          <w:rFonts w:ascii="Arial" w:cs="Arial" w:eastAsia="Arial" w:hAnsi="Arial"/>
          <w:i/>
          <w:iCs/>
          <w:color w:val="595959"/>
          <w:sz w:val="22"/>
          <w:szCs w:val="22"/>
        </w:rPr>
        <w:t xml:space="preserve">Akshay  |  Data Analytics Portfolio Project</w:t>
      </w:r>
    </w:p>
    <w:p>
      <w:pPr>
        <w:spacing w:before="0" w:after="240"/>
      </w:pPr>
      <w:r>
        <w:t xml:space="preserve"/>
      </w:r>
    </w:p>
    <w:p>
      <w:pPr>
        <w:pStyle w:val="Heading1"/>
        <w:spacing w:before="300" w:after="160"/>
      </w:pPr>
      <w:r>
        <w:rPr>
          <w:rFonts w:ascii="Arial" w:cs="Arial" w:eastAsia="Arial" w:hAnsi="Arial"/>
          <w:b/>
          <w:bCs/>
          <w:color w:val="1F4E79"/>
          <w:sz w:val="28"/>
          <w:szCs w:val="28"/>
        </w:rPr>
        <w:t xml:space="preserve">1. Dataset Overview</w:t>
      </w:r>
    </w:p>
    <w:p>
      <w:pPr>
        <w:spacing w:before="80" w:after="100"/>
      </w:pPr>
      <w:r>
        <w:rPr>
          <w:rFonts w:ascii="Arial" w:cs="Arial" w:eastAsia="Arial" w:hAnsi="Arial"/>
          <w:sz w:val="22"/>
          <w:szCs w:val="22"/>
        </w:rPr>
        <w:t xml:space="preserve">This project uses the NYC Rolling Property Sales dataset, sourced from Kaggle via the official NYC Open Data program. The dataset captures real property transactions across all five New York City boroughs for the period September 2016 to August 2017.</w:t>
      </w:r>
    </w:p>
    <w:p>
      <w:pPr>
        <w:spacing w:before="80" w:after="100"/>
      </w:pPr>
      <w:r>
        <w:rPr>
          <w:rFonts w:ascii="Arial" w:cs="Arial" w:eastAsia="Arial" w:hAnsi="Arial"/>
          <w:sz w:val="22"/>
          <w:szCs w:val="22"/>
        </w:rPr>
        <w:t xml:space="preserve">The dataset was selected because it offers a large, real-world sample with meaningful variability in property types, price ranges, and geographies — making it well-suited for end-to-end data cleaning and statistical exploration.</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50"/>
              <w:bottom w:type="dxa" w:w="80"/>
              <w:right w:type="dxa" w:w="150"/>
            </w:tcMar>
          </w:tcPr>
          <w:p>
            <w:r>
              <w:rPr>
                <w:rFonts w:ascii="Arial" w:cs="Arial" w:eastAsia="Arial" w:hAnsi="Arial"/>
                <w:b/>
                <w:bCs/>
                <w:sz w:val="20"/>
                <w:szCs w:val="20"/>
              </w:rPr>
              <w:t xml:space="preserve">Source</w:t>
            </w:r>
          </w:p>
        </w:tc>
        <w:tc>
          <w:tcPr>
            <w:tcW w:type="dxa" w:w="5760"/>
            <w:tcBorders>
              <w:top w:val="single" w:color="CCCCCC" w:sz="1"/>
              <w:left w:val="single" w:color="CCCCCC" w:sz="1"/>
              <w:bottom w:val="single" w:color="CCCCCC" w:sz="1"/>
              <w:right w:val="single" w:color="CCCCCC" w:sz="1"/>
            </w:tcBorders>
            <w:shd w:fill="F5F9FE" w:val="clear"/>
            <w:tcMar>
              <w:top w:type="dxa" w:w="80"/>
              <w:left w:type="dxa" w:w="150"/>
              <w:bottom w:type="dxa" w:w="80"/>
              <w:right w:type="dxa" w:w="150"/>
            </w:tcMar>
          </w:tcPr>
          <w:p>
            <w:r>
              <w:rPr>
                <w:rFonts w:ascii="Arial" w:cs="Arial" w:eastAsia="Arial" w:hAnsi="Arial"/>
                <w:sz w:val="20"/>
                <w:szCs w:val="20"/>
              </w:rPr>
              <w:t xml:space="preserve">Kaggle – NYC Rolling Property Sales</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Provider</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NYC Department of Finance / Open Data</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50"/>
              <w:bottom w:type="dxa" w:w="80"/>
              <w:right w:type="dxa" w:w="150"/>
            </w:tcMar>
          </w:tcPr>
          <w:p>
            <w:r>
              <w:rPr>
                <w:rFonts w:ascii="Arial" w:cs="Arial" w:eastAsia="Arial" w:hAnsi="Arial"/>
                <w:b/>
                <w:bCs/>
                <w:sz w:val="20"/>
                <w:szCs w:val="20"/>
              </w:rPr>
              <w:t xml:space="preserve">Original records</w:t>
            </w:r>
          </w:p>
        </w:tc>
        <w:tc>
          <w:tcPr>
            <w:tcW w:type="dxa" w:w="5760"/>
            <w:tcBorders>
              <w:top w:val="single" w:color="CCCCCC" w:sz="1"/>
              <w:left w:val="single" w:color="CCCCCC" w:sz="1"/>
              <w:bottom w:val="single" w:color="CCCCCC" w:sz="1"/>
              <w:right w:val="single" w:color="CCCCCC" w:sz="1"/>
            </w:tcBorders>
            <w:shd w:fill="F5F9FE" w:val="clear"/>
            <w:tcMar>
              <w:top w:type="dxa" w:w="80"/>
              <w:left w:type="dxa" w:w="150"/>
              <w:bottom w:type="dxa" w:w="80"/>
              <w:right w:type="dxa" w:w="150"/>
            </w:tcMar>
          </w:tcPr>
          <w:p>
            <w:r>
              <w:rPr>
                <w:rFonts w:ascii="Arial" w:cs="Arial" w:eastAsia="Arial" w:hAnsi="Arial"/>
                <w:sz w:val="20"/>
                <w:szCs w:val="20"/>
              </w:rPr>
              <w:t xml:space="preserve">84,548 rows × 22 columns</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After cleaning</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56,566 rows × 16 columns</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50"/>
              <w:bottom w:type="dxa" w:w="80"/>
              <w:right w:type="dxa" w:w="150"/>
            </w:tcMar>
          </w:tcPr>
          <w:p>
            <w:r>
              <w:rPr>
                <w:rFonts w:ascii="Arial" w:cs="Arial" w:eastAsia="Arial" w:hAnsi="Arial"/>
                <w:b/>
                <w:bCs/>
                <w:sz w:val="20"/>
                <w:szCs w:val="20"/>
              </w:rPr>
              <w:t xml:space="preserve">Period</w:t>
            </w:r>
          </w:p>
        </w:tc>
        <w:tc>
          <w:tcPr>
            <w:tcW w:type="dxa" w:w="5760"/>
            <w:tcBorders>
              <w:top w:val="single" w:color="CCCCCC" w:sz="1"/>
              <w:left w:val="single" w:color="CCCCCC" w:sz="1"/>
              <w:bottom w:val="single" w:color="CCCCCC" w:sz="1"/>
              <w:right w:val="single" w:color="CCCCCC" w:sz="1"/>
            </w:tcBorders>
            <w:shd w:fill="F5F9FE" w:val="clear"/>
            <w:tcMar>
              <w:top w:type="dxa" w:w="80"/>
              <w:left w:type="dxa" w:w="150"/>
              <w:bottom w:type="dxa" w:w="80"/>
              <w:right w:type="dxa" w:w="150"/>
            </w:tcMar>
          </w:tcPr>
          <w:p>
            <w:r>
              <w:rPr>
                <w:rFonts w:ascii="Arial" w:cs="Arial" w:eastAsia="Arial" w:hAnsi="Arial"/>
                <w:sz w:val="20"/>
                <w:szCs w:val="20"/>
              </w:rPr>
              <w:t xml:space="preserve">September 2016 – August 2017</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Geographic scope</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All 5 NYC boroughs</w:t>
            </w:r>
          </w:p>
        </w:tc>
      </w:tr>
    </w:tbl>
    <w:p>
      <w:pPr>
        <w:spacing w:before="240" w:after="80"/>
      </w:pPr>
    </w:p>
    <w:p>
      <w:pPr>
        <w:pStyle w:val="Heading1"/>
        <w:spacing w:before="300" w:after="160"/>
      </w:pPr>
      <w:r>
        <w:rPr>
          <w:rFonts w:ascii="Arial" w:cs="Arial" w:eastAsia="Arial" w:hAnsi="Arial"/>
          <w:b/>
          <w:bCs/>
          <w:color w:val="1F4E79"/>
          <w:sz w:val="28"/>
          <w:szCs w:val="28"/>
        </w:rPr>
        <w:t xml:space="preserve">2. Data Cleaning Summary</w:t>
      </w:r>
    </w:p>
    <w:p>
      <w:pPr>
        <w:spacing w:before="80" w:after="100"/>
      </w:pPr>
      <w:r>
        <w:rPr>
          <w:rFonts w:ascii="Arial" w:cs="Arial" w:eastAsia="Arial" w:hAnsi="Arial"/>
          <w:sz w:val="22"/>
          <w:szCs w:val="22"/>
        </w:rPr>
        <w:t xml:space="preserve">The raw dataset required significant cleaning before it was suitable for analysis. The following steps were applied:</w:t>
      </w:r>
    </w:p>
    <w:p>
      <w:pPr>
        <w:pStyle w:val="ListParagraph"/>
        <w:numPr>
          <w:ilvl w:val="0"/>
          <w:numId w:val="2"/>
        </w:numPr>
        <w:spacing w:before="40" w:after="40"/>
      </w:pPr>
      <w:r>
        <w:rPr>
          <w:rFonts w:ascii="Arial" w:cs="Arial" w:eastAsia="Arial" w:hAnsi="Arial"/>
          <w:sz w:val="22"/>
          <w:szCs w:val="22"/>
        </w:rPr>
        <w:t xml:space="preserve">Renamed columns to snake_case for consistency and readability</w:t>
      </w:r>
    </w:p>
    <w:p>
      <w:pPr>
        <w:pStyle w:val="ListParagraph"/>
        <w:numPr>
          <w:ilvl w:val="0"/>
          <w:numId w:val="2"/>
        </w:numPr>
        <w:spacing w:before="40" w:after="40"/>
      </w:pPr>
      <w:r>
        <w:rPr>
          <w:rFonts w:ascii="Arial" w:cs="Arial" w:eastAsia="Arial" w:hAnsi="Arial"/>
          <w:sz w:val="22"/>
          <w:szCs w:val="22"/>
        </w:rPr>
        <w:t xml:space="preserve">Converted SALE_DATE from object to datetime format</w:t>
      </w:r>
    </w:p>
    <w:p>
      <w:pPr>
        <w:pStyle w:val="ListParagraph"/>
        <w:numPr>
          <w:ilvl w:val="0"/>
          <w:numId w:val="2"/>
        </w:numPr>
        <w:spacing w:before="40" w:after="40"/>
      </w:pPr>
      <w:r>
        <w:rPr>
          <w:rFonts w:ascii="Arial" w:cs="Arial" w:eastAsia="Arial" w:hAnsi="Arial"/>
          <w:sz w:val="22"/>
          <w:szCs w:val="22"/>
        </w:rPr>
        <w:t xml:space="preserve">Converted LAND_SQUARE_FEET and GROSS_SQUARE_FEET from string to Int64, replacing dash placeholders with NaN</w:t>
      </w:r>
    </w:p>
    <w:p>
      <w:pPr>
        <w:pStyle w:val="ListParagraph"/>
        <w:numPr>
          <w:ilvl w:val="0"/>
          <w:numId w:val="2"/>
        </w:numPr>
        <w:spacing w:before="40" w:after="40"/>
      </w:pPr>
      <w:r>
        <w:rPr>
          <w:rFonts w:ascii="Arial" w:cs="Arial" w:eastAsia="Arial" w:hAnsi="Arial"/>
          <w:sz w:val="22"/>
          <w:szCs w:val="22"/>
        </w:rPr>
        <w:t xml:space="preserve">Removed Tax Class 3 and 4 records (commercial properties) — eliminated 6,289 rows</w:t>
      </w:r>
    </w:p>
    <w:p>
      <w:pPr>
        <w:pStyle w:val="ListParagraph"/>
        <w:numPr>
          <w:ilvl w:val="0"/>
          <w:numId w:val="2"/>
        </w:numPr>
        <w:spacing w:before="40" w:after="40"/>
      </w:pPr>
      <w:r>
        <w:rPr>
          <w:rFonts w:ascii="Arial" w:cs="Arial" w:eastAsia="Arial" w:hAnsi="Arial"/>
          <w:sz w:val="22"/>
          <w:szCs w:val="22"/>
        </w:rPr>
        <w:t xml:space="preserve">Removed records with a $0 sale price (inherited/gifted properties) — eliminated 21,144 rows</w:t>
      </w:r>
    </w:p>
    <w:p>
      <w:pPr>
        <w:pStyle w:val="ListParagraph"/>
        <w:numPr>
          <w:ilvl w:val="0"/>
          <w:numId w:val="2"/>
        </w:numPr>
        <w:spacing w:before="40" w:after="40"/>
      </w:pPr>
      <w:r>
        <w:rPr>
          <w:rFonts w:ascii="Arial" w:cs="Arial" w:eastAsia="Arial" w:hAnsi="Arial"/>
          <w:sz w:val="22"/>
          <w:szCs w:val="22"/>
        </w:rPr>
        <w:t xml:space="preserve">Removed records with invalid ZIP code 0 — eliminated 656 rows</w:t>
      </w:r>
    </w:p>
    <w:p>
      <w:pPr>
        <w:pStyle w:val="ListParagraph"/>
        <w:numPr>
          <w:ilvl w:val="0"/>
          <w:numId w:val="2"/>
        </w:numPr>
        <w:spacing w:before="40" w:after="40"/>
      </w:pPr>
      <w:r>
        <w:rPr>
          <w:rFonts w:ascii="Arial" w:cs="Arial" w:eastAsia="Arial" w:hAnsi="Arial"/>
          <w:sz w:val="22"/>
          <w:szCs w:val="22"/>
        </w:rPr>
        <w:t xml:space="preserve">Standardized neighborhood labels (merged near-duplicate names like FLUSHING-NORTH and FLUSHING-SOUTH)</w:t>
      </w:r>
    </w:p>
    <w:p>
      <w:pPr>
        <w:pStyle w:val="ListParagraph"/>
        <w:numPr>
          <w:ilvl w:val="0"/>
          <w:numId w:val="2"/>
        </w:numPr>
        <w:spacing w:before="40" w:after="40"/>
      </w:pPr>
      <w:r>
        <w:rPr>
          <w:rFonts w:ascii="Arial" w:cs="Arial" w:eastAsia="Arial" w:hAnsi="Arial"/>
          <w:sz w:val="22"/>
          <w:szCs w:val="22"/>
        </w:rPr>
        <w:t xml:space="preserve">Created UPDATED_BUILDING_CLASS column with simplified, readable labels from raw letter codes</w:t>
      </w:r>
    </w:p>
    <w:p>
      <w:pPr>
        <w:pStyle w:val="ListParagraph"/>
        <w:numPr>
          <w:ilvl w:val="0"/>
          <w:numId w:val="2"/>
        </w:numPr>
        <w:spacing w:before="40" w:after="40"/>
      </w:pPr>
      <w:r>
        <w:rPr>
          <w:rFonts w:ascii="Arial" w:cs="Arial" w:eastAsia="Arial" w:hAnsi="Arial"/>
          <w:sz w:val="22"/>
          <w:szCs w:val="22"/>
        </w:rPr>
        <w:t xml:space="preserve">Dropped redundant columns: TAX CLASS AT PRESENT, BLOCK, LOT, EASE-MENT, APARTMENT NUMBER, YEAR BUILT</w:t>
      </w:r>
    </w:p>
    <w:p>
      <w:pPr>
        <w:spacing w:before="80" w:after="100"/>
      </w:pPr>
      <w:r>
        <w:rPr>
          <w:rFonts w:ascii="Arial" w:cs="Arial" w:eastAsia="Arial" w:hAnsi="Arial"/>
          <w:i/>
          <w:iCs/>
          <w:sz w:val="22"/>
          <w:szCs w:val="22"/>
        </w:rPr>
        <w:t xml:space="preserve">
Final clean dataset: 56,566 residential records across 16 columns. The cleaned data can be used by real estate analysts, housing researchers, or students studying NYC’s residential property market during 2016–2017.</w:t>
      </w:r>
    </w:p>
    <w:p>
      <w:pPr>
        <w:spacing w:before="240" w:after="80"/>
      </w:pPr>
    </w:p>
    <w:p>
      <w:pPr>
        <w:pStyle w:val="Heading1"/>
        <w:spacing w:before="300" w:after="160"/>
      </w:pPr>
      <w:r>
        <w:rPr>
          <w:rFonts w:ascii="Arial" w:cs="Arial" w:eastAsia="Arial" w:hAnsi="Arial"/>
          <w:b/>
          <w:bCs/>
          <w:color w:val="1F4E79"/>
          <w:sz w:val="28"/>
          <w:szCs w:val="28"/>
        </w:rPr>
        <w:t xml:space="preserve">3. Key Statistical Findings</w:t>
      </w:r>
    </w:p>
    <w:p>
      <w:pPr>
        <w:pStyle w:val="Heading2"/>
        <w:spacing w:before="200" w:after="120"/>
      </w:pPr>
      <w:r>
        <w:rPr>
          <w:rFonts w:ascii="Arial" w:cs="Arial" w:eastAsia="Arial" w:hAnsi="Arial"/>
          <w:b/>
          <w:bCs/>
          <w:color w:val="2E75B6"/>
          <w:sz w:val="24"/>
          <w:szCs w:val="24"/>
        </w:rPr>
        <w:t xml:space="preserve">Sale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Statistic</w:t>
            </w:r>
          </w:p>
        </w:tc>
        <w:tc>
          <w:tcPr>
            <w:tcW w:type="dxa" w:w="57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50"/>
              <w:bottom w:type="dxa" w:w="80"/>
              <w:right w:type="dxa" w:w="150"/>
            </w:tcMar>
          </w:tcPr>
          <w:p>
            <w:r>
              <w:rPr>
                <w:rFonts w:ascii="Arial" w:cs="Arial" w:eastAsia="Arial" w:hAnsi="Arial"/>
                <w:b/>
                <w:bCs/>
                <w:sz w:val="20"/>
                <w:szCs w:val="20"/>
              </w:rPr>
              <w:t xml:space="preserve">Minimum</w:t>
            </w:r>
          </w:p>
        </w:tc>
        <w:tc>
          <w:tcPr>
            <w:tcW w:type="dxa" w:w="5760"/>
            <w:tcBorders>
              <w:top w:val="single" w:color="CCCCCC" w:sz="1"/>
              <w:left w:val="single" w:color="CCCCCC" w:sz="1"/>
              <w:bottom w:val="single" w:color="CCCCCC" w:sz="1"/>
              <w:right w:val="single" w:color="CCCCCC" w:sz="1"/>
            </w:tcBorders>
            <w:shd w:fill="F5F9FE" w:val="clear"/>
            <w:tcMar>
              <w:top w:type="dxa" w:w="80"/>
              <w:left w:type="dxa" w:w="150"/>
              <w:bottom w:type="dxa" w:w="80"/>
              <w:right w:type="dxa" w:w="150"/>
            </w:tcMar>
          </w:tcPr>
          <w:p>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Maximum</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$620,000,000</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50"/>
              <w:bottom w:type="dxa" w:w="80"/>
              <w:right w:type="dxa" w:w="150"/>
            </w:tcMar>
          </w:tcPr>
          <w:p>
            <w:r>
              <w:rPr>
                <w:rFonts w:ascii="Arial" w:cs="Arial" w:eastAsia="Arial" w:hAnsi="Arial"/>
                <w:b/>
                <w:bCs/>
                <w:sz w:val="20"/>
                <w:szCs w:val="20"/>
              </w:rPr>
              <w:t xml:space="preserve">Median</w:t>
            </w:r>
          </w:p>
        </w:tc>
        <w:tc>
          <w:tcPr>
            <w:tcW w:type="dxa" w:w="5760"/>
            <w:tcBorders>
              <w:top w:val="single" w:color="CCCCCC" w:sz="1"/>
              <w:left w:val="single" w:color="CCCCCC" w:sz="1"/>
              <w:bottom w:val="single" w:color="CCCCCC" w:sz="1"/>
              <w:right w:val="single" w:color="CCCCCC" w:sz="1"/>
            </w:tcBorders>
            <w:shd w:fill="F5F9FE" w:val="clear"/>
            <w:tcMar>
              <w:top w:type="dxa" w:w="80"/>
              <w:left w:type="dxa" w:w="150"/>
              <w:bottom w:type="dxa" w:w="80"/>
              <w:right w:type="dxa" w:w="150"/>
            </w:tcMar>
          </w:tcPr>
          <w:p>
            <w:r>
              <w:rPr>
                <w:rFonts w:ascii="Arial" w:cs="Arial" w:eastAsia="Arial" w:hAnsi="Arial"/>
                <w:sz w:val="20"/>
                <w:szCs w:val="20"/>
              </w:rPr>
              <w:t xml:space="preserve">~$620,000</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Mean</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~$1,170,000</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50"/>
              <w:bottom w:type="dxa" w:w="80"/>
              <w:right w:type="dxa" w:w="150"/>
            </w:tcMar>
          </w:tcPr>
          <w:p>
            <w:r>
              <w:rPr>
                <w:rFonts w:ascii="Arial" w:cs="Arial" w:eastAsia="Arial" w:hAnsi="Arial"/>
                <w:b/>
                <w:bCs/>
                <w:sz w:val="20"/>
                <w:szCs w:val="20"/>
              </w:rPr>
              <w:t xml:space="preserve">Distribution shape</w:t>
            </w:r>
          </w:p>
        </w:tc>
        <w:tc>
          <w:tcPr>
            <w:tcW w:type="dxa" w:w="5760"/>
            <w:tcBorders>
              <w:top w:val="single" w:color="CCCCCC" w:sz="1"/>
              <w:left w:val="single" w:color="CCCCCC" w:sz="1"/>
              <w:bottom w:val="single" w:color="CCCCCC" w:sz="1"/>
              <w:right w:val="single" w:color="CCCCCC" w:sz="1"/>
            </w:tcBorders>
            <w:shd w:fill="F5F9FE" w:val="clear"/>
            <w:tcMar>
              <w:top w:type="dxa" w:w="80"/>
              <w:left w:type="dxa" w:w="150"/>
              <w:bottom w:type="dxa" w:w="80"/>
              <w:right w:type="dxa" w:w="150"/>
            </w:tcMar>
          </w:tcPr>
          <w:p>
            <w:r>
              <w:rPr>
                <w:rFonts w:ascii="Arial" w:cs="Arial" w:eastAsia="Arial" w:hAnsi="Arial"/>
                <w:sz w:val="20"/>
                <w:szCs w:val="20"/>
              </w:rPr>
              <w:t xml:space="preserve">Strongly right-skewed</w:t>
            </w:r>
          </w:p>
        </w:tc>
      </w:tr>
    </w:tbl>
    <w:p>
      <w:pPr>
        <w:spacing w:before="160" w:after="80"/>
      </w:pPr>
    </w:p>
    <w:p>
      <w:pPr>
        <w:spacing w:before="80" w:after="100"/>
      </w:pPr>
      <w:r>
        <w:rPr>
          <w:rFonts w:ascii="Arial" w:cs="Arial" w:eastAsia="Arial" w:hAnsi="Arial"/>
          <w:sz w:val="22"/>
          <w:szCs w:val="22"/>
        </w:rPr>
        <w:t xml:space="preserve">The wide gap between mean and median reflects a small number of ultra-high-value luxury properties that pull the average upward. Similar skewness was observed in land square footage, gross square footage, and unit counts.</w:t>
      </w:r>
    </w:p>
    <w:p>
      <w:pPr>
        <w:pStyle w:val="Heading2"/>
        <w:spacing w:before="200" w:after="120"/>
      </w:pPr>
      <w:r>
        <w:rPr>
          <w:rFonts w:ascii="Arial" w:cs="Arial" w:eastAsia="Arial" w:hAnsi="Arial"/>
          <w:b/>
          <w:bCs/>
          <w:color w:val="2E75B6"/>
          <w:sz w:val="24"/>
          <w:szCs w:val="24"/>
        </w:rPr>
        <w:t xml:space="preserve">Geographic Patterns</w:t>
      </w:r>
    </w:p>
    <w:p>
      <w:pPr>
        <w:pStyle w:val="ListParagraph"/>
        <w:numPr>
          <w:ilvl w:val="0"/>
          <w:numId w:val="2"/>
        </w:numPr>
        <w:spacing w:before="40" w:after="40"/>
      </w:pPr>
      <w:r>
        <w:rPr>
          <w:rFonts w:ascii="Arial" w:cs="Arial" w:eastAsia="Arial" w:hAnsi="Arial"/>
          <w:sz w:val="22"/>
          <w:szCs w:val="22"/>
        </w:rPr>
        <w:t xml:space="preserve">Queens had the highest number of residential transactions</w:t>
      </w:r>
    </w:p>
    <w:p>
      <w:pPr>
        <w:pStyle w:val="ListParagraph"/>
        <w:numPr>
          <w:ilvl w:val="0"/>
          <w:numId w:val="2"/>
        </w:numPr>
        <w:spacing w:before="40" w:after="40"/>
      </w:pPr>
      <w:r>
        <w:rPr>
          <w:rFonts w:ascii="Arial" w:cs="Arial" w:eastAsia="Arial" w:hAnsi="Arial"/>
          <w:sz w:val="22"/>
          <w:szCs w:val="22"/>
        </w:rPr>
        <w:t xml:space="preserve">Brooklyn ranked second in transaction volume</w:t>
      </w:r>
    </w:p>
    <w:p>
      <w:pPr>
        <w:pStyle w:val="ListParagraph"/>
        <w:numPr>
          <w:ilvl w:val="0"/>
          <w:numId w:val="2"/>
        </w:numPr>
        <w:spacing w:before="40" w:after="40"/>
      </w:pPr>
      <w:r>
        <w:rPr>
          <w:rFonts w:ascii="Arial" w:cs="Arial" w:eastAsia="Arial" w:hAnsi="Arial"/>
          <w:sz w:val="22"/>
          <w:szCs w:val="22"/>
        </w:rPr>
        <w:t xml:space="preserve">Manhattan had the highest median and mean sale prices by borough</w:t>
      </w:r>
    </w:p>
    <w:p>
      <w:pPr>
        <w:pStyle w:val="ListParagraph"/>
        <w:numPr>
          <w:ilvl w:val="0"/>
          <w:numId w:val="2"/>
        </w:numPr>
        <w:spacing w:before="40" w:after="40"/>
      </w:pPr>
      <w:r>
        <w:rPr>
          <w:rFonts w:ascii="Arial" w:cs="Arial" w:eastAsia="Arial" w:hAnsi="Arial"/>
          <w:sz w:val="22"/>
          <w:szCs w:val="22"/>
        </w:rPr>
        <w:t xml:space="preserve">Staten Island and the Bronx had significantly fewer transactions</w:t>
      </w:r>
    </w:p>
    <w:p>
      <w:pPr>
        <w:pStyle w:val="ListParagraph"/>
        <w:numPr>
          <w:ilvl w:val="0"/>
          <w:numId w:val="2"/>
        </w:numPr>
        <w:spacing w:before="40" w:after="40"/>
      </w:pPr>
      <w:r>
        <w:rPr>
          <w:rFonts w:ascii="Arial" w:cs="Arial" w:eastAsia="Arial" w:hAnsi="Arial"/>
          <w:sz w:val="22"/>
          <w:szCs w:val="22"/>
        </w:rPr>
        <w:t xml:space="preserve">Top neighborhoods by activity: Upper East Side, Flushing, Upper West Side</w:t>
      </w:r>
    </w:p>
    <w:p>
      <w:pPr>
        <w:pStyle w:val="Heading2"/>
        <w:spacing w:before="200" w:after="120"/>
      </w:pPr>
      <w:r>
        <w:rPr>
          <w:rFonts w:ascii="Arial" w:cs="Arial" w:eastAsia="Arial" w:hAnsi="Arial"/>
          <w:b/>
          <w:bCs/>
          <w:color w:val="2E75B6"/>
          <w:sz w:val="24"/>
          <w:szCs w:val="24"/>
        </w:rPr>
        <w:t xml:space="preserve">Building Types</w:t>
      </w:r>
    </w:p>
    <w:p>
      <w:pPr>
        <w:pStyle w:val="ListParagraph"/>
        <w:numPr>
          <w:ilvl w:val="0"/>
          <w:numId w:val="2"/>
        </w:numPr>
        <w:spacing w:before="40" w:after="40"/>
      </w:pPr>
      <w:r>
        <w:rPr>
          <w:rFonts w:ascii="Arial" w:cs="Arial" w:eastAsia="Arial" w:hAnsi="Arial"/>
          <w:sz w:val="22"/>
          <w:szCs w:val="22"/>
        </w:rPr>
        <w:t xml:space="preserve">Condominiums, one-family homes, and elevator apartment buildings accounted for the majority of sales</w:t>
      </w:r>
    </w:p>
    <w:p>
      <w:pPr>
        <w:pStyle w:val="Heading2"/>
        <w:spacing w:before="200" w:after="120"/>
      </w:pPr>
      <w:r>
        <w:rPr>
          <w:rFonts w:ascii="Arial" w:cs="Arial" w:eastAsia="Arial" w:hAnsi="Arial"/>
          <w:b/>
          <w:bCs/>
          <w:color w:val="2E75B6"/>
          <w:sz w:val="24"/>
          <w:szCs w:val="24"/>
        </w:rPr>
        <w:t xml:space="preserve">Correlation Analysis</w:t>
      </w:r>
    </w:p>
    <w:p>
      <w:pPr>
        <w:pStyle w:val="ListParagraph"/>
        <w:numPr>
          <w:ilvl w:val="0"/>
          <w:numId w:val="2"/>
        </w:numPr>
        <w:spacing w:before="40" w:after="40"/>
      </w:pPr>
      <w:r>
        <w:rPr>
          <w:rFonts w:ascii="Arial" w:cs="Arial" w:eastAsia="Arial" w:hAnsi="Arial"/>
          <w:sz w:val="22"/>
          <w:szCs w:val="22"/>
        </w:rPr>
        <w:t xml:space="preserve">Sale price had the strongest positive correlation with gross square footage</w:t>
      </w:r>
    </w:p>
    <w:p>
      <w:pPr>
        <w:pStyle w:val="ListParagraph"/>
        <w:numPr>
          <w:ilvl w:val="0"/>
          <w:numId w:val="2"/>
        </w:numPr>
        <w:spacing w:before="40" w:after="40"/>
      </w:pPr>
      <w:r>
        <w:rPr>
          <w:rFonts w:ascii="Arial" w:cs="Arial" w:eastAsia="Arial" w:hAnsi="Arial"/>
          <w:sz w:val="22"/>
          <w:szCs w:val="22"/>
        </w:rPr>
        <w:t xml:space="preserve">Total units and residential units also correlated positively with price</w:t>
      </w:r>
    </w:p>
    <w:p>
      <w:pPr>
        <w:pStyle w:val="ListParagraph"/>
        <w:numPr>
          <w:ilvl w:val="0"/>
          <w:numId w:val="2"/>
        </w:numPr>
        <w:spacing w:before="40" w:after="40"/>
      </w:pPr>
      <w:r>
        <w:rPr>
          <w:rFonts w:ascii="Arial" w:cs="Arial" w:eastAsia="Arial" w:hAnsi="Arial"/>
          <w:sz w:val="22"/>
          <w:szCs w:val="22"/>
        </w:rPr>
        <w:t xml:space="preserve">Outlier analysis confirmed that high-value properties were mostly legitimate luxury transactions, not data errors</w:t>
      </w:r>
    </w:p>
    <w:p>
      <w:pPr>
        <w:spacing w:before="240" w:after="80"/>
      </w:pPr>
    </w:p>
    <w:p>
      <w:pPr>
        <w:pStyle w:val="Heading1"/>
        <w:spacing w:before="300" w:after="160"/>
      </w:pPr>
      <w:r>
        <w:rPr>
          <w:rFonts w:ascii="Arial" w:cs="Arial" w:eastAsia="Arial" w:hAnsi="Arial"/>
          <w:b/>
          <w:bCs/>
          <w:color w:val="1F4E79"/>
          <w:sz w:val="28"/>
          <w:szCs w:val="28"/>
        </w:rPr>
        <w:t xml:space="preserve">4. Visualizations</w:t>
      </w:r>
    </w:p>
    <w:p>
      <w:pPr>
        <w:spacing w:before="80" w:after="100"/>
      </w:pPr>
      <w:r>
        <w:rPr>
          <w:rFonts w:ascii="Arial" w:cs="Arial" w:eastAsia="Arial" w:hAnsi="Arial"/>
          <w:sz w:val="22"/>
          <w:szCs w:val="22"/>
        </w:rPr>
        <w:t xml:space="preserve">The following charts were generated using matplotlib:</w:t>
      </w:r>
    </w:p>
    <w:p>
      <w:pPr>
        <w:pStyle w:val="ListParagraph"/>
        <w:numPr>
          <w:ilvl w:val="0"/>
          <w:numId w:val="2"/>
        </w:numPr>
        <w:spacing w:before="40" w:after="40"/>
      </w:pPr>
      <w:r>
        <w:rPr>
          <w:rFonts w:ascii="Arial" w:cs="Arial" w:eastAsia="Arial" w:hAnsi="Arial"/>
          <w:sz w:val="22"/>
          <w:szCs w:val="22"/>
        </w:rPr>
        <w:t xml:space="preserve">Sale Price Distribution Histogram — confirms right-skewed distribution (capped at $5M for readability)</w:t>
      </w:r>
    </w:p>
    <w:p>
      <w:pPr>
        <w:pStyle w:val="ListParagraph"/>
        <w:numPr>
          <w:ilvl w:val="0"/>
          <w:numId w:val="2"/>
        </w:numPr>
        <w:spacing w:before="40" w:after="40"/>
      </w:pPr>
      <w:r>
        <w:rPr>
          <w:rFonts w:ascii="Arial" w:cs="Arial" w:eastAsia="Arial" w:hAnsi="Arial"/>
          <w:sz w:val="22"/>
          <w:szCs w:val="22"/>
        </w:rPr>
        <w:t xml:space="preserve">Transaction Volume by Borough — bar chart showing Queens leading in count</w:t>
      </w:r>
    </w:p>
    <w:p>
      <w:pPr>
        <w:pStyle w:val="ListParagraph"/>
        <w:numPr>
          <w:ilvl w:val="0"/>
          <w:numId w:val="2"/>
        </w:numPr>
        <w:spacing w:before="40" w:after="40"/>
      </w:pPr>
      <w:r>
        <w:rPr>
          <w:rFonts w:ascii="Arial" w:cs="Arial" w:eastAsia="Arial" w:hAnsi="Arial"/>
          <w:sz w:val="22"/>
          <w:szCs w:val="22"/>
        </w:rPr>
        <w:t xml:space="preserve">Median Sale Price by Borough — highlights Manhattan’s premium pricing</w:t>
      </w:r>
    </w:p>
    <w:p>
      <w:pPr>
        <w:pStyle w:val="ListParagraph"/>
        <w:numPr>
          <w:ilvl w:val="0"/>
          <w:numId w:val="2"/>
        </w:numPr>
        <w:spacing w:before="40" w:after="40"/>
      </w:pPr>
      <w:r>
        <w:rPr>
          <w:rFonts w:ascii="Arial" w:cs="Arial" w:eastAsia="Arial" w:hAnsi="Arial"/>
          <w:sz w:val="22"/>
          <w:szCs w:val="22"/>
        </w:rPr>
        <w:t xml:space="preserve">Mean Sale Price by Borough — further illustrates influence of luxury outliers</w:t>
      </w:r>
    </w:p>
    <w:p>
      <w:pPr>
        <w:pStyle w:val="ListParagraph"/>
        <w:numPr>
          <w:ilvl w:val="0"/>
          <w:numId w:val="2"/>
        </w:numPr>
        <w:spacing w:before="40" w:after="40"/>
      </w:pPr>
      <w:r>
        <w:rPr>
          <w:rFonts w:ascii="Arial" w:cs="Arial" w:eastAsia="Arial" w:hAnsi="Arial"/>
          <w:sz w:val="22"/>
          <w:szCs w:val="22"/>
        </w:rPr>
        <w:t xml:space="preserve">Gross Sq. Ft. vs. Sale Price Scatter Plot — visual confirmation of positive correlation</w:t>
      </w:r>
    </w:p>
    <w:p>
      <w:pPr>
        <w:pStyle w:val="ListParagraph"/>
        <w:numPr>
          <w:ilvl w:val="0"/>
          <w:numId w:val="2"/>
        </w:numPr>
        <w:spacing w:before="40" w:after="40"/>
      </w:pPr>
      <w:r>
        <w:rPr>
          <w:rFonts w:ascii="Arial" w:cs="Arial" w:eastAsia="Arial" w:hAnsi="Arial"/>
          <w:sz w:val="22"/>
          <w:szCs w:val="22"/>
        </w:rPr>
        <w:t xml:space="preserve">Top 10 Neighborhoods by Transaction Volume — with median prices overlaid</w:t>
      </w:r>
    </w:p>
    <w:p>
      <w:pPr>
        <w:pStyle w:val="ListParagraph"/>
        <w:numPr>
          <w:ilvl w:val="0"/>
          <w:numId w:val="2"/>
        </w:numPr>
        <w:spacing w:before="40" w:after="40"/>
      </w:pPr>
      <w:r>
        <w:rPr>
          <w:rFonts w:ascii="Arial" w:cs="Arial" w:eastAsia="Arial" w:hAnsi="Arial"/>
          <w:sz w:val="22"/>
          <w:szCs w:val="22"/>
        </w:rPr>
        <w:t xml:space="preserve">Top 10 and Bottom 10 Neighborhoods by Median Sale Price</w:t>
      </w:r>
    </w:p>
    <w:p>
      <w:pPr>
        <w:pStyle w:val="ListParagraph"/>
        <w:numPr>
          <w:ilvl w:val="0"/>
          <w:numId w:val="2"/>
        </w:numPr>
        <w:spacing w:before="40" w:after="40"/>
      </w:pPr>
      <w:r>
        <w:rPr>
          <w:rFonts w:ascii="Arial" w:cs="Arial" w:eastAsia="Arial" w:hAnsi="Arial"/>
          <w:sz w:val="22"/>
          <w:szCs w:val="22"/>
        </w:rPr>
        <w:t xml:space="preserve">Sales by Building Type (Horizontal Bar) — condos and one-family homes lead</w:t>
      </w:r>
    </w:p>
    <w:p>
      <w:pPr>
        <w:spacing w:before="240" w:after="80"/>
      </w:pPr>
    </w:p>
    <w:p>
      <w:pPr>
        <w:pStyle w:val="Heading1"/>
        <w:spacing w:before="300" w:after="160"/>
      </w:pPr>
      <w:r>
        <w:rPr>
          <w:rFonts w:ascii="Arial" w:cs="Arial" w:eastAsia="Arial" w:hAnsi="Arial"/>
          <w:b/>
          <w:bCs/>
          <w:color w:val="1F4E79"/>
          <w:sz w:val="28"/>
          <w:szCs w:val="28"/>
        </w:rPr>
        <w:t xml:space="preserve">5. Database Export</w:t>
      </w:r>
    </w:p>
    <w:p>
      <w:pPr>
        <w:spacing w:before="80" w:after="100"/>
      </w:pPr>
      <w:r>
        <w:rPr>
          <w:rFonts w:ascii="Arial" w:cs="Arial" w:eastAsia="Arial" w:hAnsi="Arial"/>
          <w:sz w:val="22"/>
          <w:szCs w:val="22"/>
        </w:rPr>
        <w:t xml:space="preserve">The cleaned DataFrame was exported to a local SQLite database (nyc_property_sales.db) using Python’s built-in sqlite3 library. The table nyc_property_sales_clean was created and verified with a SELECT query, confirming all 56,566 records were written correctly.</w:t>
      </w:r>
    </w:p>
    <w:p>
      <w:pPr>
        <w:spacing w:before="240" w:after="80"/>
      </w:pPr>
    </w:p>
    <w:p>
      <w:pPr>
        <w:pStyle w:val="Heading1"/>
        <w:spacing w:before="300" w:after="160"/>
      </w:pPr>
      <w:r>
        <w:rPr>
          <w:rFonts w:ascii="Arial" w:cs="Arial" w:eastAsia="Arial" w:hAnsi="Arial"/>
          <w:b/>
          <w:bCs/>
          <w:color w:val="1F4E79"/>
          <w:sz w:val="28"/>
          <w:szCs w:val="28"/>
        </w:rPr>
        <w:t xml:space="preserve">6. Challenges &amp; Learning</w:t>
      </w:r>
    </w:p>
    <w:p>
      <w:pPr>
        <w:pStyle w:val="ListParagraph"/>
        <w:numPr>
          <w:ilvl w:val="0"/>
          <w:numId w:val="2"/>
        </w:numPr>
        <w:spacing w:before="40" w:after="40"/>
      </w:pPr>
      <w:r>
        <w:rPr>
          <w:rFonts w:ascii="Arial" w:cs="Arial" w:eastAsia="Arial" w:hAnsi="Arial"/>
          <w:sz w:val="22"/>
          <w:szCs w:val="22"/>
        </w:rPr>
        <w:t xml:space="preserve">Handling inconsistent text labels across the NEIGHBORHOOD column required careful manual mapping</w:t>
      </w:r>
    </w:p>
    <w:p>
      <w:pPr>
        <w:pStyle w:val="ListParagraph"/>
        <w:numPr>
          <w:ilvl w:val="0"/>
          <w:numId w:val="2"/>
        </w:numPr>
        <w:spacing w:before="40" w:after="40"/>
      </w:pPr>
      <w:r>
        <w:rPr>
          <w:rFonts w:ascii="Arial" w:cs="Arial" w:eastAsia="Arial" w:hAnsi="Arial"/>
          <w:sz w:val="22"/>
          <w:szCs w:val="22"/>
        </w:rPr>
        <w:t xml:space="preserve">Converting dash-placeholder strings (" - ") to NaN before numeric type conversion was a non-obvious step</w:t>
      </w:r>
    </w:p>
    <w:p>
      <w:pPr>
        <w:pStyle w:val="ListParagraph"/>
        <w:numPr>
          <w:ilvl w:val="0"/>
          <w:numId w:val="2"/>
        </w:numPr>
        <w:spacing w:before="40" w:after="40"/>
      </w:pPr>
      <w:r>
        <w:rPr>
          <w:rFonts w:ascii="Arial" w:cs="Arial" w:eastAsia="Arial" w:hAnsi="Arial"/>
          <w:sz w:val="22"/>
          <w:szCs w:val="22"/>
        </w:rPr>
        <w:t xml:space="preserve">Managing a dataset of ~85K rows efficiently in Google Colab required attention to memory and runtime</w:t>
      </w:r>
    </w:p>
    <w:p>
      <w:pPr>
        <w:pStyle w:val="ListParagraph"/>
        <w:numPr>
          <w:ilvl w:val="0"/>
          <w:numId w:val="2"/>
        </w:numPr>
        <w:spacing w:before="40" w:after="40"/>
      </w:pPr>
      <w:r>
        <w:rPr>
          <w:rFonts w:ascii="Arial" w:cs="Arial" w:eastAsia="Arial" w:hAnsi="Arial"/>
          <w:sz w:val="22"/>
          <w:szCs w:val="22"/>
        </w:rPr>
        <w:t xml:space="preserve">Interpreting IQR-based outlier detection required research into the method and its tradeoffs</w:t>
      </w:r>
    </w:p>
    <w:p>
      <w:pPr>
        <w:pStyle w:val="ListParagraph"/>
        <w:numPr>
          <w:ilvl w:val="0"/>
          <w:numId w:val="2"/>
        </w:numPr>
        <w:spacing w:before="40" w:after="40"/>
      </w:pPr>
      <w:r>
        <w:rPr>
          <w:rFonts w:ascii="Arial" w:cs="Arial" w:eastAsia="Arial" w:hAnsi="Arial"/>
          <w:sz w:val="22"/>
          <w:szCs w:val="22"/>
        </w:rPr>
        <w:t xml:space="preserve">Understanding pandas correlation matrices and selecting the right subset of numeric columns</w:t>
      </w:r>
    </w:p>
    <w:p>
      <w:pPr>
        <w:pStyle w:val="ListParagraph"/>
        <w:numPr>
          <w:ilvl w:val="0"/>
          <w:numId w:val="2"/>
        </w:numPr>
        <w:spacing w:before="40" w:after="40"/>
      </w:pPr>
      <w:r>
        <w:rPr>
          <w:rFonts w:ascii="Arial" w:cs="Arial" w:eastAsia="Arial" w:hAnsi="Arial"/>
          <w:sz w:val="22"/>
          <w:szCs w:val="22"/>
        </w:rPr>
        <w:t xml:space="preserve">Learning the opendatasets Kaggle API integration and authentication flow</w:t>
      </w:r>
    </w:p>
    <w:p>
      <w:pPr>
        <w:spacing w:before="240" w:after="80"/>
      </w:pPr>
    </w:p>
    <w:p>
      <w:pPr>
        <w:pStyle w:val="Heading1"/>
        <w:spacing w:before="300" w:after="160"/>
      </w:pPr>
      <w:r>
        <w:rPr>
          <w:rFonts w:ascii="Arial" w:cs="Arial" w:eastAsia="Arial" w:hAnsi="Arial"/>
          <w:b/>
          <w:bCs/>
          <w:color w:val="1F4E79"/>
          <w:sz w:val="28"/>
          <w:szCs w:val="28"/>
        </w:rPr>
        <w:t xml:space="preserve">7. Future Extensions</w:t>
      </w:r>
    </w:p>
    <w:p>
      <w:pPr>
        <w:pStyle w:val="ListParagraph"/>
        <w:numPr>
          <w:ilvl w:val="0"/>
          <w:numId w:val="2"/>
        </w:numPr>
        <w:spacing w:before="40" w:after="40"/>
      </w:pPr>
      <w:r>
        <w:rPr>
          <w:rFonts w:ascii="Arial" w:cs="Arial" w:eastAsia="Arial" w:hAnsi="Arial"/>
          <w:sz w:val="22"/>
          <w:szCs w:val="22"/>
        </w:rPr>
        <w:t xml:space="preserve">Add features such as year built or number of bedrooms for richer modeling</w:t>
      </w:r>
    </w:p>
    <w:p>
      <w:pPr>
        <w:pStyle w:val="ListParagraph"/>
        <w:numPr>
          <w:ilvl w:val="0"/>
          <w:numId w:val="2"/>
        </w:numPr>
        <w:spacing w:before="40" w:after="40"/>
      </w:pPr>
      <w:r>
        <w:rPr>
          <w:rFonts w:ascii="Arial" w:cs="Arial" w:eastAsia="Arial" w:hAnsi="Arial"/>
          <w:sz w:val="22"/>
          <w:szCs w:val="22"/>
        </w:rPr>
        <w:t xml:space="preserve">Conduct time-series analysis across multiple years to track price trends</w:t>
      </w:r>
    </w:p>
    <w:p>
      <w:pPr>
        <w:pStyle w:val="ListParagraph"/>
        <w:numPr>
          <w:ilvl w:val="0"/>
          <w:numId w:val="2"/>
        </w:numPr>
        <w:spacing w:before="40" w:after="40"/>
      </w:pPr>
      <w:r>
        <w:rPr>
          <w:rFonts w:ascii="Arial" w:cs="Arial" w:eastAsia="Arial" w:hAnsi="Arial"/>
          <w:sz w:val="22"/>
          <w:szCs w:val="22"/>
        </w:rPr>
        <w:t xml:space="preserve">Join with NYC census or crime datasets for neighborhood-level socioeconomic context</w:t>
      </w:r>
    </w:p>
    <w:p>
      <w:pPr>
        <w:pStyle w:val="ListParagraph"/>
        <w:numPr>
          <w:ilvl w:val="0"/>
          <w:numId w:val="2"/>
        </w:numPr>
        <w:spacing w:before="40" w:after="40"/>
      </w:pPr>
      <w:r>
        <w:rPr>
          <w:rFonts w:ascii="Arial" w:cs="Arial" w:eastAsia="Arial" w:hAnsi="Arial"/>
          <w:sz w:val="22"/>
          <w:szCs w:val="22"/>
        </w:rPr>
        <w:t xml:space="preserve">Build a predictive regression model to estimate property prices from available features</w:t>
      </w:r>
    </w:p>
    <w:p>
      <w:pPr>
        <w:pStyle w:val="ListParagraph"/>
        <w:numPr>
          <w:ilvl w:val="0"/>
          <w:numId w:val="2"/>
        </w:numPr>
        <w:spacing w:before="40" w:after="40"/>
      </w:pPr>
      <w:r>
        <w:rPr>
          <w:rFonts w:ascii="Arial" w:cs="Arial" w:eastAsia="Arial" w:hAnsi="Arial"/>
          <w:sz w:val="22"/>
          <w:szCs w:val="22"/>
        </w:rPr>
        <w:t xml:space="preserve">Deploy an interactive dashboard using Plotly Dash or Streamlit</w:t>
      </w:r>
    </w:p>
    <w:p>
      <w:pPr>
        <w:spacing w:before="240" w:after="80"/>
      </w:pPr>
    </w:p>
    <w:p>
      <w:pPr>
        <w:pStyle w:val="Heading1"/>
        <w:spacing w:before="300" w:after="160"/>
      </w:pPr>
      <w:r>
        <w:rPr>
          <w:rFonts w:ascii="Arial" w:cs="Arial" w:eastAsia="Arial" w:hAnsi="Arial"/>
          <w:b/>
          <w:bCs/>
          <w:color w:val="1F4E79"/>
          <w:sz w:val="28"/>
          <w:szCs w:val="28"/>
        </w:rPr>
        <w:t xml:space="preserve">8. References</w:t>
      </w:r>
    </w:p>
    <w:p>
      <w:pPr>
        <w:pStyle w:val="ListParagraph"/>
        <w:numPr>
          <w:ilvl w:val="0"/>
          <w:numId w:val="2"/>
        </w:numPr>
        <w:spacing w:before="40" w:after="40"/>
      </w:pPr>
      <w:r>
        <w:rPr>
          <w:rFonts w:ascii="Arial" w:cs="Arial" w:eastAsia="Arial" w:hAnsi="Arial"/>
          <w:sz w:val="22"/>
          <w:szCs w:val="22"/>
        </w:rPr>
        <w:t xml:space="preserve">Omar M. Atef (2023). “How to use Kaggle Datasets directly in Colab.” YouTube. https://www.youtube.com/watch?v=s9O6soJES74</w:t>
      </w:r>
    </w:p>
    <w:p>
      <w:pPr>
        <w:pStyle w:val="ListParagraph"/>
        <w:numPr>
          <w:ilvl w:val="0"/>
          <w:numId w:val="2"/>
        </w:numPr>
        <w:spacing w:before="40" w:after="40"/>
      </w:pPr>
      <w:r>
        <w:rPr>
          <w:rFonts w:ascii="Arial" w:cs="Arial" w:eastAsia="Arial" w:hAnsi="Arial"/>
          <w:sz w:val="22"/>
          <w:szCs w:val="22"/>
        </w:rPr>
        <w:t xml:space="preserve">NYC Department of Finance – Rolling Sales Data. https://www.nyc.gov/site/finance/taxes/property-rolling-sales-data.page</w:t>
      </w:r>
    </w:p>
    <w:p>
      <w:pPr>
        <w:pStyle w:val="ListParagraph"/>
        <w:numPr>
          <w:ilvl w:val="0"/>
          <w:numId w:val="2"/>
        </w:numPr>
        <w:spacing w:before="40" w:after="40"/>
      </w:pPr>
      <w:r>
        <w:rPr>
          <w:rFonts w:ascii="Arial" w:cs="Arial" w:eastAsia="Arial" w:hAnsi="Arial"/>
          <w:sz w:val="22"/>
          <w:szCs w:val="22"/>
        </w:rPr>
        <w:t xml:space="preserve">Kaggle Dataset: NYC Rolling Property Sales. https://www.kaggle.com/datasets/new-york-city/nyc-property-sales</w:t>
      </w:r>
    </w:p>
    <w:p>
      <w:pPr>
        <w:pStyle w:val="ListParagraph"/>
        <w:numPr>
          <w:ilvl w:val="0"/>
          <w:numId w:val="2"/>
        </w:numPr>
        <w:spacing w:before="40" w:after="40"/>
      </w:pPr>
      <w:r>
        <w:rPr>
          <w:rFonts w:ascii="Arial" w:cs="Arial" w:eastAsia="Arial" w:hAnsi="Arial"/>
          <w:sz w:val="22"/>
          <w:szCs w:val="22"/>
        </w:rPr>
        <w:t xml:space="preserve">pandas documentation: https://pandas.pydata.org/docs/</w:t>
      </w:r>
    </w:p>
    <w:p>
      <w:pPr>
        <w:pStyle w:val="ListParagraph"/>
        <w:numPr>
          <w:ilvl w:val="0"/>
          <w:numId w:val="2"/>
        </w:numPr>
        <w:spacing w:before="40" w:after="40"/>
      </w:pPr>
      <w:r>
        <w:rPr>
          <w:rFonts w:ascii="Arial" w:cs="Arial" w:eastAsia="Arial" w:hAnsi="Arial"/>
          <w:sz w:val="22"/>
          <w:szCs w:val="22"/>
        </w:rPr>
        <w:t xml:space="preserve">sqlite3 – Python Standard Library: https://docs.python.org/3/library/sqlite3.html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sz w:val="28"/>
      <w:szCs w:val="28"/>
    </w:rPr>
  </w:style>
  <w:style w:type="paragraph" w:styleId="Heading2">
    <w:name w:val="Heading 2"/>
    <w:basedOn w:val="Normal"/>
    <w:next w:val="Normal"/>
    <w:qFormat/>
    <w:pPr>
      <w:spacing w:before="20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2026-03-16T22:51:30.134Z</dcterms:created>
  <dcterms:modified xsi:type="dcterms:W3CDTF">2026-03-16T22:51:30.135Z</dcterms:modified>
</cp:coreProperties>
</file>

<file path=docProps/custom.xml><?xml version="1.0" encoding="utf-8"?>
<Properties xmlns="http://schemas.openxmlformats.org/officeDocument/2006/custom-properties" xmlns:vt="http://schemas.openxmlformats.org/officeDocument/2006/docPropsVTypes"/>
</file>