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90 日，付款方式为银行转账。</w:t>
      </w:r>
    </w:p>
    <w:p>
      <w:r>
        <w:t>第二条 违约责任</w:t>
      </w:r>
    </w:p>
    <w:p>
      <w:r>
        <w:t>违约金为合同总金额的 15%。赔偿上限不超过合同总金额。</w:t>
      </w:r>
    </w:p>
    <w:p>
      <w:r>
        <w:t>第三条 验收</w:t>
      </w:r>
    </w:p>
    <w:p>
      <w:r>
        <w:t>验收标准由双方另行确认。</w:t>
      </w:r>
    </w:p>
    <w:p>
      <w:r>
        <w:t>第四条 知识产权</w:t>
      </w:r>
    </w:p>
    <w:p>
      <w:r>
        <w:t>知识产权归属由双方另行协商确定。</w:t>
      </w:r>
    </w:p>
    <w:p>
      <w:r>
        <w:t>第五条 合同解除</w:t>
      </w:r>
    </w:p>
    <w:p>
      <w:r>
        <w:t>经双方协商一致，可以解除本合同。</w:t>
      </w:r>
    </w:p>
    <w:p>
      <w:r>
        <w:t>第六条 管辖</w:t>
      </w:r>
    </w:p>
    <w:p>
      <w:r>
        <w:t>因本合同发生的争议，由被告所在地人民法院管辖。</w:t>
      </w:r>
    </w:p>
    <w:p>
      <w:r>
        <w:t>第七条 保密</w:t>
      </w:r>
    </w:p>
    <w:p>
      <w:r>
        <w:t>保密期限为合同终止后五年。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