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35%。赔偿上限不超过合同总金额。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