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15%。赔偿上限不超过合同总金额。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知识产权归属由双方另行协商确定。</w:t>
      </w:r>
    </w:p>
    <w:p>
      <w:r>
        <w:t>第五条 合同解除</w:t>
      </w:r>
    </w:p>
    <w:p>
      <w:r>
        <w:t>甲方有权随时单方解除本合同。</w:t>
      </w:r>
    </w:p>
    <w:p>
      <w:r>
        <w:t>第六条 管辖</w:t>
      </w:r>
    </w:p>
    <w:p>
      <w:r>
        <w:t>因本合同发生的争议，由被告所在地人民法院管辖。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不可抗力包括但不限于政策调整、市场变化。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