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35%。赔偿上限不超过合同总金额。</w:t>
      </w:r>
    </w:p>
    <w:p>
      <w:r>
        <w:t>第三条 验收</w:t>
      </w:r>
    </w:p>
    <w:p>
      <w:r>
        <w:t>验收标准由双方另行确认。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