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15%。赔偿上限不超过合同总金额。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知识产权归属由双方另行协商确定。</w:t>
      </w:r>
    </w:p>
    <w:p>
      <w:r>
        <w:t>第五条 合同解除</w:t>
      </w:r>
    </w:p>
    <w:p>
      <w:r>
        <w:t>经双方协商一致，可以解除本合同。</w:t>
      </w:r>
    </w:p>
    <w:p>
      <w:r>
        <w:t>第六条 管辖</w:t>
      </w:r>
    </w:p>
    <w:p>
      <w:r>
        <w:t>因本合同发生的争议，由乙方所在地人民法院管辖。</w:t>
      </w:r>
    </w:p>
    <w:p>
      <w:r>
        <w:t>第七条 保密</w:t>
      </w:r>
    </w:p>
    <w:p>
      <w:r>
        <w:t>保密期限由双方另行约定。</w:t>
      </w:r>
    </w:p>
    <w:p>
      <w:r>
        <w:t>第八条 续约</w:t>
      </w:r>
    </w:p>
    <w:p>
      <w:r>
        <w:t>合同期满后如需续约，应提前三十日书面通知对方。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