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D5704" w:rsidRDefault="007D2031">
      <w:pPr>
        <w:rPr>
          <w:b/>
          <w:sz w:val="28"/>
          <w:szCs w:val="28"/>
          <w:u w:val="single"/>
        </w:rPr>
      </w:pPr>
      <w:r>
        <w:rPr>
          <w:b/>
          <w:sz w:val="28"/>
          <w:szCs w:val="28"/>
          <w:u w:val="single"/>
        </w:rPr>
        <w:t>Pre-Scan Checklist</w:t>
      </w:r>
    </w:p>
    <w:p w14:paraId="00000002" w14:textId="77777777" w:rsidR="00AD5704" w:rsidRDefault="007D2031">
      <w:pPr>
        <w:rPr>
          <w:i/>
          <w:sz w:val="28"/>
          <w:szCs w:val="28"/>
        </w:rPr>
      </w:pPr>
      <w:r>
        <w:rPr>
          <w:i/>
          <w:sz w:val="28"/>
          <w:szCs w:val="28"/>
        </w:rPr>
        <w:t>Make sure you are ready for your first scan!</w:t>
      </w:r>
    </w:p>
    <w:p w14:paraId="00000003" w14:textId="77777777" w:rsidR="00AD5704" w:rsidRDefault="00AD5704">
      <w:pPr>
        <w:jc w:val="center"/>
        <w:rPr>
          <w:sz w:val="28"/>
          <w:szCs w:val="28"/>
        </w:rPr>
      </w:pPr>
    </w:p>
    <w:p w14:paraId="00000004" w14:textId="77777777" w:rsidR="00AD5704" w:rsidRDefault="007D2031">
      <w:pPr>
        <w:rPr>
          <w:sz w:val="28"/>
          <w:szCs w:val="28"/>
        </w:rPr>
      </w:pPr>
      <w:r>
        <w:rPr>
          <w:sz w:val="28"/>
          <w:szCs w:val="28"/>
        </w:rPr>
        <w:t>Approvals:</w:t>
      </w:r>
    </w:p>
    <w:p w14:paraId="00000005" w14:textId="77777777" w:rsidR="00AD5704" w:rsidRDefault="007D2031">
      <w:pPr>
        <w:numPr>
          <w:ilvl w:val="0"/>
          <w:numId w:val="1"/>
        </w:numPr>
        <w:rPr>
          <w:sz w:val="28"/>
          <w:szCs w:val="28"/>
        </w:rPr>
      </w:pPr>
      <w:r>
        <w:rPr>
          <w:sz w:val="28"/>
          <w:szCs w:val="28"/>
        </w:rPr>
        <w:t>IRB approval</w:t>
      </w:r>
    </w:p>
    <w:p w14:paraId="00000006" w14:textId="054047C6" w:rsidR="00AD5704" w:rsidRDefault="007D2031">
      <w:pPr>
        <w:ind w:left="1440"/>
        <w:rPr>
          <w:sz w:val="28"/>
          <w:szCs w:val="28"/>
        </w:rPr>
      </w:pPr>
      <w:r>
        <w:rPr>
          <w:i/>
        </w:rPr>
        <w:t xml:space="preserve">Make sure you are listed as personnel on the IRB protocol you will be using. </w:t>
      </w:r>
      <w:r>
        <w:rPr>
          <w:i/>
        </w:rPr>
        <w:t>Send the IRB approval (showing you have been added to the protocol) to the scanning facility (</w:t>
      </w:r>
      <w:hyperlink r:id="rId5" w:history="1">
        <w:r>
          <w:rPr>
            <w:i/>
            <w:color w:val="1155CC"/>
            <w:u w:val="single"/>
          </w:rPr>
          <w:t>scullyhelp@princet</w:t>
        </w:r>
        <w:r>
          <w:rPr>
            <w:i/>
            <w:color w:val="1155CC"/>
            <w:u w:val="single"/>
          </w:rPr>
          <w:t>on.edu</w:t>
        </w:r>
      </w:hyperlink>
      <w:r>
        <w:rPr>
          <w:i/>
        </w:rPr>
        <w:t>) so t</w:t>
      </w:r>
      <w:r>
        <w:rPr>
          <w:i/>
        </w:rPr>
        <w:t>hat they can add you to the project.</w:t>
      </w:r>
    </w:p>
    <w:p w14:paraId="00000007" w14:textId="77777777" w:rsidR="00AD5704" w:rsidRDefault="007D2031">
      <w:pPr>
        <w:numPr>
          <w:ilvl w:val="0"/>
          <w:numId w:val="1"/>
        </w:numPr>
        <w:rPr>
          <w:sz w:val="28"/>
          <w:szCs w:val="28"/>
        </w:rPr>
      </w:pPr>
      <w:r>
        <w:rPr>
          <w:sz w:val="28"/>
          <w:szCs w:val="28"/>
        </w:rPr>
        <w:t xml:space="preserve">Make sure you know which funding source (i.e., </w:t>
      </w:r>
      <w:proofErr w:type="spellStart"/>
      <w:r>
        <w:rPr>
          <w:sz w:val="28"/>
          <w:szCs w:val="28"/>
        </w:rPr>
        <w:t>chartstring</w:t>
      </w:r>
      <w:proofErr w:type="spellEnd"/>
      <w:r>
        <w:rPr>
          <w:sz w:val="28"/>
          <w:szCs w:val="28"/>
        </w:rPr>
        <w:t>) you will be charging for your study.</w:t>
      </w:r>
    </w:p>
    <w:p w14:paraId="00000008" w14:textId="77777777" w:rsidR="00AD5704" w:rsidRDefault="007D2031">
      <w:pPr>
        <w:ind w:left="1440"/>
        <w:rPr>
          <w:sz w:val="28"/>
          <w:szCs w:val="28"/>
        </w:rPr>
      </w:pPr>
      <w:r>
        <w:rPr>
          <w:i/>
        </w:rPr>
        <w:t>You should talk to your PI and get written (emailed) approval of your funding source.</w:t>
      </w:r>
    </w:p>
    <w:p w14:paraId="00000009" w14:textId="77777777" w:rsidR="00AD5704" w:rsidRDefault="007D2031">
      <w:pPr>
        <w:numPr>
          <w:ilvl w:val="0"/>
          <w:numId w:val="1"/>
        </w:numPr>
        <w:rPr>
          <w:sz w:val="28"/>
          <w:szCs w:val="28"/>
        </w:rPr>
      </w:pPr>
      <w:hyperlink r:id="rId6">
        <w:r>
          <w:rPr>
            <w:color w:val="1155CC"/>
            <w:sz w:val="28"/>
            <w:szCs w:val="28"/>
            <w:u w:val="single"/>
          </w:rPr>
          <w:t>Level 1 or Level 2 certification</w:t>
        </w:r>
      </w:hyperlink>
    </w:p>
    <w:p w14:paraId="0000000A" w14:textId="77777777" w:rsidR="00AD5704" w:rsidRDefault="007D2031">
      <w:pPr>
        <w:numPr>
          <w:ilvl w:val="1"/>
          <w:numId w:val="1"/>
        </w:numPr>
        <w:rPr>
          <w:sz w:val="24"/>
          <w:szCs w:val="24"/>
        </w:rPr>
      </w:pPr>
      <w:r>
        <w:rPr>
          <w:sz w:val="24"/>
          <w:szCs w:val="24"/>
        </w:rPr>
        <w:t xml:space="preserve">After getting Level 1 certification, create your </w:t>
      </w:r>
      <w:hyperlink r:id="rId7">
        <w:r>
          <w:rPr>
            <w:color w:val="1155CC"/>
            <w:sz w:val="24"/>
            <w:szCs w:val="24"/>
            <w:u w:val="single"/>
          </w:rPr>
          <w:t>Tesla a</w:t>
        </w:r>
        <w:r>
          <w:rPr>
            <w:color w:val="1155CC"/>
            <w:sz w:val="24"/>
            <w:szCs w:val="24"/>
            <w:u w:val="single"/>
          </w:rPr>
          <w:t>ccount</w:t>
        </w:r>
      </w:hyperlink>
      <w:r>
        <w:rPr>
          <w:sz w:val="24"/>
          <w:szCs w:val="24"/>
        </w:rPr>
        <w:t>; you will be emailed information about how to do this.</w:t>
      </w:r>
    </w:p>
    <w:p w14:paraId="0000000B" w14:textId="77777777" w:rsidR="00AD5704" w:rsidRDefault="007D2031">
      <w:pPr>
        <w:numPr>
          <w:ilvl w:val="1"/>
          <w:numId w:val="1"/>
        </w:numPr>
        <w:rPr>
          <w:sz w:val="24"/>
          <w:szCs w:val="24"/>
        </w:rPr>
      </w:pPr>
      <w:r>
        <w:rPr>
          <w:sz w:val="24"/>
          <w:szCs w:val="24"/>
        </w:rPr>
        <w:t xml:space="preserve">Also, after getting Level 1 certification, signup to </w:t>
      </w:r>
      <w:hyperlink r:id="rId8" w:anchor="gid=197880865">
        <w:r>
          <w:rPr>
            <w:color w:val="1155CC"/>
            <w:sz w:val="24"/>
            <w:szCs w:val="24"/>
            <w:u w:val="single"/>
          </w:rPr>
          <w:t>buddy</w:t>
        </w:r>
      </w:hyperlink>
      <w:r>
        <w:rPr>
          <w:sz w:val="24"/>
          <w:szCs w:val="24"/>
        </w:rPr>
        <w:t xml:space="preserve"> for othe</w:t>
      </w:r>
      <w:r>
        <w:rPr>
          <w:sz w:val="24"/>
          <w:szCs w:val="24"/>
        </w:rPr>
        <w:t xml:space="preserve">r users! This is a great way to get experience scanning and work toward your Level 2 certification. </w:t>
      </w:r>
    </w:p>
    <w:p w14:paraId="0000000C" w14:textId="77777777" w:rsidR="00AD5704" w:rsidRDefault="007D2031">
      <w:pPr>
        <w:numPr>
          <w:ilvl w:val="1"/>
          <w:numId w:val="1"/>
        </w:numPr>
        <w:rPr>
          <w:sz w:val="24"/>
          <w:szCs w:val="24"/>
        </w:rPr>
      </w:pPr>
      <w:r>
        <w:rPr>
          <w:sz w:val="24"/>
          <w:szCs w:val="24"/>
        </w:rPr>
        <w:t xml:space="preserve">After getting Level 2 certification, </w:t>
      </w:r>
      <w:hyperlink r:id="rId9">
        <w:r>
          <w:rPr>
            <w:color w:val="1155CC"/>
            <w:sz w:val="24"/>
            <w:szCs w:val="24"/>
            <w:u w:val="single"/>
          </w:rPr>
          <w:t>request</w:t>
        </w:r>
      </w:hyperlink>
      <w:r>
        <w:rPr>
          <w:sz w:val="24"/>
          <w:szCs w:val="24"/>
        </w:rPr>
        <w:t xml:space="preserve"> that your IRB protocol(s) and funding source(s) are added to your Tesla account.</w:t>
      </w:r>
    </w:p>
    <w:p w14:paraId="0000000D" w14:textId="77777777" w:rsidR="00AD5704" w:rsidRDefault="007D2031">
      <w:pPr>
        <w:numPr>
          <w:ilvl w:val="0"/>
          <w:numId w:val="1"/>
        </w:numPr>
        <w:rPr>
          <w:sz w:val="28"/>
          <w:szCs w:val="28"/>
        </w:rPr>
      </w:pPr>
      <w:r>
        <w:rPr>
          <w:sz w:val="28"/>
          <w:szCs w:val="28"/>
        </w:rPr>
        <w:t>SONA training</w:t>
      </w:r>
    </w:p>
    <w:p w14:paraId="0000000E" w14:textId="77777777" w:rsidR="00AD5704" w:rsidRDefault="007D2031">
      <w:pPr>
        <w:ind w:left="1440"/>
        <w:rPr>
          <w:sz w:val="28"/>
          <w:szCs w:val="28"/>
        </w:rPr>
      </w:pPr>
      <w:r>
        <w:rPr>
          <w:i/>
        </w:rPr>
        <w:t xml:space="preserve">If you want to use SONA for subject recruitment, you will first need to attend a training session with </w:t>
      </w:r>
      <w:proofErr w:type="spellStart"/>
      <w:r>
        <w:rPr>
          <w:i/>
        </w:rPr>
        <w:t>RoseMarie</w:t>
      </w:r>
      <w:proofErr w:type="spellEnd"/>
      <w:r>
        <w:rPr>
          <w:i/>
        </w:rPr>
        <w:t xml:space="preserve"> Stevenson. Email </w:t>
      </w:r>
      <w:hyperlink r:id="rId10">
        <w:r>
          <w:rPr>
            <w:i/>
            <w:color w:val="1155CC"/>
            <w:u w:val="single"/>
          </w:rPr>
          <w:t>rosemari@princeton.edu</w:t>
        </w:r>
      </w:hyperlink>
      <w:r>
        <w:rPr>
          <w:i/>
        </w:rPr>
        <w:t xml:space="preserve"> for upcoming training times.</w:t>
      </w:r>
    </w:p>
    <w:p w14:paraId="0000000F" w14:textId="77777777" w:rsidR="00AD5704" w:rsidRDefault="007D2031">
      <w:pPr>
        <w:numPr>
          <w:ilvl w:val="0"/>
          <w:numId w:val="1"/>
        </w:numPr>
        <w:rPr>
          <w:sz w:val="28"/>
          <w:szCs w:val="28"/>
        </w:rPr>
      </w:pPr>
      <w:hyperlink r:id="rId11">
        <w:r>
          <w:rPr>
            <w:color w:val="1155CC"/>
            <w:sz w:val="28"/>
            <w:szCs w:val="28"/>
            <w:u w:val="single"/>
          </w:rPr>
          <w:t>Get access to the Calcium schedu</w:t>
        </w:r>
        <w:r>
          <w:rPr>
            <w:color w:val="1155CC"/>
            <w:sz w:val="28"/>
            <w:szCs w:val="28"/>
            <w:u w:val="single"/>
          </w:rPr>
          <w:t>l</w:t>
        </w:r>
        <w:r>
          <w:rPr>
            <w:color w:val="1155CC"/>
            <w:sz w:val="28"/>
            <w:szCs w:val="28"/>
            <w:u w:val="single"/>
          </w:rPr>
          <w:t>ing calendar</w:t>
        </w:r>
      </w:hyperlink>
      <w:r>
        <w:rPr>
          <w:sz w:val="28"/>
          <w:szCs w:val="28"/>
        </w:rPr>
        <w:t xml:space="preserve"> (so you can book scanner time). </w:t>
      </w:r>
    </w:p>
    <w:p w14:paraId="00000010" w14:textId="77777777" w:rsidR="00AD5704" w:rsidRDefault="007D2031">
      <w:pPr>
        <w:ind w:left="1440"/>
        <w:rPr>
          <w:i/>
        </w:rPr>
      </w:pPr>
      <w:r>
        <w:rPr>
          <w:i/>
        </w:rPr>
        <w:t>Make sure you are</w:t>
      </w:r>
      <w:r>
        <w:rPr>
          <w:i/>
        </w:rPr>
        <w:t xml:space="preserve"> familiar with </w:t>
      </w:r>
      <w:hyperlink r:id="rId12">
        <w:r>
          <w:rPr>
            <w:i/>
            <w:color w:val="1155CC"/>
            <w:u w:val="single"/>
          </w:rPr>
          <w:t>scheduling policies</w:t>
        </w:r>
      </w:hyperlink>
      <w:r>
        <w:rPr>
          <w:i/>
        </w:rPr>
        <w:t xml:space="preserve">. </w:t>
      </w:r>
    </w:p>
    <w:p w14:paraId="00000011" w14:textId="77777777" w:rsidR="00AD5704" w:rsidRDefault="007D2031">
      <w:pPr>
        <w:numPr>
          <w:ilvl w:val="0"/>
          <w:numId w:val="1"/>
        </w:numPr>
        <w:rPr>
          <w:sz w:val="28"/>
          <w:szCs w:val="28"/>
        </w:rPr>
      </w:pPr>
      <w:r>
        <w:rPr>
          <w:sz w:val="28"/>
          <w:szCs w:val="28"/>
        </w:rPr>
        <w:t>Set</w:t>
      </w:r>
      <w:r>
        <w:rPr>
          <w:sz w:val="28"/>
          <w:szCs w:val="28"/>
        </w:rPr>
        <w:t xml:space="preserve"> </w:t>
      </w:r>
      <w:r>
        <w:rPr>
          <w:sz w:val="28"/>
          <w:szCs w:val="28"/>
        </w:rPr>
        <w:t xml:space="preserve">up your task on one of the stimulus presentation computers at the scanner (unless </w:t>
      </w:r>
      <w:r>
        <w:rPr>
          <w:sz w:val="28"/>
          <w:szCs w:val="28"/>
        </w:rPr>
        <w:t>you will be using your laptop).</w:t>
      </w:r>
    </w:p>
    <w:p w14:paraId="00000012" w14:textId="0E0E37D2" w:rsidR="00AD5704" w:rsidRDefault="007D2031">
      <w:pPr>
        <w:ind w:left="1440"/>
        <w:rPr>
          <w:i/>
          <w:sz w:val="28"/>
          <w:szCs w:val="28"/>
        </w:rPr>
      </w:pPr>
      <w:r>
        <w:rPr>
          <w:i/>
        </w:rPr>
        <w:t>Make</w:t>
      </w:r>
      <w:r>
        <w:rPr>
          <w:i/>
        </w:rPr>
        <w:t xml:space="preserve"> sure there is a lab/PI account on whichever computer you will be using for running your experiment and that you know how to login to that account; if there is no lab/PI account, request one by emailing </w:t>
      </w:r>
      <w:hyperlink r:id="rId13" w:history="1">
        <w:r>
          <w:rPr>
            <w:i/>
            <w:color w:val="1155CC"/>
            <w:u w:val="single"/>
          </w:rPr>
          <w:t>scullyhelp@princeton.edu</w:t>
        </w:r>
      </w:hyperlink>
      <w:r>
        <w:rPr>
          <w:i/>
        </w:rPr>
        <w:t>.</w:t>
      </w:r>
    </w:p>
    <w:p w14:paraId="00000013" w14:textId="77777777" w:rsidR="00AD5704" w:rsidRDefault="007D2031">
      <w:pPr>
        <w:numPr>
          <w:ilvl w:val="0"/>
          <w:numId w:val="1"/>
        </w:numPr>
        <w:rPr>
          <w:sz w:val="28"/>
          <w:szCs w:val="28"/>
        </w:rPr>
      </w:pPr>
      <w:r>
        <w:rPr>
          <w:sz w:val="28"/>
          <w:szCs w:val="28"/>
        </w:rPr>
        <w:t>Figure out how you will compensate participants</w:t>
      </w:r>
    </w:p>
    <w:p w14:paraId="00000014" w14:textId="77777777" w:rsidR="00AD5704" w:rsidRDefault="007D2031">
      <w:pPr>
        <w:ind w:left="1440"/>
        <w:rPr>
          <w:sz w:val="28"/>
          <w:szCs w:val="28"/>
        </w:rPr>
      </w:pPr>
      <w:r>
        <w:rPr>
          <w:i/>
        </w:rPr>
        <w:t xml:space="preserve">If you use </w:t>
      </w:r>
      <w:hyperlink r:id="rId14">
        <w:r>
          <w:rPr>
            <w:i/>
            <w:color w:val="1155CC"/>
            <w:u w:val="single"/>
          </w:rPr>
          <w:t>cash advance</w:t>
        </w:r>
      </w:hyperlink>
      <w:r>
        <w:rPr>
          <w:i/>
        </w:rPr>
        <w:t>, you will receive cash in a</w:t>
      </w:r>
      <w:r>
        <w:rPr>
          <w:i/>
        </w:rPr>
        <w:t xml:space="preserve">dvance to your bank account. While you are spending out the money you will not be able to submit any new/other reimbursements. You should always ask for cash advance that is slightly below the estimated spending amount. Cash advances must be </w:t>
      </w:r>
      <w:r>
        <w:rPr>
          <w:i/>
        </w:rPr>
        <w:lastRenderedPageBreak/>
        <w:t xml:space="preserve">substantiated </w:t>
      </w:r>
      <w:r>
        <w:rPr>
          <w:i/>
        </w:rPr>
        <w:t>within 60 days of incurring expenses. Any unspent portion of the cash advance must be returned within 120 days. Unspent money must be paid back through the Bank of America. Cash advance is recommended when you are scanning a large number of participants ov</w:t>
      </w:r>
      <w:r>
        <w:rPr>
          <w:i/>
        </w:rPr>
        <w:t xml:space="preserve">er a relatively short time. The other option is paying subjects out-of-pocket and requesting reimbursements through </w:t>
      </w:r>
      <w:hyperlink r:id="rId15">
        <w:r>
          <w:rPr>
            <w:i/>
            <w:color w:val="1155CC"/>
            <w:u w:val="single"/>
          </w:rPr>
          <w:t>Concur</w:t>
        </w:r>
      </w:hyperlink>
      <w:r>
        <w:rPr>
          <w:i/>
        </w:rPr>
        <w:t xml:space="preserve">. </w:t>
      </w:r>
    </w:p>
    <w:p w14:paraId="00000015" w14:textId="77777777" w:rsidR="00AD5704" w:rsidRDefault="00AD5704">
      <w:pPr>
        <w:rPr>
          <w:sz w:val="28"/>
          <w:szCs w:val="28"/>
        </w:rPr>
      </w:pPr>
    </w:p>
    <w:p w14:paraId="00000016" w14:textId="77777777" w:rsidR="00AD5704" w:rsidRDefault="007D2031">
      <w:pPr>
        <w:rPr>
          <w:sz w:val="28"/>
          <w:szCs w:val="28"/>
        </w:rPr>
      </w:pPr>
      <w:r>
        <w:rPr>
          <w:sz w:val="28"/>
          <w:szCs w:val="28"/>
        </w:rPr>
        <w:t>Getting ready to scan:</w:t>
      </w:r>
    </w:p>
    <w:p w14:paraId="00000017" w14:textId="77777777" w:rsidR="00AD5704" w:rsidRDefault="007D2031">
      <w:pPr>
        <w:numPr>
          <w:ilvl w:val="0"/>
          <w:numId w:val="2"/>
        </w:numPr>
        <w:rPr>
          <w:sz w:val="28"/>
          <w:szCs w:val="28"/>
        </w:rPr>
      </w:pPr>
      <w:r>
        <w:rPr>
          <w:sz w:val="28"/>
          <w:szCs w:val="28"/>
        </w:rPr>
        <w:t xml:space="preserve">Post your study on </w:t>
      </w:r>
      <w:hyperlink r:id="rId16">
        <w:r>
          <w:rPr>
            <w:color w:val="1155CC"/>
            <w:sz w:val="28"/>
            <w:szCs w:val="28"/>
            <w:u w:val="single"/>
          </w:rPr>
          <w:t>SONA</w:t>
        </w:r>
      </w:hyperlink>
      <w:r>
        <w:rPr>
          <w:sz w:val="28"/>
          <w:szCs w:val="28"/>
        </w:rPr>
        <w:t xml:space="preserve"> and find a participant</w:t>
      </w:r>
    </w:p>
    <w:p w14:paraId="00000018" w14:textId="77777777" w:rsidR="00AD5704" w:rsidRDefault="007D2031">
      <w:pPr>
        <w:numPr>
          <w:ilvl w:val="0"/>
          <w:numId w:val="2"/>
        </w:numPr>
        <w:rPr>
          <w:sz w:val="28"/>
          <w:szCs w:val="28"/>
        </w:rPr>
      </w:pPr>
      <w:r>
        <w:rPr>
          <w:sz w:val="28"/>
          <w:szCs w:val="28"/>
        </w:rPr>
        <w:t xml:space="preserve">Book scan time on </w:t>
      </w:r>
      <w:hyperlink r:id="rId17">
        <w:r>
          <w:rPr>
            <w:color w:val="1155CC"/>
            <w:sz w:val="28"/>
            <w:szCs w:val="28"/>
            <w:u w:val="single"/>
          </w:rPr>
          <w:t>Calcium</w:t>
        </w:r>
      </w:hyperlink>
    </w:p>
    <w:p w14:paraId="00000019" w14:textId="77777777" w:rsidR="00AD5704" w:rsidRDefault="007D2031">
      <w:pPr>
        <w:numPr>
          <w:ilvl w:val="0"/>
          <w:numId w:val="2"/>
        </w:numPr>
        <w:rPr>
          <w:sz w:val="28"/>
          <w:szCs w:val="28"/>
        </w:rPr>
      </w:pPr>
      <w:r>
        <w:rPr>
          <w:sz w:val="28"/>
          <w:szCs w:val="28"/>
        </w:rPr>
        <w:t xml:space="preserve">Find a </w:t>
      </w:r>
      <w:hyperlink r:id="rId18" w:anchor="gid=197880865">
        <w:r>
          <w:rPr>
            <w:color w:val="1155CC"/>
            <w:sz w:val="28"/>
            <w:szCs w:val="28"/>
            <w:u w:val="single"/>
          </w:rPr>
          <w:t>buddy</w:t>
        </w:r>
      </w:hyperlink>
      <w:r>
        <w:rPr>
          <w:sz w:val="28"/>
          <w:szCs w:val="28"/>
        </w:rPr>
        <w:t>; while you’re at it, sign</w:t>
      </w:r>
      <w:r>
        <w:rPr>
          <w:sz w:val="28"/>
          <w:szCs w:val="28"/>
        </w:rPr>
        <w:t xml:space="preserve"> </w:t>
      </w:r>
      <w:r>
        <w:rPr>
          <w:sz w:val="28"/>
          <w:szCs w:val="28"/>
        </w:rPr>
        <w:t>up to buddy for other users!</w:t>
      </w:r>
    </w:p>
    <w:p w14:paraId="0000001A" w14:textId="77777777" w:rsidR="00AD5704" w:rsidRDefault="007D2031">
      <w:pPr>
        <w:numPr>
          <w:ilvl w:val="0"/>
          <w:numId w:val="2"/>
        </w:numPr>
        <w:rPr>
          <w:sz w:val="28"/>
          <w:szCs w:val="28"/>
        </w:rPr>
      </w:pPr>
      <w:r>
        <w:rPr>
          <w:sz w:val="28"/>
          <w:szCs w:val="28"/>
        </w:rPr>
        <w:t xml:space="preserve">Make sure you are using the current version of all approved </w:t>
      </w:r>
      <w:r>
        <w:rPr>
          <w:sz w:val="28"/>
          <w:szCs w:val="28"/>
        </w:rPr>
        <w:t>forms</w:t>
      </w:r>
      <w:bookmarkStart w:id="0" w:name="_GoBack"/>
      <w:bookmarkEnd w:id="0"/>
    </w:p>
    <w:p w14:paraId="0000001B" w14:textId="77777777" w:rsidR="00AD5704" w:rsidRDefault="007D2031">
      <w:pPr>
        <w:numPr>
          <w:ilvl w:val="1"/>
          <w:numId w:val="2"/>
        </w:numPr>
        <w:rPr>
          <w:i/>
        </w:rPr>
      </w:pPr>
      <w:hyperlink r:id="rId19" w:anchor="MRI_Forms">
        <w:r>
          <w:rPr>
            <w:i/>
            <w:color w:val="1155CC"/>
            <w:u w:val="single"/>
          </w:rPr>
          <w:t>fMRI safety screening forms</w:t>
        </w:r>
      </w:hyperlink>
    </w:p>
    <w:p w14:paraId="0000001C" w14:textId="77777777" w:rsidR="00AD5704" w:rsidRDefault="007D2031">
      <w:pPr>
        <w:numPr>
          <w:ilvl w:val="1"/>
          <w:numId w:val="2"/>
        </w:numPr>
        <w:rPr>
          <w:i/>
        </w:rPr>
      </w:pPr>
      <w:r>
        <w:rPr>
          <w:i/>
        </w:rPr>
        <w:t>Consent form - Forms tend to go through a lot of modifications; make sure you have the most recent version. This will be specific to the IRB protocol you are using.</w:t>
      </w:r>
    </w:p>
    <w:p w14:paraId="0000001D" w14:textId="77777777" w:rsidR="00AD5704" w:rsidRDefault="007D2031">
      <w:pPr>
        <w:numPr>
          <w:ilvl w:val="1"/>
          <w:numId w:val="2"/>
        </w:numPr>
        <w:rPr>
          <w:i/>
        </w:rPr>
      </w:pPr>
      <w:r>
        <w:rPr>
          <w:i/>
        </w:rPr>
        <w:t xml:space="preserve">Global Unique Identifier (GUID) consent form - All studies that are funded by the NIH have </w:t>
      </w:r>
      <w:r>
        <w:rPr>
          <w:i/>
        </w:rPr>
        <w:t xml:space="preserve">to be shared with the NIH (check </w:t>
      </w:r>
      <w:r>
        <w:rPr>
          <w:i/>
        </w:rPr>
        <w:t xml:space="preserve">with your PI about the status of your study). </w:t>
      </w:r>
    </w:p>
    <w:p w14:paraId="0000001E" w14:textId="77777777" w:rsidR="00AD5704" w:rsidRDefault="007D2031">
      <w:pPr>
        <w:numPr>
          <w:ilvl w:val="0"/>
          <w:numId w:val="2"/>
        </w:numPr>
        <w:rPr>
          <w:sz w:val="28"/>
          <w:szCs w:val="28"/>
        </w:rPr>
      </w:pPr>
      <w:r>
        <w:rPr>
          <w:sz w:val="28"/>
          <w:szCs w:val="28"/>
        </w:rPr>
        <w:t>Email your participant with scan preparation instructions and ask them to confirm their appointment.</w:t>
      </w:r>
    </w:p>
    <w:p w14:paraId="0000001F" w14:textId="77777777" w:rsidR="00AD5704" w:rsidRDefault="00AD5704">
      <w:pPr>
        <w:jc w:val="center"/>
        <w:rPr>
          <w:sz w:val="28"/>
          <w:szCs w:val="28"/>
        </w:rPr>
      </w:pPr>
    </w:p>
    <w:p w14:paraId="00000020" w14:textId="77777777" w:rsidR="00AD5704" w:rsidRDefault="007D2031">
      <w:pPr>
        <w:rPr>
          <w:b/>
          <w:sz w:val="28"/>
          <w:szCs w:val="28"/>
        </w:rPr>
      </w:pPr>
      <w:r>
        <w:rPr>
          <w:b/>
          <w:sz w:val="28"/>
          <w:szCs w:val="28"/>
        </w:rPr>
        <w:t>Useful links:</w:t>
      </w:r>
    </w:p>
    <w:p w14:paraId="00000021" w14:textId="77777777" w:rsidR="00AD5704" w:rsidRDefault="007D2031">
      <w:pPr>
        <w:rPr>
          <w:color w:val="1155CC"/>
          <w:sz w:val="24"/>
          <w:szCs w:val="24"/>
          <w:u w:val="single"/>
        </w:rPr>
      </w:pPr>
      <w:r>
        <w:rPr>
          <w:sz w:val="24"/>
          <w:szCs w:val="24"/>
        </w:rPr>
        <w:t xml:space="preserve">PNI facilities Wiki: </w:t>
      </w:r>
      <w:hyperlink r:id="rId20">
        <w:r>
          <w:rPr>
            <w:color w:val="1155CC"/>
            <w:sz w:val="24"/>
            <w:szCs w:val="24"/>
            <w:u w:val="single"/>
          </w:rPr>
          <w:t>https://pni-facilities.princeton.edu/index.php/Getting_Started</w:t>
        </w:r>
      </w:hyperlink>
    </w:p>
    <w:p w14:paraId="00000022" w14:textId="77777777" w:rsidR="00AD5704" w:rsidRDefault="00AD5704">
      <w:pPr>
        <w:rPr>
          <w:sz w:val="24"/>
          <w:szCs w:val="24"/>
        </w:rPr>
      </w:pPr>
    </w:p>
    <w:p w14:paraId="00000023" w14:textId="77777777" w:rsidR="00AD5704" w:rsidRDefault="007D2031">
      <w:pPr>
        <w:rPr>
          <w:color w:val="1155CC"/>
          <w:sz w:val="24"/>
          <w:szCs w:val="24"/>
          <w:u w:val="single"/>
        </w:rPr>
      </w:pPr>
      <w:r>
        <w:rPr>
          <w:sz w:val="24"/>
          <w:szCs w:val="24"/>
        </w:rPr>
        <w:t xml:space="preserve">Forms: </w:t>
      </w:r>
      <w:hyperlink r:id="rId21">
        <w:r>
          <w:rPr>
            <w:color w:val="1155CC"/>
            <w:sz w:val="24"/>
            <w:szCs w:val="24"/>
            <w:u w:val="single"/>
          </w:rPr>
          <w:t>https://npcdocs.princeton.edu/index.php/Online_Forms</w:t>
        </w:r>
      </w:hyperlink>
    </w:p>
    <w:p w14:paraId="00000024" w14:textId="77777777" w:rsidR="00AD5704" w:rsidRDefault="00AD5704">
      <w:pPr>
        <w:rPr>
          <w:sz w:val="24"/>
          <w:szCs w:val="24"/>
        </w:rPr>
      </w:pPr>
    </w:p>
    <w:p w14:paraId="00000025" w14:textId="77777777" w:rsidR="00AD5704" w:rsidRDefault="007D2031">
      <w:pPr>
        <w:rPr>
          <w:sz w:val="24"/>
          <w:szCs w:val="24"/>
        </w:rPr>
      </w:pPr>
      <w:r>
        <w:rPr>
          <w:sz w:val="24"/>
          <w:szCs w:val="24"/>
        </w:rPr>
        <w:t xml:space="preserve">Hasson Lab: </w:t>
      </w:r>
    </w:p>
    <w:p w14:paraId="00000026" w14:textId="77777777" w:rsidR="00AD5704" w:rsidRDefault="007D2031">
      <w:pPr>
        <w:ind w:firstLine="720"/>
        <w:rPr>
          <w:sz w:val="24"/>
          <w:szCs w:val="24"/>
        </w:rPr>
      </w:pPr>
      <w:r>
        <w:rPr>
          <w:sz w:val="24"/>
          <w:szCs w:val="24"/>
        </w:rPr>
        <w:t>/ju</w:t>
      </w:r>
      <w:r>
        <w:rPr>
          <w:sz w:val="24"/>
          <w:szCs w:val="24"/>
        </w:rPr>
        <w:t>kebox/</w:t>
      </w:r>
      <w:proofErr w:type="spellStart"/>
      <w:r>
        <w:rPr>
          <w:sz w:val="24"/>
          <w:szCs w:val="24"/>
        </w:rPr>
        <w:t>hasson</w:t>
      </w:r>
      <w:proofErr w:type="spellEnd"/>
      <w:r>
        <w:rPr>
          <w:sz w:val="24"/>
          <w:szCs w:val="24"/>
        </w:rPr>
        <w:t>/Forms</w:t>
      </w:r>
    </w:p>
    <w:p w14:paraId="00000027" w14:textId="77777777" w:rsidR="00AD5704" w:rsidRDefault="007D2031">
      <w:pPr>
        <w:ind w:firstLine="720"/>
        <w:rPr>
          <w:sz w:val="24"/>
          <w:szCs w:val="24"/>
        </w:rPr>
      </w:pPr>
      <w:r>
        <w:rPr>
          <w:sz w:val="24"/>
          <w:szCs w:val="24"/>
        </w:rPr>
        <w:t>/jukebox/</w:t>
      </w:r>
      <w:proofErr w:type="spellStart"/>
      <w:r>
        <w:rPr>
          <w:sz w:val="24"/>
          <w:szCs w:val="24"/>
        </w:rPr>
        <w:t>hasson</w:t>
      </w:r>
      <w:proofErr w:type="spellEnd"/>
      <w:r>
        <w:rPr>
          <w:sz w:val="24"/>
          <w:szCs w:val="24"/>
        </w:rPr>
        <w:t>/</w:t>
      </w:r>
      <w:proofErr w:type="spellStart"/>
      <w:r>
        <w:rPr>
          <w:sz w:val="24"/>
          <w:szCs w:val="24"/>
        </w:rPr>
        <w:t>Liat</w:t>
      </w:r>
      <w:proofErr w:type="spellEnd"/>
      <w:r>
        <w:rPr>
          <w:sz w:val="24"/>
          <w:szCs w:val="24"/>
        </w:rPr>
        <w:t>/Lab\ Templates\ and\ Info\ Materials/</w:t>
      </w:r>
    </w:p>
    <w:p w14:paraId="00000028" w14:textId="77777777" w:rsidR="00AD5704" w:rsidRDefault="00AD5704"/>
    <w:sectPr w:rsidR="00AD570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71184"/>
    <w:multiLevelType w:val="multilevel"/>
    <w:tmpl w:val="6D48D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68D584F"/>
    <w:multiLevelType w:val="multilevel"/>
    <w:tmpl w:val="35823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704"/>
    <w:rsid w:val="007D2031"/>
    <w:rsid w:val="00AD5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E7BA2B"/>
  <w15:docId w15:val="{7647DFBF-DEC3-9E41-B4FE-806A19F36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9ffg9F-dTENWmdwye5HBxitwvQ2X_hSdDYHB1eJzE8A/edit" TargetMode="External"/><Relationship Id="rId13" Type="http://schemas.openxmlformats.org/officeDocument/2006/relationships/hyperlink" Target="mailto:scullyhelp@princeton.edu" TargetMode="External"/><Relationship Id="rId18" Type="http://schemas.openxmlformats.org/officeDocument/2006/relationships/hyperlink" Target="https://docs.google.com/spreadsheets/d/19ffg9F-dTENWmdwye5HBxitwvQ2X_hSdDYHB1eJzE8A/edit" TargetMode="External"/><Relationship Id="rId3" Type="http://schemas.openxmlformats.org/officeDocument/2006/relationships/settings" Target="settings.xml"/><Relationship Id="rId21" Type="http://schemas.openxmlformats.org/officeDocument/2006/relationships/hyperlink" Target="https://npcdocs.princeton.edu/index.php/Online_Forms" TargetMode="External"/><Relationship Id="rId7" Type="http://schemas.openxmlformats.org/officeDocument/2006/relationships/hyperlink" Target="https://pni.princeton.edu/internal/investigator-resources/using-t.e.s.l.a." TargetMode="External"/><Relationship Id="rId12" Type="http://schemas.openxmlformats.org/officeDocument/2006/relationships/hyperlink" Target="https://pni-facilities.princeton.edu/index.php/Reserving_Scully_facility_time" TargetMode="External"/><Relationship Id="rId17" Type="http://schemas.openxmlformats.org/officeDocument/2006/relationships/hyperlink" Target="https://webapps.pni.princeton.edu/cgi-bin/Calcium?Op=Splash&amp;Amount=Month&amp;NavType=Absolute&amp;Type=Block" TargetMode="External"/><Relationship Id="rId2" Type="http://schemas.openxmlformats.org/officeDocument/2006/relationships/styles" Target="styles.xml"/><Relationship Id="rId16" Type="http://schemas.openxmlformats.org/officeDocument/2006/relationships/hyperlink" Target="https://princetonpaid.sona-systems.com/Default.aspx?ReturnUrl=%2f" TargetMode="External"/><Relationship Id="rId20" Type="http://schemas.openxmlformats.org/officeDocument/2006/relationships/hyperlink" Target="https://pni-facilities.princeton.edu/index.php/Getting_Started" TargetMode="External"/><Relationship Id="rId1" Type="http://schemas.openxmlformats.org/officeDocument/2006/relationships/numbering" Target="numbering.xml"/><Relationship Id="rId6" Type="http://schemas.openxmlformats.org/officeDocument/2006/relationships/hyperlink" Target="https://pni-facilities.princeton.edu/index.php/MRI_Certification_and_forms" TargetMode="External"/><Relationship Id="rId11" Type="http://schemas.openxmlformats.org/officeDocument/2006/relationships/hyperlink" Target="https://frevvo-prod.princeton.edu/frevvo/web/tn/pu.nplc/u/84fd5e8d-587a-4f6a-a802-0c3d2819e8fe/app/_sO14QHzSEemyQZ_M7RLPOg/formtype/_DxhOMH4tEemf7NXD9pXWlg/popupform" TargetMode="External"/><Relationship Id="rId5" Type="http://schemas.openxmlformats.org/officeDocument/2006/relationships/hyperlink" Target="mailto:scullyhelp@princeton.edu" TargetMode="External"/><Relationship Id="rId15" Type="http://schemas.openxmlformats.org/officeDocument/2006/relationships/hyperlink" Target="https://travel.princeton.edu/" TargetMode="External"/><Relationship Id="rId23" Type="http://schemas.openxmlformats.org/officeDocument/2006/relationships/theme" Target="theme/theme1.xml"/><Relationship Id="rId10" Type="http://schemas.openxmlformats.org/officeDocument/2006/relationships/hyperlink" Target="mailto:rosemari@princeton.edu" TargetMode="External"/><Relationship Id="rId19" Type="http://schemas.openxmlformats.org/officeDocument/2006/relationships/hyperlink" Target="https://pni-facilities.princeton.edu/index.php/MRI_Certification_and_forms" TargetMode="External"/><Relationship Id="rId4" Type="http://schemas.openxmlformats.org/officeDocument/2006/relationships/webSettings" Target="webSettings.xml"/><Relationship Id="rId9" Type="http://schemas.openxmlformats.org/officeDocument/2006/relationships/hyperlink" Target="https://frevvo-prod.princeton.edu/frevvo/web/tn/pu.nplc/u/84fd5e8d-587a-4f6a-a802-0c3d2819e8fe/app/_3x1JEH4sEemf7NXD9pXWlg/formtype/_67ivIIPWEemf7NXD9pXWlg/popupform" TargetMode="External"/><Relationship Id="rId14" Type="http://schemas.openxmlformats.org/officeDocument/2006/relationships/hyperlink" Target="https://finance.princeton.edu/buying-paying/pay-and-reimburse-individuals/request-cash-advanc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746</Words>
  <Characters>4258</Characters>
  <Application>Microsoft Office Word</Application>
  <DocSecurity>0</DocSecurity>
  <Lines>35</Lines>
  <Paragraphs>9</Paragraphs>
  <ScaleCrop>false</ScaleCrop>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2019-11-15T18:14:00Z</dcterms:created>
  <dcterms:modified xsi:type="dcterms:W3CDTF">2019-11-15T18:14:00Z</dcterms:modified>
</cp:coreProperties>
</file>