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Chapter 1</w:t>
      </w:r>
    </w:p>
    <w:p>
      <w:r>
        <w:t>Mara opened the rusted gate and swore she had not visited this town since childhood.</w:t>
      </w:r>
    </w:p>
    <w:p>
      <w:r>
        <w:t>By sunset she described, in detail, the bakery she admitted she once knew well.</w:t>
      </w:r>
    </w:p>
    <w:p>
      <w:r>
        <w:t>Chapter 2</w:t>
      </w:r>
    </w:p>
    <w:p>
      <w:r>
        <w:t>Jon carried one lantern into the tunnel and later hung that same lantern on the wall.</w:t>
      </w:r>
    </w:p>
    <w:p>
      <w:r>
        <w:t>The timeline now tracks from Monday dawn to Monday midnight in a single paragraph.</w:t>
      </w:r>
    </w:p>
    <w:p>
      <w:r>
        <w:t>Chapter 3</w:t>
      </w:r>
    </w:p>
    <w:p>
      <w:r>
        <w:t>Mara promised never to lie, then hides a letter and denies seeing it.</w:t>
      </w:r>
    </w:p>
    <w:p>
      <w:r>
        <w:t>The chapter ends with a clear cliffhanger for continuity and character review tests.</w:t>
      </w:r>
    </w:p>
    <w:sectPr/>
  </w:body>
</w:document>
</file>