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 Document (BRD)</w:t>
      </w:r>
    </w:p>
    <w:p>
      <w:pPr>
        <w:pStyle w:val="Heading1"/>
      </w:pPr>
      <w:r>
        <w:t>1. Introduction</w:t>
      </w:r>
    </w:p>
    <w:p>
      <w:r>
        <w:t>This document describes requirements for CS Change Payment Mode for Standalone Package. The functionality follows MRR process with additional validations.</w:t>
      </w:r>
    </w:p>
    <w:p>
      <w:pPr>
        <w:pStyle w:val="Heading1"/>
      </w:pPr>
      <w:r>
        <w:t>2. Scope</w:t>
      </w:r>
    </w:p>
    <w:p>
      <w:r>
        <w:t>Applicable to standalone insurance policies. Includes validation, premium recalculation, and workflow updates.</w:t>
      </w:r>
    </w:p>
    <w:p>
      <w:pPr>
        <w:pStyle w:val="Heading1"/>
      </w:pPr>
      <w:r>
        <w:t>3. Business Rules</w:t>
      </w:r>
    </w:p>
    <w:p>
      <w:pPr>
        <w:pStyle w:val="ListBullet"/>
      </w:pPr>
      <w:r>
        <w:t>Policy is locked after CS Change Payment Mode submission.</w:t>
      </w:r>
    </w:p>
    <w:p>
      <w:pPr>
        <w:pStyle w:val="ListBullet"/>
      </w:pPr>
      <w:r>
        <w:t>Freelook restriction: within 21 days, change not allowed.</w:t>
      </w:r>
    </w:p>
    <w:p>
      <w:pPr>
        <w:pStyle w:val="ListBullet"/>
      </w:pPr>
      <w:r>
        <w:t>First year warning if within 30 days before anniversary.</w:t>
      </w:r>
    </w:p>
    <w:p>
      <w:pPr>
        <w:pStyle w:val="ListBullet"/>
      </w:pPr>
      <w:r>
        <w:t>Payment modes: Monthly, Quarterly, Half-yearly, Yearly.</w:t>
      </w:r>
    </w:p>
    <w:p>
      <w:pPr>
        <w:pStyle w:val="ListBullet"/>
      </w:pPr>
      <w:r>
        <w:t>Premium = Annual Premium * Modal Factor.</w:t>
      </w:r>
    </w:p>
    <w:p>
      <w:pPr>
        <w:pStyle w:val="Heading1"/>
      </w:pPr>
      <w:r>
        <w:t>4. Validation Rules</w:t>
      </w:r>
    </w:p>
    <w:p>
      <w:r>
        <w:t>System blocks in freelook period and shows error message.</w:t>
      </w:r>
    </w:p>
    <w:p>
      <w:r>
        <w:t>System shows warning popup in first year restriction cases.</w:t>
      </w:r>
    </w:p>
    <w:p>
      <w:pPr>
        <w:pStyle w:val="Heading1"/>
      </w:pPr>
      <w:r>
        <w:t>5. Premium Calculation</w:t>
      </w:r>
    </w:p>
    <w:p>
      <w:r>
        <w:t>Long to Short: no additional premium required.</w:t>
      </w:r>
    </w:p>
    <w:p>
      <w:r>
        <w:t>Short to Long: unpaid premium must be paid.</w:t>
      </w:r>
    </w:p>
    <w:p>
      <w:pPr>
        <w:pStyle w:val="Heading1"/>
      </w:pPr>
      <w:r>
        <w:t>6. Assumptions</w:t>
      </w:r>
    </w:p>
    <w:p>
      <w:r>
        <w:t>Policy must be active and not terminated.</w:t>
      </w:r>
    </w:p>
    <w:p>
      <w:pPr>
        <w:pStyle w:val="Heading1"/>
      </w:pPr>
      <w:r>
        <w:t>7. Dependencies</w:t>
      </w:r>
    </w:p>
    <w:p>
      <w:r>
        <w:t>Depends on policy dates, premium amounts, and system validation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Mukhopadhyay, DEEP (Cognizant)</dc:creator>
  <keywords/>
  <dc:description>generated by python-docx</dc:description>
  <lastModifiedBy>Mukhopadhyay, DEEP (Cognizant)</lastModifiedBy>
  <revision>1</revision>
  <dcterms:created xsi:type="dcterms:W3CDTF">2026-05-16T05:32:41.1297807Z</dcterms:created>
  <dcterms:modified xsi:type="dcterms:W3CDTF">2026-05-16T05:32:41.1297807Z</dcterms:modified>
  <category/>
</coreProperties>
</file>