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Mutual Confidentiality Agreement</w:t>
      </w:r>
    </w:p>
    <w:p>
      <w:r>
        <w:t>Disclosing Party: Acme Robotics Inc.</w:t>
      </w:r>
    </w:p>
    <w:p>
      <w:r>
        <w:t>Receiving Party: Northwind Manufacturing Inc.</w:t>
      </w:r>
    </w:p>
    <w:p>
      <w:r>
        <w:t>Effective date: 2026-01-15</w:t>
      </w:r>
    </w:p>
    <w:p>
      <w:pPr>
        <w:pStyle w:val="Heading2"/>
      </w:pPr>
      <w:r>
        <w:t>Purpose and Scope</w:t>
      </w:r>
    </w:p>
    <w:p>
      <w:r>
        <w:t>Purpose: evaluate strategic manufacturing partnership</w:t>
      </w:r>
    </w:p>
    <w:p>
      <w:r>
        <w:t>Confidential information includes technical designs, manufacturing plans, pricing, and partner diligence materials.</w:t>
      </w:r>
    </w:p>
    <w:p>
      <w:pPr>
        <w:pStyle w:val="Heading2"/>
      </w:pPr>
      <w:r>
        <w:t>Obligations</w:t>
      </w:r>
    </w:p>
    <w:p>
      <w:r>
        <w:t>Term: 3 years</w:t>
      </w:r>
    </w:p>
    <w:p>
      <w:r>
        <w:t>Return or destroy materials within 10 business days after written request.</w:t>
      </w:r>
    </w:p>
    <w:p>
      <w:pPr>
        <w:pStyle w:val="Heading2"/>
      </w:pPr>
      <w:r>
        <w:t>Legal Terms</w:t>
      </w:r>
    </w:p>
    <w:p>
      <w:r>
        <w:t>Governing law: Delaware</w:t>
      </w:r>
    </w:p>
    <w:p>
      <w:r>
        <w:t>Injunctive relief available for unauthorized disclosure or misuse of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