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5.png" ContentType="image/png"/>
  <Override PartName="/word/media/rId106.png" ContentType="image/png"/>
  <Override PartName="/word/media/rId145.png" ContentType="image/png"/>
  <Override PartName="/word/media/rId142.png" ContentType="image/png"/>
  <Override PartName="/word/media/rId11.png" ContentType="image/png"/>
  <Override PartName="/word/media/rId93.png" ContentType="image/png"/>
  <Override PartName="/word/media/rId96.png" ContentType="image/png"/>
  <Override PartName="/word/media/rId62.png" ContentType="image/png"/>
  <Override PartName="/word/media/rId128.png" ContentType="image/png"/>
  <Override PartName="/word/media/rId109.png" ContentType="image/png"/>
  <Override PartName="/word/media/rId65.png" ContentType="image/png"/>
  <Override PartName="/word/media/rId55.png" ContentType="image/png"/>
  <Override PartName="/word/media/rId49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138.png" ContentType="image/png"/>
  <Override PartName="/word/media/rId135.png" ContentType="image/png"/>
  <Override PartName="/word/media/rId115.png" ContentType="image/png"/>
  <Override PartName="/word/media/rId80.png" ContentType="image/png"/>
  <Override PartName="/word/media/rId40.png" ContentType="image/png"/>
  <Override PartName="/word/media/rId131.png" ContentType="image/png"/>
  <Override PartName="/word/media/rId112.png" ContentType="image/png"/>
  <Override PartName="/word/media/rId46.png" ContentType="image/png"/>
  <Override PartName="/word/media/rId43.png" ContentType="image/png"/>
  <Override PartName="/word/media/rId102.png" ContentType="image/png"/>
  <Override PartName="/word/media/rId52.png" ContentType="image/png"/>
  <Override PartName="/word/media/rId118.png" ContentType="image/png"/>
  <Override PartName="/word/media/rId59.png" ContentType="image/png"/>
  <Override PartName="/word/media/rId122.png" ContentType="image/png"/>
  <Override PartName="/word/media/rId68.png" ContentType="image/png"/>
  <Override PartName="/word/media/rId99.png" ContentType="image/png"/>
  <Override PartName="/word/media/rId77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CallForge — User Manual</w:t>
      </w:r>
    </w:p>
    <w:p>
      <w:pPr>
        <w:pStyle w:val="Subtitle"/>
      </w:pPr>
      <w:r>
        <w:t xml:space="preserve">A targeted-capture germline analysis pipeline (FASTQ → annotated joint callset → burden)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2026-06-14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CallForge</w:t>
      </w:r>
      <w:r>
        <w:t xml:space="preserve"> </w:t>
      </w:r>
      <w:r>
        <w:t xml:space="preserve">is a disease- and organism-agnostic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</w:t>
      </w:r>
      <w:r>
        <w:t xml:space="preserve"> </w:t>
      </w:r>
      <w:r>
        <w:t xml:space="preserve">demultiplexed paired-end FASTQs from a hybridization-capture panel into a high-quality,</w:t>
      </w:r>
      <w:r>
        <w:t xml:space="preserve"> </w:t>
      </w:r>
      <w:r>
        <w:t xml:space="preserve">joint-genotyped,</w:t>
      </w:r>
      <w:r>
        <w:t xml:space="preserve"> </w:t>
      </w:r>
      <w:r>
        <w:rPr>
          <w:b/>
          <w:bCs/>
        </w:rPr>
        <w:t xml:space="preserve">annotated</w:t>
      </w:r>
      <w:r>
        <w:t xml:space="preserve"> </w:t>
      </w:r>
      <w:r>
        <w:t xml:space="preserve">callset spanning</w:t>
      </w:r>
      <w:r>
        <w:t xml:space="preserve"> </w:t>
      </w:r>
      <w:r>
        <w:rPr>
          <w:b/>
          <w:bCs/>
        </w:rPr>
        <w:t xml:space="preserve">SNV/indel, CNV, STR and paralog-aware</w:t>
      </w:r>
      <w:r>
        <w:t xml:space="preserve"> </w:t>
      </w:r>
      <w:r>
        <w:t xml:space="preserve">variants, and carries through to a</w:t>
      </w:r>
      <w:r>
        <w:t xml:space="preserve"> </w:t>
      </w:r>
      <w:r>
        <w:rPr>
          <w:b/>
          <w:bCs/>
        </w:rPr>
        <w:t xml:space="preserve">rare-variant burden / association</w:t>
      </w:r>
      <w:r>
        <w:t xml:space="preserve"> </w:t>
      </w:r>
      <w:r>
        <w:t xml:space="preserve">layer.</w:t>
      </w:r>
    </w:p>
    <w:p>
      <w:pPr>
        <w:pStyle w:val="BodyText"/>
      </w:pPr>
      <w:r>
        <w:t xml:space="preserve">CallForge is the</w:t>
      </w:r>
      <w:r>
        <w:t xml:space="preserve"> </w:t>
      </w:r>
      <w:r>
        <w:rPr>
          <w:b/>
          <w:bCs/>
        </w:rPr>
        <w:t xml:space="preserve">analysis counterpart to CaptureForge</w:t>
      </w:r>
      <w:r>
        <w:t xml:space="preserve"> </w:t>
      </w:r>
      <w:r>
        <w:t xml:space="preserve">(the probe-design pipeline) and</w:t>
      </w:r>
      <w:r>
        <w:t xml:space="preserve"> </w:t>
      </w:r>
      <w:r>
        <w:rPr>
          <w:b/>
          <w:bCs/>
        </w:rPr>
        <w:t xml:space="preserve">consumes CaptureForge’s handoff</w:t>
      </w:r>
      <w:r>
        <w:t xml:space="preserve">: the as-built target</w:t>
      </w:r>
      <w:r>
        <w:t xml:space="preserve"> </w:t>
      </w:r>
      <w:r>
        <w:rPr>
          <w:rStyle w:val="VerbatimChar"/>
        </w:rPr>
        <w:t xml:space="preserve">final_covered_targets.bed</w:t>
      </w:r>
      <w:r>
        <w:t xml:space="preserve"> </w:t>
      </w:r>
      <w:r>
        <w:t xml:space="preserve">plus</w:t>
      </w:r>
      <w:r>
        <w:t xml:space="preserve"> </w:t>
      </w:r>
      <w:r>
        <w:t xml:space="preserve">per-gene metadata (design class, CNV callability, paralog flags, STR loci, burden groups).</w:t>
      </w:r>
      <w:r>
        <w:t xml:space="preserve"> </w:t>
      </w:r>
      <w:r>
        <w:t xml:space="preserve">That design-time knowledge drives and labels the matching analysis steps — the</w:t>
      </w:r>
      <w:r>
        <w:t xml:space="preserve"> </w:t>
      </w:r>
      <w:r>
        <w:rPr>
          <w:b/>
          <w:bCs/>
        </w:rPr>
        <w:t xml:space="preserve">CaptureForge → CallForge interlock</w:t>
      </w:r>
      <w:r>
        <w:t xml:space="preserve">.</w:t>
      </w:r>
    </w:p>
    <w:p>
      <w:pPr>
        <w:pStyle w:val="BodyText"/>
      </w:pPr>
      <w:r>
        <w:t xml:space="preserve">Its immediate use is a 59-gene human malaria-susceptibility panel on African-ancestry</w:t>
      </w:r>
      <w:r>
        <w:t xml:space="preserve"> </w:t>
      </w:r>
      <w:r>
        <w:t xml:space="preserve">dried-blood-spot (DBS) samples, but it generalizes to</w:t>
      </w:r>
      <w:r>
        <w:t xml:space="preserve"> </w:t>
      </w:r>
      <w:r>
        <w:rPr>
          <w:b/>
          <w:bCs/>
        </w:rPr>
        <w:t xml:space="preserve">any panel, cohort, and (where</w:t>
      </w:r>
      <w:r>
        <w:rPr>
          <w:b/>
          <w:bCs/>
        </w:rPr>
        <w:t xml:space="preserve"> </w:t>
      </w:r>
      <w:r>
        <w:rPr>
          <w:b/>
          <w:bCs/>
        </w:rPr>
        <w:t xml:space="preserve">feasible) organism</w:t>
      </w:r>
      <w:r>
        <w:t xml:space="preserve"> </w:t>
      </w:r>
      <w:r>
        <w:t xml:space="preserve">by changing inputs and configuration only — no code edits.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Bioinformaticians and genomics-core staff running targeted germline</w:t>
      </w:r>
      <w:r>
        <w:t xml:space="preserve"> </w:t>
      </w:r>
      <w:r>
        <w:t xml:space="preserve">analysis who need a reproducible, QC-gated workflow with honest reporting. The pipeline</w:t>
      </w:r>
      <w:r>
        <w:t xml:space="preserve"> </w:t>
      </w:r>
      <w:r>
        <w:t xml:space="preserve">emphasizes</w:t>
      </w:r>
      <w:r>
        <w:t xml:space="preserve"> </w:t>
      </w:r>
      <w:r>
        <w:rPr>
          <w:b/>
          <w:bCs/>
        </w:rPr>
        <w:t xml:space="preserve">QC at every stage with captioned plots</w:t>
      </w:r>
      <w:r>
        <w:t xml:space="preserve">,</w:t>
      </w:r>
      <w:r>
        <w:t xml:space="preserve"> </w:t>
      </w:r>
      <w:r>
        <w:rPr>
          <w:b/>
          <w:bCs/>
        </w:rPr>
        <w:t xml:space="preserve">fail-loud invariants</w:t>
      </w:r>
      <w:r>
        <w:t xml:space="preserve"> </w:t>
      </w:r>
      <w:r>
        <w:t xml:space="preserve">(reference</w:t>
      </w:r>
      <w:r>
        <w:t xml:space="preserve"> </w:t>
      </w:r>
      <w:r>
        <w:t xml:space="preserve">and annotation-database scope), and a</w:t>
      </w:r>
      <w:r>
        <w:t xml:space="preserve"> </w:t>
      </w:r>
      <w:r>
        <w:rPr>
          <w:b/>
          <w:bCs/>
        </w:rPr>
        <w:t xml:space="preserve">flag-and-quarantine</w:t>
      </w:r>
      <w:r>
        <w:t xml:space="preserve"> </w:t>
      </w:r>
      <w:r>
        <w:t xml:space="preserve">QC gate that never silently</w:t>
      </w:r>
      <w:r>
        <w:t xml:space="preserve"> </w:t>
      </w:r>
      <w:r>
        <w:t xml:space="preserve">drops data.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CallForge is implemented and verified</w:t>
      </w:r>
      <w:r>
        <w:t xml:space="preserve"> </w:t>
      </w:r>
      <w:r>
        <w:t xml:space="preserve">end-to-end on a small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profile. Where a number is a property of that</w:t>
      </w:r>
      <w:r>
        <w:t xml:space="preserve"> </w:t>
      </w:r>
      <w:r>
        <w:t xml:space="preserve">synthetic data (not of a real cohort), the text and figure captions say so explicitly —</w:t>
      </w:r>
      <w:r>
        <w:t xml:space="preserve"> </w:t>
      </w:r>
      <w:r>
        <w:rPr>
          <w:i/>
          <w:iCs/>
        </w:rPr>
        <w:t xml:space="preserve">machinery-proven, not data quality</w:t>
      </w:r>
      <w:r>
        <w:t xml:space="preserve">. See §11 (Interpreting results) and §12 (Real-run</w:t>
      </w:r>
      <w:r>
        <w:t xml:space="preserve"> </w:t>
      </w:r>
      <w:r>
        <w:t xml:space="preserve">checklist).</w:t>
      </w:r>
    </w:p>
    <w:bookmarkEnd w:id="9"/>
    <w:bookmarkStart w:id="10" w:name="concepts"/>
    <w:p>
      <w:pPr>
        <w:pStyle w:val="Heading1"/>
      </w:pPr>
      <w:r>
        <w:t xml:space="preserve">2. Concepts</w:t>
      </w:r>
    </w:p>
    <w:p>
      <w:pPr>
        <w:pStyle w:val="FirstParagraph"/>
      </w:pPr>
      <w:r>
        <w:rPr>
          <w:b/>
          <w:bCs/>
        </w:rPr>
        <w:t xml:space="preserve">Targeted-capture germline analysis.</w:t>
      </w:r>
      <w:r>
        <w:t xml:space="preserve"> </w:t>
      </w:r>
      <w:r>
        <w:t xml:space="preserve">A hybridization-capture panel enriches sequencing</w:t>
      </w:r>
      <w:r>
        <w:t xml:space="preserve"> </w:t>
      </w:r>
      <w:r>
        <w:t xml:space="preserve">for a defined set of target regions (here, CaptureForge’s</w:t>
      </w:r>
      <w:r>
        <w:t xml:space="preserve"> </w:t>
      </w:r>
      <w:r>
        <w:rPr>
          <w:rStyle w:val="VerbatimChar"/>
        </w:rPr>
        <w:t xml:space="preserve">final_covered_targets.bed</w:t>
      </w:r>
      <w:r>
        <w:t xml:space="preserve">).</w:t>
      </w:r>
      <w:r>
        <w:t xml:space="preserve"> </w:t>
      </w:r>
      <w:r>
        <w:t xml:space="preserve">Reads are aligned to a reference, duplicates marked, and variants called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across</w:t>
      </w:r>
      <w:r>
        <w:t xml:space="preserve"> </w:t>
      </w:r>
      <w:r>
        <w:t xml:space="preserve">the cohort so that genotypes — including homozygous-reference calls — are consistent and</w:t>
      </w:r>
      <w:r>
        <w:t xml:space="preserve"> </w:t>
      </w:r>
      <w:r>
        <w:t xml:space="preserve">comparable across samples.</w:t>
      </w:r>
    </w:p>
    <w:p>
      <w:pPr>
        <w:pStyle w:val="BodyText"/>
      </w:pPr>
      <w:r>
        <w:rPr>
          <w:b/>
          <w:bCs/>
        </w:rPr>
        <w:t xml:space="preserve">Joint genotyping.</w:t>
      </w:r>
      <w:r>
        <w:t xml:space="preserve"> </w:t>
      </w:r>
      <w:r>
        <w:t xml:space="preserve">Per-sample gVCFs (GATK HaplotypeCaller) are combined</w:t>
      </w:r>
      <w:r>
        <w:t xml:space="preserve"> </w:t>
      </w:r>
      <w:r>
        <w:t xml:space="preserve">(GenomicsDBImport or CombineGVCFs) and genotyped together (GenotypeGVCFs). Joint</w:t>
      </w:r>
      <w:r>
        <w:t xml:space="preserve"> </w:t>
      </w:r>
      <w:r>
        <w:t xml:space="preserve">genotyping yields a square cohort matrix and well-calibrated genotypes, which matter for</w:t>
      </w:r>
      <w:r>
        <w:t xml:space="preserve"> </w:t>
      </w:r>
      <w:r>
        <w:t xml:space="preserve">downstream cohort QC and burden testing.</w:t>
      </w:r>
    </w:p>
    <w:p>
      <w:pPr>
        <w:pStyle w:val="BodyText"/>
      </w:pPr>
      <w:r>
        <w:rPr>
          <w:b/>
          <w:bCs/>
        </w:rPr>
        <w:t xml:space="preserve">The four variant classes (why each needs its own caller).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Caller</w:t>
            </w:r>
          </w:p>
        </w:tc>
        <w:tc>
          <w:tcPr/>
          <w:p>
            <w:pPr>
              <w:pStyle w:val="Compact"/>
            </w:pPr>
            <w:r>
              <w:t xml:space="preserve">Why a dedicated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SNV / indel</w:t>
            </w:r>
          </w:p>
        </w:tc>
        <w:tc>
          <w:tcPr/>
          <w:p>
            <w:pPr>
              <w:pStyle w:val="Compact"/>
            </w:pPr>
            <w:r>
              <w:t xml:space="preserve">GATK HaplotypeCaller (or DeepVariant)</w:t>
            </w:r>
          </w:p>
        </w:tc>
        <w:tc>
          <w:tcPr/>
          <w:p>
            <w:pPr>
              <w:pStyle w:val="Compact"/>
            </w:pPr>
            <w:r>
              <w:t xml:space="preserve">local re-assembly of haplotypes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CNV</w:t>
            </w:r>
          </w:p>
        </w:tc>
        <w:tc>
          <w:tcPr/>
          <w:p>
            <w:pPr>
              <w:pStyle w:val="Compact"/>
            </w:pPr>
            <w:r>
              <w:t xml:space="preserve">CNVkit (or GATK gCNV)</w:t>
            </w:r>
          </w:p>
        </w:tc>
        <w:tc>
          <w:tcPr/>
          <w:p>
            <w:pPr>
              <w:pStyle w:val="Compact"/>
            </w:pPr>
            <w:r>
              <w:t xml:space="preserve">read-depth ratios vs a panel-of-normals, not per-base genotypes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ExpansionHunter</w:t>
            </w:r>
          </w:p>
        </w:tc>
        <w:tc>
          <w:tcPr/>
          <w:p>
            <w:pPr>
              <w:pStyle w:val="Compact"/>
            </w:pPr>
            <w:r>
              <w:t xml:space="preserve">repeat-aware genotyping from spanning/flanking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paralog-aware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paralog_flag.py</w:t>
            </w:r>
            <w:r>
              <w:t xml:space="preserve"> </w:t>
            </w:r>
            <w:r>
              <w:t xml:space="preserve">confidence layer</w:t>
            </w:r>
          </w:p>
        </w:tc>
        <w:tc>
          <w:tcPr/>
          <w:p>
            <w:pPr>
              <w:pStyle w:val="Compact"/>
            </w:pPr>
            <w:r>
              <w:t xml:space="preserve">multi-mapping ambiguity is a</w:t>
            </w:r>
            <w:r>
              <w:t xml:space="preserve"> </w:t>
            </w:r>
            <w:r>
              <w:rPr>
                <w:i/>
                <w:iCs/>
              </w:rPr>
              <w:t xml:space="preserve">confidence</w:t>
            </w:r>
            <w:r>
              <w:t xml:space="preserve"> </w:t>
            </w:r>
            <w:r>
              <w:t xml:space="preserve">problem, not a new caller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CaptureForge → CallForge interlock.</w:t>
      </w:r>
      <w:r>
        <w:t xml:space="preserve"> </w:t>
      </w:r>
      <w:r>
        <w:t xml:space="preserve">CaptureForge records, per gene, what it could</w:t>
      </w:r>
      <w:r>
        <w:t xml:space="preserve"> </w:t>
      </w:r>
      <w:r>
        <w:t xml:space="preserve">and could not design well. CallForge consumes that: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CNV callability</w:t>
      </w:r>
      <w:r>
        <w:t xml:space="preserve"> </w:t>
      </w:r>
      <w:r>
        <w:t xml:space="preserve">— depth-callable genes (e.g. GYPC, HP) vs breakpoint-blind genes</w:t>
      </w:r>
      <w:r>
        <w:t xml:space="preserve"> </w:t>
      </w:r>
      <w:r>
        <w:t xml:space="preserve">(e.g. CR1, CFH) label every CNV call’s confidence.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 catalog</w:t>
      </w:r>
      <w:r>
        <w:t xml:space="preserve"> </w:t>
      </w:r>
      <w:r>
        <w:t xml:space="preserve">— STR-class targets seed the ExpansionHunter variant catalog.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Paralog flags</w:t>
      </w:r>
      <w:r>
        <w:t xml:space="preserve"> </w:t>
      </w:r>
      <w:r>
        <w:t xml:space="preserve">— paralog-ambiguous genes (e.g. CD209, CASP1, CR1, HP, CFH) drive the</w:t>
      </w:r>
      <w:r>
        <w:t xml:space="preserve"> </w:t>
      </w:r>
      <w:r>
        <w:t xml:space="preserve">paralog confidence layer.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Burden groups</w:t>
      </w:r>
      <w:r>
        <w:t xml:space="preserve"> </w:t>
      </w:r>
      <w:r>
        <w:t xml:space="preserve">— collapse units for gene-set burden testing.</w:t>
      </w:r>
    </w:p>
    <w:p>
      <w:pPr>
        <w:pStyle w:val="FirstParagraph"/>
      </w:pPr>
      <w:r>
        <w:rPr>
          <w:b/>
          <w:bCs/>
        </w:rPr>
        <w:t xml:space="preserve">The reference invariant.</w:t>
      </w:r>
      <w:r>
        <w:t xml:space="preserve"> </w:t>
      </w:r>
      <w:r>
        <w:t xml:space="preserve">CallForge aligns to the</w:t>
      </w:r>
      <w:r>
        <w:t xml:space="preserve"> </w:t>
      </w:r>
      <w:r>
        <w:rPr>
          <w:b/>
          <w:bCs/>
        </w:rPr>
        <w:t xml:space="preserve">same no-alt GRCh38 primary assembly</w:t>
      </w:r>
      <w:r>
        <w:rPr>
          <w:b/>
          <w:bCs/>
        </w:rPr>
        <w:t xml:space="preserve"> </w:t>
      </w:r>
      <w:r>
        <w:rPr>
          <w:b/>
          <w:bCs/>
        </w:rPr>
        <w:t xml:space="preserve">CaptureForge designed against</w:t>
      </w:r>
      <w:r>
        <w:t xml:space="preserve">, and asserts it fail-loud: no alt/decoy contigs, and the</w:t>
      </w:r>
      <w:r>
        <w:t xml:space="preserve"> </w:t>
      </w:r>
      <w:r>
        <w:t xml:space="preserve">target BED’s build must match the reference (see §9, §13).</w:t>
      </w:r>
    </w:p>
    <w:p>
      <w:pPr>
        <w:pStyle w:val="BodyText"/>
      </w:pPr>
      <w:r>
        <w:rPr>
          <w:b/>
          <w:bCs/>
        </w:rPr>
        <w:t xml:space="preserve">Rare-variant burden testing.</w:t>
      </w:r>
      <w:r>
        <w:t xml:space="preserve"> </w:t>
      </w:r>
      <w:r>
        <w:t xml:space="preserve">Individually rare variants are aggregated per gene (and</w:t>
      </w:r>
      <w:r>
        <w:t xml:space="preserve"> </w:t>
      </w:r>
      <w:r>
        <w:t xml:space="preserve">per gene-set) and tested for association with phenotype, adjusting for covariates and</w:t>
      </w:r>
      <w:r>
        <w:t xml:space="preserve"> </w:t>
      </w:r>
      <w:r>
        <w:t xml:space="preserve">ancestry. CallForge filters to</w:t>
      </w:r>
      <w:r>
        <w:t xml:space="preserve"> </w:t>
      </w:r>
      <w:r>
        <w:rPr>
          <w:b/>
          <w:bCs/>
        </w:rPr>
        <w:t xml:space="preserve">rare + functional</w:t>
      </w:r>
      <w:r>
        <w:t xml:space="preserve"> </w:t>
      </w:r>
      <w:r>
        <w:t xml:space="preserve">variants, collapses by</w:t>
      </w:r>
      <w:r>
        <w:t xml:space="preserve"> </w:t>
      </w:r>
      <w:r>
        <w:rPr>
          <w:b/>
          <w:bCs/>
        </w:rPr>
        <w:t xml:space="preserve">gene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CaptureForge burden group</w:t>
      </w:r>
      <w:r>
        <w:t xml:space="preserve">, and runs a gene-burden test (§7, §10).</w:t>
      </w:r>
    </w:p>
    <w:bookmarkEnd w:id="10"/>
    <w:bookmarkStart w:id="14" w:name="pipeline-architecture"/>
    <w:p>
      <w:pPr>
        <w:pStyle w:val="Heading1"/>
      </w:pPr>
      <w:r>
        <w:t xml:space="preserve">3. Pipeline architecture</w:t>
      </w:r>
    </w:p>
    <w:p>
      <w:pPr>
        <w:pStyle w:val="FirstParagraph"/>
      </w:pPr>
      <w:r>
        <w:t xml:space="preserve">CallForge runs</w:t>
      </w:r>
      <w:r>
        <w:t xml:space="preserve"> </w:t>
      </w:r>
      <w:r>
        <w:rPr>
          <w:b/>
          <w:bCs/>
        </w:rPr>
        <w:t xml:space="preserve">16 stages (0–15)</w:t>
      </w:r>
      <w:r>
        <w:t xml:space="preserve">. Each stage writes metrics (JSON/TSV), emits captioned</w:t>
      </w:r>
      <w:r>
        <w:t xml:space="preserve"> </w:t>
      </w:r>
      <w:r>
        <w:t xml:space="preserve">plots (PNG+SVG), and feeds MultiQC plus a self-contained cohort QC dashboard. The diagram</w:t>
      </w:r>
      <w:r>
        <w:t xml:space="preserve"> </w:t>
      </w:r>
      <w:r>
        <w:t xml:space="preserve">below is the authoritative map; external inputs (dashed = drives/labels downstream stages)</w:t>
      </w:r>
      <w:r>
        <w:t xml:space="preserve"> </w:t>
      </w:r>
      <w:r>
        <w:t xml:space="preserve">feed in from the side.</w:t>
      </w:r>
    </w:p>
    <w:p>
      <w:pPr>
        <w:pStyle w:val="CaptionedFigure"/>
      </w:pPr>
      <w:r>
        <w:drawing>
          <wp:inline>
            <wp:extent cx="5334000" cy="4356404"/>
            <wp:effectExtent b="0" l="0" r="0" t="0"/>
            <wp:docPr descr="CallForge pipeline DAG — stages colour-coded by group; external inputs (reference, CaptureForge handoff, annotation databases, FASTQs) feed in; alternative engines (DeepVariant+GLnexus, gatk_gcnv, collapse/regenie/SKAT-O) shown as dashed branches." title="" id="12" name="Picture"/>
            <a:graphic>
              <a:graphicData uri="http://schemas.openxmlformats.org/drawingml/2006/picture">
                <pic:pic>
                  <pic:nvPicPr>
                    <pic:cNvPr descr="figures/callforge_dag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6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CallForge pipeline DAG — stages colour-coded by group; external inputs (reference, CaptureForge handoff, annotation databases, FASTQs) feed in; alternative engines (DeepVariant+GLnexus, gatk_gcnv, collapse/regenie/SKAT-O) shown as dashed branches.</w:t>
      </w:r>
    </w:p>
    <w:p>
      <w:pPr>
        <w:pStyle w:val="BodyText"/>
      </w:pPr>
      <w:r>
        <w:rPr>
          <w:b/>
          <w:bCs/>
        </w:rPr>
        <w:t xml:space="preserve">Stage walkthrough (real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dir + key file(s)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&amp; resource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validate_samplesheet, discover_resources, ingest_captureforge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stage0_inputs/ — manifest, invariant, gene_metadata.tsv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Raw-read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stage1_rawqc/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stage2_trim/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bwa-mem2, samtools 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stage3_align/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Picard MarkDuplicates, GATK BQSR, CollectHsMetrics, mosdepth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stage4_postalign/ — HsMetrics, mosdepth per-gene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Per-sample QC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qc_gate.py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stage5_qc_gate/ — qc_pass.txt, qc_quarantine.txt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SNV/indel joint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GATK HaplotypeCaller, GenomicsDBImport, GenotypeGVCFs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stage6_calling/ — joint.vcf.gz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GATK VariantFiltration, MergeVcfs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stage7_filter/ — joint.filtered.vcf.gz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stage8_cnv/ — cnv_calls.tsv (with callability)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ExpansionHunter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stage9_str/ — str_calls.tsv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Paralog-aware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paralog_flag.py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stage10_paralog/ — paralog.annotated.vcf.gz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VEP, vcfanno, PhyloP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 — annotated.vcf.gz, variants.flat.tsv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stage12_cohortqc/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GIAB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stage13_giab/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 /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collapse / regenie / SKAT-O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stage14_burden/ — burden_results.tsv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MultiQC, dashboard,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calls one subworkflow (</w:t>
      </w:r>
      <w:r>
        <w:rPr>
          <w:rStyle w:val="VerbatimChar"/>
        </w:rPr>
        <w:t xml:space="preserve">subworkflows/callforge.nf</w:t>
      </w:r>
      <w:r>
        <w:t xml:space="preserve">)</w:t>
      </w:r>
      <w:r>
        <w:t xml:space="preserve"> </w:t>
      </w:r>
      <w:r>
        <w:t xml:space="preserve">that wires modules in</w:t>
      </w:r>
      <w:r>
        <w:t xml:space="preserve"> </w:t>
      </w:r>
      <w:r>
        <w:rPr>
          <w:rStyle w:val="VerbatimChar"/>
        </w:rPr>
        <w:t xml:space="preserve">modules/</w:t>
      </w:r>
      <w:r>
        <w:t xml:space="preserve">. Behaviour is set by</w:t>
      </w:r>
      <w:r>
        <w:t xml:space="preserve"> </w:t>
      </w:r>
      <w:r>
        <w:rPr>
          <w:b/>
          <w:bCs/>
        </w:rPr>
        <w:t xml:space="preserve">profiles</w:t>
      </w:r>
      <w:r>
        <w:t xml:space="preserve"> </w:t>
      </w:r>
      <w:r>
        <w:t xml:space="preserve">composed on the command</w:t>
      </w:r>
      <w:r>
        <w:t xml:space="preserve"> </w:t>
      </w:r>
      <w:r>
        <w:t xml:space="preserve">line: an execution profile (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mac_local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 an environment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 Each process declares its own pinned conda env</w:t>
      </w:r>
      <w:r>
        <w:t xml:space="preserve"> </w:t>
      </w:r>
      <w:r>
        <w:t xml:space="preserve">(</w:t>
      </w:r>
      <w:r>
        <w:rPr>
          <w:rStyle w:val="VerbatimChar"/>
        </w:rPr>
        <w:t xml:space="preserve">env/*.yml</w:t>
      </w:r>
      <w:r>
        <w:t xml:space="preserve">) or a pinned container (VEP, hap.py), so</w:t>
      </w:r>
      <w:r>
        <w:t xml:space="preserve"> </w:t>
      </w:r>
      <w:r>
        <w:rPr>
          <w:rStyle w:val="VerbatimChar"/>
        </w:rPr>
        <w:t xml:space="preserve">-profile ...,conda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 </w:t>
      </w:r>
      <w:r>
        <w:t xml:space="preserve">builds exactly what each stage needs.</w:t>
      </w:r>
    </w:p>
    <w:p>
      <w:pPr>
        <w:pStyle w:val="BodyText"/>
      </w:pPr>
      <w:r>
        <w:rPr>
          <w:b/>
          <w:bCs/>
        </w:rPr>
        <w:t xml:space="preserve">Engine options</w:t>
      </w:r>
      <w:r>
        <w:t xml:space="preserve"> </w:t>
      </w:r>
      <w:r>
        <w:t xml:space="preserve">(see §7 for full defaults): SNV/indel</w:t>
      </w:r>
      <w:r>
        <w:t xml:space="preserve"> </w:t>
      </w:r>
      <w:r>
        <w:rPr>
          <w:rStyle w:val="VerbatimChar"/>
        </w:rPr>
        <w:t xml:space="preserve">--caller gatk|deepvariant</w:t>
      </w:r>
      <w:r>
        <w:t xml:space="preserve">;</w:t>
      </w:r>
      <w:r>
        <w:t xml:space="preserve"> </w:t>
      </w:r>
      <w:r>
        <w:t xml:space="preserve">joint method</w:t>
      </w:r>
      <w:r>
        <w:t xml:space="preserve"> </w:t>
      </w:r>
      <w:r>
        <w:rPr>
          <w:rStyle w:val="VerbatimChar"/>
        </w:rPr>
        <w:t xml:space="preserve">--joint_method genomicsdb|combinegvcfs</w:t>
      </w:r>
      <w:r>
        <w:t xml:space="preserve">; CNV</w:t>
      </w:r>
      <w:r>
        <w:t xml:space="preserve"> </w:t>
      </w:r>
      <w:r>
        <w:rPr>
          <w:rStyle w:val="VerbatimChar"/>
        </w:rPr>
        <w:t xml:space="preserve">--cnv_caller cnvkit|gatk_gcnv</w:t>
      </w:r>
      <w:r>
        <w:t xml:space="preserve">;</w:t>
      </w:r>
      <w:r>
        <w:t xml:space="preserve"> </w:t>
      </w:r>
      <w:r>
        <w:t xml:space="preserve">CNVkit segmentation</w:t>
      </w:r>
      <w:r>
        <w:t xml:space="preserve"> </w:t>
      </w:r>
      <w:r>
        <w:rPr>
          <w:rStyle w:val="VerbatimChar"/>
        </w:rPr>
        <w:t xml:space="preserve">--cnv_segment_method cbs|haar|hmm</w:t>
      </w:r>
      <w:r>
        <w:t xml:space="preserve">; burden</w:t>
      </w:r>
      <w:r>
        <w:t xml:space="preserve"> </w:t>
      </w:r>
      <w:r>
        <w:rPr>
          <w:rStyle w:val="VerbatimChar"/>
        </w:rPr>
        <w:t xml:space="preserve">--burden_engine regenie|skat|collapse</w:t>
      </w:r>
      <w:r>
        <w:t xml:space="preserve">.</w:t>
      </w:r>
    </w:p>
    <w:bookmarkEnd w:id="14"/>
    <w:bookmarkStart w:id="17" w:name="installation"/>
    <w:p>
      <w:pPr>
        <w:pStyle w:val="Heading1"/>
      </w:pPr>
      <w:r>
        <w:t xml:space="preserve">4. Installation</w:t>
      </w:r>
    </w:p>
    <w:p>
      <w:pPr>
        <w:pStyle w:val="FirstParagraph"/>
      </w:pPr>
      <w:r>
        <w:t xml:space="preserve">CallForge needs</w:t>
      </w:r>
      <w:r>
        <w:t xml:space="preserve"> </w:t>
      </w:r>
      <w:r>
        <w:rPr>
          <w:b/>
          <w:bCs/>
        </w:rPr>
        <w:t xml:space="preserve">Nextflow (&gt;=23.10)</w:t>
      </w:r>
      <w:r>
        <w:t xml:space="preserve"> </w:t>
      </w:r>
      <w:r>
        <w:t xml:space="preserve">and either conda/mamba or a container engine. Each</w:t>
      </w:r>
      <w:r>
        <w:t xml:space="preserve"> </w:t>
      </w:r>
      <w:r>
        <w:t xml:space="preserve">stage runs in its own pinned environment (</w:t>
      </w:r>
      <w:r>
        <w:rPr>
          <w:rStyle w:val="VerbatimChar"/>
        </w:rPr>
        <w:t xml:space="preserve">env/*.yml</w:t>
      </w:r>
      <w:r>
        <w:t xml:space="preserve">) or pinned container, so you do not</w:t>
      </w:r>
      <w:r>
        <w:t xml:space="preserve"> </w:t>
      </w:r>
      <w:r>
        <w:t xml:space="preserve">install tools by hand —</w:t>
      </w:r>
      <w:r>
        <w:t xml:space="preserve"> </w:t>
      </w:r>
      <w:r>
        <w:rPr>
          <w:rStyle w:val="VerbatimChar"/>
        </w:rPr>
        <w:t xml:space="preserve">-profile conda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) builds each environment on first</w:t>
      </w:r>
      <w:r>
        <w:t xml:space="preserve"> </w:t>
      </w:r>
      <w:r>
        <w:t xml:space="preserve">use.</w:t>
      </w:r>
    </w:p>
    <w:bookmarkStart w:id="15" w:name="local-install-personal-computer"/>
    <w:p>
      <w:pPr>
        <w:pStyle w:val="Heading2"/>
      </w:pPr>
      <w:r>
        <w:t xml:space="preserve">4.1 Local install (personal computer)</w:t>
      </w:r>
    </w:p>
    <w:p>
      <w:pPr>
        <w:pStyle w:val="FirstParagraph"/>
      </w:pPr>
      <w:r>
        <w:rPr>
          <w:b/>
          <w:bCs/>
        </w:rPr>
        <w:t xml:space="preserve">Common steps.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CallForge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/path/to/callforge</w:t>
      </w:r>
      <w:r>
        <w:br/>
      </w:r>
      <w:r>
        <w:br/>
      </w:r>
      <w:r>
        <w:rPr>
          <w:rStyle w:val="CommentTok"/>
        </w:rPr>
        <w:t xml:space="preserve"># 3. core environment (others build on demand)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</w:p>
    <w:p>
      <w:pPr>
        <w:pStyle w:val="FirstParagraph"/>
      </w:pPr>
      <w:r>
        <w:rPr>
          <w:b/>
          <w:bCs/>
        </w:rPr>
        <w:t xml:space="preserve">macOS (Apple Silicon).</w:t>
      </w:r>
      <w:r>
        <w:t xml:space="preserve"> </w:t>
      </w:r>
      <w:r>
        <w:t xml:space="preserve">Some bioconda tools lack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builds. Two options:</w:t>
      </w:r>
    </w:p>
    <w:p>
      <w:pPr>
        <w:pStyle w:val="SourceCode"/>
      </w:pPr>
      <w:r>
        <w:rPr>
          <w:rStyle w:val="CommentTok"/>
        </w:rPr>
        <w:t xml:space="preserve"># (a) Rosetta-emulated x86 env (documented path; the report flags emulated stages)</w:t>
      </w:r>
      <w:r>
        <w:br/>
      </w:r>
      <w:r>
        <w:rPr>
          <w:rStyle w:val="VariableTok"/>
        </w:rPr>
        <w:t xml:space="preserve">CONDA_SUBDIR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osx-64 </w:t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  <w:r>
        <w:br/>
      </w:r>
      <w:r>
        <w:br/>
      </w:r>
      <w:r>
        <w:rPr>
          <w:rStyle w:val="CommentTok"/>
        </w:rPr>
        <w:t xml:space="preserve"># (b) native arm64 — works for most tools, but pin mosdepth &gt;= 0.3.11</w:t>
      </w:r>
      <w:r>
        <w:br/>
      </w:r>
      <w:r>
        <w:rPr>
          <w:rStyle w:val="CommentTok"/>
        </w:rPr>
        <w:t xml:space="preserve">#     (mosdepth 0.3.8 has no arm64 build; 0.3.8 + Rosetta is the alternative)</w:t>
      </w:r>
    </w:p>
    <w:p>
      <w:pPr>
        <w:pStyle w:val="FirstParagraph"/>
      </w:pPr>
      <w:r>
        <w:t xml:space="preserve">VEP and hap.py are run from their</w:t>
      </w:r>
      <w:r>
        <w:t xml:space="preserve"> </w:t>
      </w:r>
      <w:r>
        <w:rPr>
          <w:b/>
          <w:bCs/>
        </w:rPr>
        <w:t xml:space="preserve">official containers</w:t>
      </w:r>
      <w:r>
        <w:t xml:space="preserve"> </w:t>
      </w:r>
      <w:r>
        <w:t xml:space="preserve">(robust across platforms); ensure</w:t>
      </w:r>
      <w:r>
        <w:t xml:space="preserve"> </w:t>
      </w:r>
      <w:r>
        <w:t xml:space="preserve">Docker is available and use</w:t>
      </w:r>
      <w:r>
        <w:t xml:space="preserve"> </w:t>
      </w:r>
      <w:r>
        <w:rPr>
          <w:rStyle w:val="VerbatimChar"/>
        </w:rPr>
        <w:t xml:space="preserve">-profile &lt;exec&gt;,docker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Linux.</w:t>
      </w:r>
      <w:r>
        <w:t xml:space="preserve"> </w:t>
      </w:r>
      <w:r>
        <w:t xml:space="preserve">Native;</w:t>
      </w:r>
      <w:r>
        <w:t xml:space="preserve"> </w:t>
      </w:r>
      <w:r>
        <w:rPr>
          <w:rStyle w:val="VerbatimChar"/>
        </w:rPr>
        <w:t xml:space="preserve">mamba env create -f env/*.yml</w:t>
      </w:r>
      <w:r>
        <w:t xml:space="preserve"> </w:t>
      </w:r>
      <w:r>
        <w:t xml:space="preserve">resolves cleanly, or use the container</w:t>
      </w:r>
      <w:r>
        <w:t xml:space="preserve"> </w:t>
      </w:r>
      <w:r>
        <w:t xml:space="preserve">route.</w:t>
      </w:r>
    </w:p>
    <w:p>
      <w:pPr>
        <w:pStyle w:val="BodyText"/>
      </w:pPr>
      <w:r>
        <w:rPr>
          <w:b/>
          <w:bCs/>
        </w:rPr>
        <w:t xml:space="preserve">Container route.</w:t>
      </w:r>
      <w:r>
        <w:t xml:space="preserve"> </w:t>
      </w:r>
      <w:r>
        <w:t xml:space="preserve">Build the core image once and run containerized: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callforge:0.1.0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.</w:t>
      </w:r>
      <w:r>
        <w:br/>
      </w:r>
      <w:r>
        <w:rPr>
          <w:rStyle w:val="CommentTok"/>
        </w:rPr>
        <w:t xml:space="preserve"># Apptainer (HPC): apptainer build callforge.sif env/callforge.def</w:t>
      </w:r>
    </w:p>
    <w:bookmarkEnd w:id="15"/>
    <w:bookmarkStart w:id="16" w:name="X0b6a66c2e6fc5e4be75f14fd32956e1073cd2ee"/>
    <w:p>
      <w:pPr>
        <w:pStyle w:val="Heading2"/>
      </w:pPr>
      <w:r>
        <w:t xml:space="preserve">4.2 Shared HPC install (Ubuntu 24.04 SLURM cluster)</w:t>
      </w:r>
    </w:p>
    <w:p>
      <w:pPr>
        <w:pStyle w:val="FirstParagraph"/>
      </w:pPr>
      <w:r>
        <w:t xml:space="preserve">The production cohort run is intended for the cluster (native linux-64; no Rosetta). 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uses the SLURM executor (global, cluster-wide across the nodes) and</w:t>
      </w:r>
      <w:r>
        <w:t xml:space="preserve"> </w:t>
      </w:r>
      <w:r>
        <w:t xml:space="preserve">Apptainer for the containerized tools.</w:t>
      </w:r>
    </w:p>
    <w:p>
      <w:pPr>
        <w:pStyle w:val="SourceCode"/>
      </w:pPr>
      <w:r>
        <w:rPr>
          <w:rStyle w:val="CommentTok"/>
        </w:rPr>
        <w:t xml:space="preserve"># shared conda at /hpc/opt/conda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/hpc/opt/conda/etc/profile.d/conda.sh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/hpc/opt/conda/envs/callforge      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/hpc/opt/conda/envs/callforge-annotate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env/annotate.yml</w:t>
      </w:r>
      <w:r>
        <w:br/>
      </w:r>
      <w:r>
        <w:rPr>
          <w:rStyle w:val="CommentTok"/>
        </w:rPr>
        <w:t xml:space="preserve"># ... and cohortqc / cnv / str / happy / burden / deepvariant as needed</w:t>
      </w:r>
      <w:r>
        <w:br/>
      </w:r>
      <w:r>
        <w:br/>
      </w:r>
      <w:r>
        <w:rPr>
          <w:rStyle w:val="CommentTok"/>
        </w:rPr>
        <w:t xml:space="preserve"># Apptainer image for the core tools (Docker is usually forbidden on clusters)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callforge.sif env/callforge.def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APPTAINER_BINDPATH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/data/refs,/data/annotation_db,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/.vep   </w:t>
      </w:r>
      <w:r>
        <w:rPr>
          <w:rStyle w:val="CommentTok"/>
        </w:rPr>
        <w:t xml:space="preserve"># mount resources</w:t>
      </w:r>
      <w:r>
        <w:br/>
      </w:r>
      <w:r>
        <w:br/>
      </w:r>
      <w:r>
        <w:rPr>
          <w:rStyle w:val="CommentTok"/>
        </w:rPr>
        <w:t xml:space="preserve"># run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--slurm_partition</w:t>
      </w:r>
      <w:r>
        <w:rPr>
          <w:rStyle w:val="NormalTok"/>
        </w:rPr>
        <w:t xml:space="preserve"> compute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--slurm_account</w:t>
      </w:r>
      <w:r>
        <w:rPr>
          <w:rStyle w:val="NormalTok"/>
        </w:rPr>
        <w:t xml:space="preserve"> mylab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--scratch_dir</w:t>
      </w:r>
      <w:r>
        <w:rPr>
          <w:rStyle w:val="NormalTok"/>
        </w:rPr>
        <w:t xml:space="preserve"> /scratch/</w:t>
      </w:r>
      <w:r>
        <w:rPr>
          <w:rStyle w:val="VariableTok"/>
        </w:rPr>
        <w:t xml:space="preserve">$USER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Lmod</w:t>
      </w:r>
      <w:r>
        <w:t xml:space="preserve"> </w:t>
      </w:r>
      <w:r>
        <w:t xml:space="preserve">module + launcher wrapper is the recommended front door (set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to the</w:t>
      </w:r>
      <w:r>
        <w:t xml:space="preserve"> </w:t>
      </w:r>
      <w:r>
        <w:t xml:space="preserve">shared Nextflow, source the shared conda, set</w:t>
      </w:r>
      <w:r>
        <w:t xml:space="preserve"> </w:t>
      </w:r>
      <w:r>
        <w:rPr>
          <w:rStyle w:val="VerbatimChar"/>
        </w:rPr>
        <w:t xml:space="preserve">APPTAINER_BINDPATH</w:t>
      </w:r>
      <w:r>
        <w:t xml:space="preserve">); see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conf/hpc_slurm.config</w:t>
      </w:r>
      <w:r>
        <w:t xml:space="preserve"> </w:t>
      </w:r>
      <w:r>
        <w:t xml:space="preserve">sets a shared conda cache so each env</w:t>
      </w:r>
      <w:r>
        <w:t xml:space="preserve"> </w:t>
      </w:r>
      <w:r>
        <w:t xml:space="preserve">builds once cluster-wide;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--scratch_dir</w:t>
      </w:r>
      <w:r>
        <w:t xml:space="preserve"> </w:t>
      </w:r>
      <w:r>
        <w:t xml:space="preserve">are</w:t>
      </w:r>
      <w:r>
        <w:t xml:space="preserve"> </w:t>
      </w:r>
      <w:r>
        <w:t xml:space="preserve">overridable. Heavy steps (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</w:t>
      </w:r>
      <w:r>
        <w:t xml:space="preserve"> </w:t>
      </w:r>
      <w:r>
        <w:t xml:space="preserve">labels) get bigger slots.</w:t>
      </w:r>
    </w:p>
    <w:bookmarkEnd w:id="16"/>
    <w:bookmarkEnd w:id="17"/>
    <w:bookmarkStart w:id="21" w:name="inputs"/>
    <w:p>
      <w:pPr>
        <w:pStyle w:val="Heading1"/>
      </w:pPr>
      <w:r>
        <w:t xml:space="preserve">5. Inputs</w:t>
      </w:r>
    </w:p>
    <w:bookmarkStart w:id="18" w:name="sample-sheet-csv---input"/>
    <w:p>
      <w:pPr>
        <w:pStyle w:val="Heading2"/>
      </w:pPr>
      <w:r>
        <w:t xml:space="preserve">5.1 Sample sheet (CSV) —</w:t>
      </w:r>
      <w:r>
        <w:t xml:space="preserve"> </w:t>
      </w:r>
      <w:r>
        <w:rPr>
          <w:rStyle w:val="VerbatimChar"/>
        </w:rPr>
        <w:t xml:space="preserve">--input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sample_id, fastq_1, fastq_2, sex, phenotype, covariate_*, batch</w:t>
      </w:r>
      <w:r>
        <w:t xml:space="preserve">. Example:</w:t>
      </w:r>
    </w:p>
    <w:p>
      <w:pPr>
        <w:pStyle w:val="SourceCode"/>
      </w:pPr>
      <w:r>
        <w:rPr>
          <w:rStyle w:val="VerbatimChar"/>
        </w:rPr>
        <w:t xml:space="preserve">sample_id,fastq_1,fastq_2,sex,phenotype,covariate_age,batch</w:t>
      </w:r>
      <w:r>
        <w:br/>
      </w:r>
      <w:r>
        <w:rPr>
          <w:rStyle w:val="VerbatimChar"/>
        </w:rPr>
        <w:t xml:space="preserve">S001,/data/fq/S001_R1.fastq.gz,/data/fq/S001_R2.fastq.gz,F,case,41,b1</w:t>
      </w:r>
      <w:r>
        <w:br/>
      </w:r>
      <w:r>
        <w:rPr>
          <w:rStyle w:val="VerbatimChar"/>
        </w:rPr>
        <w:t xml:space="preserve">S002,/data/fq/S002_R1.fastq.gz,/data/fq/S002_R2.fastq.gz,M,control,55,b1</w:t>
      </w:r>
      <w:r>
        <w:br/>
      </w:r>
      <w:r>
        <w:rPr>
          <w:rStyle w:val="VerbatimChar"/>
        </w:rPr>
        <w:t xml:space="preserve">HG002,/data/fq/HG002_R1.fastq.gz,/data/fq/HG002_R2.fastq.gz,M,control,30,b2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sample_id</w:t>
      </w:r>
      <w:r>
        <w:t xml:space="preserve"> </w:t>
      </w:r>
      <w:r>
        <w:t xml:space="preserve">unique;</w:t>
      </w:r>
      <w:r>
        <w:t xml:space="preserve"> </w:t>
      </w:r>
      <w:r>
        <w:rPr>
          <w:rStyle w:val="VerbatimChar"/>
        </w:rPr>
        <w:t xml:space="preserve">fastq_1</w:t>
      </w:r>
      <w:r>
        <w:t xml:space="preserve">/</w:t>
      </w:r>
      <w:r>
        <w:rPr>
          <w:rStyle w:val="VerbatimChar"/>
        </w:rPr>
        <w:t xml:space="preserve">fastq_2</w:t>
      </w:r>
      <w:r>
        <w:t xml:space="preserve"> </w:t>
      </w:r>
      <w:r>
        <w:t xml:space="preserve">are the paired-end reads (validated to exist and</w:t>
      </w:r>
      <w:r>
        <w:t xml:space="preserve"> </w:t>
      </w:r>
      <w:r>
        <w:t xml:space="preserve">differ).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M/F/U</w:t>
      </w:r>
      <w:r>
        <w:t xml:space="preserve"> </w:t>
      </w:r>
      <w:r>
        <w:t xml:space="preserve">(free tokens normalized).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phenotype</w:t>
      </w:r>
      <w:r>
        <w:rPr>
          <w:b/>
          <w:bCs/>
        </w:rPr>
        <w:t xml:space="preserve"> </w:t>
      </w:r>
      <w:r>
        <w:rPr>
          <w:b/>
          <w:bCs/>
        </w:rPr>
        <w:t xml:space="preserve">is required only for the burden layer</w:t>
      </w:r>
      <w:r>
        <w:t xml:space="preserve"> </w:t>
      </w:r>
      <w:r>
        <w:t xml:space="preserve">(case/control or quantitative).</w:t>
      </w:r>
      <w:r>
        <w:t xml:space="preserve"> </w:t>
      </w:r>
      <w:r>
        <w:t xml:space="preserve">Without it, the pipeline runs through the annotated callset and</w:t>
      </w:r>
      <w:r>
        <w:t xml:space="preserve"> </w:t>
      </w:r>
      <w:r>
        <w:rPr>
          <w:b/>
          <w:bCs/>
        </w:rPr>
        <w:t xml:space="preserve">skips burden with a</w:t>
      </w:r>
      <w:r>
        <w:rPr>
          <w:b/>
          <w:bCs/>
        </w:rP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burden_meta.json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status: skipped_no_phenotype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covariate_*</w:t>
      </w:r>
      <w:r>
        <w:t xml:space="preserve"> </w:t>
      </w:r>
      <w:r>
        <w:t xml:space="preserve">columns (any number) become burden covariates;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is carried for QC.</w:t>
      </w:r>
    </w:p>
    <w:p>
      <w:pPr>
        <w:pStyle w:val="FirstParagraph"/>
      </w:pPr>
      <w:r>
        <w:t xml:space="preserve">Validation (</w:t>
      </w:r>
      <w:r>
        <w:rPr>
          <w:rStyle w:val="VerbatimChar"/>
        </w:rPr>
        <w:t xml:space="preserve">validate_samplesheet.py</w:t>
      </w:r>
      <w:r>
        <w:t xml:space="preserve">) writes</w:t>
      </w:r>
      <w:r>
        <w:t xml:space="preserve"> </w:t>
      </w:r>
      <w:r>
        <w:rPr>
          <w:rStyle w:val="VerbatimChar"/>
        </w:rPr>
        <w:t xml:space="preserve">samplesheet.valid.csv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samplesheet_summary.json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burden_eligible</w:t>
      </w:r>
      <w:r>
        <w:t xml:space="preserve">).</w:t>
      </w:r>
    </w:p>
    <w:bookmarkEnd w:id="18"/>
    <w:bookmarkStart w:id="19" w:name="Xaad4569b5b308374a847db0a05c4bbedbf13bac"/>
    <w:p>
      <w:pPr>
        <w:pStyle w:val="Heading2"/>
      </w:pPr>
      <w:r>
        <w:t xml:space="preserve">5.2 CaptureForge handoff —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(+ metadata)</w:t>
      </w:r>
    </w:p>
    <w:p>
      <w:pPr>
        <w:pStyle w:val="FirstParagraph"/>
      </w:pPr>
      <w:r>
        <w:t xml:space="preserve">Point CallForge at CaptureForge’s as-built outputs:</w:t>
      </w:r>
    </w:p>
    <w:p>
      <w:pPr>
        <w:pStyle w:val="SourceCode"/>
      </w:pPr>
      <w:r>
        <w:rPr>
          <w:rStyle w:val="FunctionTok"/>
        </w:rPr>
        <w:t xml:space="preserve">target_bed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/path/captureforge/results/full_run/stage9_qc/final_covered_targets.bed</w:t>
      </w:r>
      <w:r>
        <w:br/>
      </w:r>
      <w:r>
        <w:rPr>
          <w:rStyle w:val="FunctionTok"/>
        </w:rPr>
        <w:t xml:space="preserve">captureforge_dir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/path/captureforge/results/full_run</w:t>
      </w:r>
      <w:r>
        <w:rPr>
          <w:rStyle w:val="CommentTok"/>
        </w:rPr>
        <w:t xml:space="preserve">   # auto-finds metrics.json + baits.csv</w:t>
      </w:r>
      <w:r>
        <w:br/>
      </w:r>
      <w:r>
        <w:rPr>
          <w:rStyle w:val="FunctionTok"/>
        </w:rPr>
        <w:t xml:space="preserve">paralog_genes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StringTok"/>
        </w:rPr>
        <w:t xml:space="preserve">"CD209,CASP1,CR1,HP,CFH"</w:t>
      </w:r>
    </w:p>
    <w:p>
      <w:pPr>
        <w:pStyle w:val="FirstParagraph"/>
      </w:pPr>
      <w:r>
        <w:rPr>
          <w:rStyle w:val="VerbatimChar"/>
        </w:rPr>
        <w:t xml:space="preserve">final_covered_targets.bed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GENE|class</w:t>
      </w:r>
      <w:r>
        <w:t xml:space="preserve"> </w:t>
      </w:r>
      <w:r>
        <w:t xml:space="preserve">names (e.g. </w:t>
      </w:r>
      <w:r>
        <w:rPr>
          <w:rStyle w:val="VerbatimChar"/>
        </w:rPr>
        <w:t xml:space="preserve">ATP2B4|coding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GYPC|cnv</w:t>
      </w:r>
      <w:r>
        <w:t xml:space="preserve">).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supplies CNV callability;</w:t>
      </w:r>
      <w:r>
        <w:t xml:space="preserve"> </w:t>
      </w:r>
      <w:r>
        <w:rPr>
          <w:rStyle w:val="VerbatimChar"/>
        </w:rPr>
        <w:t xml:space="preserve">baits.csv</w:t>
      </w:r>
      <w:r>
        <w:t xml:space="preserve"> </w:t>
      </w:r>
      <w:r>
        <w:t xml:space="preserve">an off-target signal.</w:t>
      </w:r>
      <w:r>
        <w:t xml:space="preserve"> </w:t>
      </w:r>
      <w:r>
        <w:t xml:space="preserve">If CaptureForge outputs are absent, supply</w:t>
      </w:r>
      <w:r>
        <w:t xml:space="preserve"> </w:t>
      </w:r>
      <w:r>
        <w:rPr>
          <w:rStyle w:val="VerbatimChar"/>
        </w:rPr>
        <w:t xml:space="preserve">--gene_metadata</w:t>
      </w:r>
      <w:r>
        <w:t xml:space="preserve"> </w:t>
      </w:r>
      <w:r>
        <w:t xml:space="preserve">(a per-gene TSV),</w:t>
      </w:r>
      <w:r>
        <w:t xml:space="preserve"> </w:t>
      </w:r>
      <w:r>
        <w:rPr>
          <w:rStyle w:val="VerbatimChar"/>
        </w:rPr>
        <w:t xml:space="preserve">--paralog_genes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--str_catalog</w:t>
      </w:r>
      <w:r>
        <w:t xml:space="preserve"> </w:t>
      </w:r>
      <w:r>
        <w:t xml:space="preserve">directly.</w:t>
      </w:r>
      <w:r>
        <w:t xml:space="preserve"> </w:t>
      </w:r>
      <w:r>
        <w:rPr>
          <w:rStyle w:val="VerbatimChar"/>
        </w:rPr>
        <w:t xml:space="preserve">ingest_captureforge.py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gene_metadata.tsv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gene, classes, …, is_cnv_target, cnv_callable, cnv_callable_reason, is_str_target, str_loci, is_paralog, off_target_frac, low_coverage, burden_group</w:t>
      </w:r>
      <w:r>
        <w:t xml:space="preserve">.</w:t>
      </w:r>
    </w:p>
    <w:bookmarkEnd w:id="19"/>
    <w:bookmarkStart w:id="20" w:name="reference---genome_fasta"/>
    <w:p>
      <w:pPr>
        <w:pStyle w:val="Heading2"/>
      </w:pPr>
      <w:r>
        <w:t xml:space="preserve">5.3 Reference —</w:t>
      </w:r>
      <w:r>
        <w:t xml:space="preserve"> </w:t>
      </w:r>
      <w:r>
        <w:rPr>
          <w:rStyle w:val="VerbatimChar"/>
        </w:rPr>
        <w:t xml:space="preserve">--genome_fasta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no-alt GRCh38 primary assembly the panel was designed against</w:t>
      </w:r>
      <w:r>
        <w:t xml:space="preserve"> </w:t>
      </w:r>
      <w:r>
        <w:t xml:space="preserve">(Ensembl-named, e.g.</w:t>
      </w:r>
      <w:r>
        <w:t xml:space="preserve"> </w:t>
      </w:r>
      <w:r>
        <w:rPr>
          <w:rStyle w:val="VerbatimChar"/>
        </w:rPr>
        <w:t xml:space="preserve">1,2,…,22,X,Y,MT</w:t>
      </w:r>
      <w:r>
        <w:t xml:space="preserve">).</w:t>
      </w:r>
      <w:r>
        <w:t xml:space="preserve"> </w:t>
      </w:r>
      <w:r>
        <w:rPr>
          <w:rStyle w:val="VerbatimChar"/>
        </w:rPr>
        <w:t xml:space="preserve">--genome_build GRCh38</w:t>
      </w:r>
      <w:r>
        <w:t xml:space="preserve">. CallForge builds</w:t>
      </w:r>
      <w:r>
        <w:t xml:space="preserve"> </w:t>
      </w:r>
      <w:r>
        <w:rPr>
          <w:rStyle w:val="VerbatimChar"/>
        </w:rPr>
        <w:t xml:space="preserve">.fai</w:t>
      </w:r>
      <w:r>
        <w:t xml:space="preserve">/</w:t>
      </w:r>
      <w:r>
        <w:rPr>
          <w:rStyle w:val="VerbatimChar"/>
        </w:rPr>
        <w:t xml:space="preserve">.dict</w:t>
      </w:r>
      <w:r>
        <w:t xml:space="preserve">/bwa-mem2 index</w:t>
      </w:r>
      <w:r>
        <w:t xml:space="preserve"> </w:t>
      </w:r>
      <w:r>
        <w:t xml:space="preserve">if absent and asserts the reference invariant (§9).</w:t>
      </w:r>
    </w:p>
    <w:bookmarkEnd w:id="20"/>
    <w:bookmarkEnd w:id="21"/>
    <w:bookmarkStart w:id="28" w:name="annotation-databases"/>
    <w:p>
      <w:pPr>
        <w:pStyle w:val="Heading1"/>
      </w:pPr>
      <w:r>
        <w:t xml:space="preserve">6. Annotation databases</w:t>
      </w:r>
    </w:p>
    <w:p>
      <w:pPr>
        <w:pStyle w:val="FirstParagraph"/>
      </w:pPr>
      <w:r>
        <w:t xml:space="preserve">Annotation is the most resource-sensitive stage and is treated carefully: CallForge</w:t>
      </w:r>
      <w:r>
        <w:t xml:space="preserve"> </w:t>
      </w:r>
      <w:r>
        <w:rPr>
          <w:b/>
          <w:bCs/>
        </w:rPr>
        <w:t xml:space="preserve">discovers</w:t>
      </w:r>
      <w:r>
        <w:t xml:space="preserve"> </w:t>
      </w:r>
      <w:r>
        <w:t xml:space="preserve">local resources,</w:t>
      </w:r>
      <w:r>
        <w:t xml:space="preserve"> </w:t>
      </w:r>
      <w:r>
        <w:rPr>
          <w:b/>
          <w:bCs/>
        </w:rPr>
        <w:t xml:space="preserve">validates their genomic scope</w:t>
      </w:r>
      <w:r>
        <w:t xml:space="preserve"> </w:t>
      </w:r>
      <w:r>
        <w:t xml:space="preserve">(fail-loud on</w:t>
      </w:r>
      <w:r>
        <w:t xml:space="preserve"> </w:t>
      </w:r>
      <w:r>
        <w:t xml:space="preserve">region-limited databases), and</w:t>
      </w:r>
      <w:r>
        <w:t xml:space="preserve"> </w:t>
      </w:r>
      <w:r>
        <w:rPr>
          <w:b/>
          <w:bCs/>
        </w:rPr>
        <w:t xml:space="preserve">reconciles contig naming</w:t>
      </w:r>
      <w:r>
        <w:t xml:space="preserve"> </w:t>
      </w:r>
      <w:r>
        <w:t xml:space="preserve">so values are never silently</w:t>
      </w:r>
      <w:r>
        <w:t xml:space="preserve"> </w:t>
      </w:r>
      <w:r>
        <w:t xml:space="preserve">missed. Nothing is downloaded unless a resource is missing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required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you opt</w:t>
      </w:r>
      <w:r>
        <w:t xml:space="preserve"> </w:t>
      </w:r>
      <w:r>
        <w:t xml:space="preserve">in (</w:t>
      </w:r>
      <w:r>
        <w:rPr>
          <w:rStyle w:val="VerbatimChar"/>
        </w:rPr>
        <w:t xml:space="preserve">--allow_download</w:t>
      </w:r>
      <w:r>
        <w:t xml:space="preserve">).</w:t>
      </w:r>
    </w:p>
    <w:bookmarkStart w:id="22" w:name="the-databases"/>
    <w:p>
      <w:pPr>
        <w:pStyle w:val="Heading2"/>
      </w:pP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2"/>
        <w:gridCol w:w="2907"/>
        <w:gridCol w:w="2506"/>
        <w:gridCol w:w="14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 / 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gnomAD (AFR)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allele frequencies, incl. African-ancestry AF_afr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(vcfanno), 14 (rare filter); –gnomad_vcf, –gnomad_af_field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significance (CLNSIG, CLNDN, CLNREVSTAT,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–clinvar_vcf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dbSNP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rsIDs (ID column)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(rsID), 4 (BQSR); –dbsnp_vcf, –known_sites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VEP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consequence, transcript, SIFT/PolyPhen, canonical/MANE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–vep_cache, –vep_release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+ assembly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conservation score (bigWig)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–phylop_bw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Namespacing.</w:t>
      </w:r>
      <w:r>
        <w:t xml:space="preserve"> </w:t>
      </w:r>
      <w:r>
        <w:t xml:space="preserve">gnomAD INFO fields are written back as</w:t>
      </w:r>
      <w:r>
        <w:t xml:space="preserve"> </w:t>
      </w:r>
      <w:r>
        <w:rPr>
          <w:rStyle w:val="VerbatimChar"/>
        </w:rPr>
        <w:t xml:space="preserve">gnomAD_*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gnomAD_AF_afr</w:t>
      </w:r>
      <w:r>
        <w:t xml:space="preserve">)</w:t>
      </w:r>
      <w:r>
        <w:t xml:space="preserve"> </w:t>
      </w:r>
      <w:r>
        <w:t xml:space="preserve">so the</w:t>
      </w:r>
      <w:r>
        <w:t xml:space="preserve"> </w:t>
      </w:r>
      <w:r>
        <w:rPr>
          <w:b/>
          <w:bCs/>
        </w:rPr>
        <w:t xml:space="preserve">cohort’s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AF/AC/AN</w:t>
      </w:r>
      <w:r>
        <w:rPr>
          <w:b/>
          <w:bCs/>
        </w:rPr>
        <w:t xml:space="preserve"> </w:t>
      </w:r>
      <w:r>
        <w:rPr>
          <w:b/>
          <w:bCs/>
        </w:rPr>
        <w:t xml:space="preserve">are never overwritten</w:t>
      </w:r>
      <w:r>
        <w:t xml:space="preserve"> </w:t>
      </w:r>
      <w:r>
        <w:t xml:space="preserve">— the classic annotation</w:t>
      </w:r>
      <w:r>
        <w:t xml:space="preserve"> </w:t>
      </w:r>
      <w:r>
        <w:t xml:space="preserve">enrichment bug is designed out.</w:t>
      </w:r>
    </w:p>
    <w:bookmarkEnd w:id="22"/>
    <w:bookmarkStart w:id="23" w:name="the-genomic-scope-gate-fail-loud"/>
    <w:p>
      <w:pPr>
        <w:pStyle w:val="Heading2"/>
      </w:pPr>
      <w:r>
        <w:t xml:space="preserve">6.2 The genomic-scope gate (fail-loud)</w:t>
      </w:r>
    </w:p>
    <w:p>
      <w:pPr>
        <w:pStyle w:val="FirstParagraph"/>
      </w:pPr>
      <w:r>
        <w:t xml:space="preserve">A region-subset database (e.g. a single-locus gnomAD) silently returns</w:t>
      </w:r>
      <w:r>
        <w:t xml:space="preserve"> </w:t>
      </w:r>
      <w:r>
        <w:t xml:space="preserve">“no AF / no ClinVar”</w:t>
      </w:r>
      <w:r>
        <w:t xml:space="preserve"> </w:t>
      </w:r>
      <w:r>
        <w:t xml:space="preserve">outside its region — which a downstream filter would misread as</w:t>
      </w:r>
      <w:r>
        <w:t xml:space="preserve"> </w:t>
      </w:r>
      <w:r>
        <w:rPr>
          <w:i/>
          <w:iCs/>
        </w:rPr>
        <w:t xml:space="preserve">rare-novel</w:t>
      </w:r>
      <w:r>
        <w:t xml:space="preserve">, corrupting</w:t>
      </w:r>
      <w:r>
        <w:t xml:space="preserve"> </w:t>
      </w:r>
      <w:r>
        <w:t xml:space="preserve">burden testing.</w:t>
      </w:r>
      <w:r>
        <w:t xml:space="preserve"> </w:t>
      </w:r>
      <w:r>
        <w:rPr>
          <w:rStyle w:val="VerbatimChar"/>
        </w:rPr>
        <w:t xml:space="preserve">discover_resources.py</w:t>
      </w:r>
      <w:r>
        <w:t xml:space="preserve"> </w:t>
      </w:r>
      <w:r>
        <w:t xml:space="preserve">therefore validates, per annotation VCF, that its</w:t>
      </w:r>
      <w:r>
        <w:t xml:space="preserve"> </w:t>
      </w:r>
      <w:r>
        <w:t xml:space="preserve">data</w:t>
      </w:r>
      <w:r>
        <w:t xml:space="preserve"> </w:t>
      </w:r>
      <w:r>
        <w:rPr>
          <w:b/>
          <w:bCs/>
        </w:rPr>
        <w:t xml:space="preserve">spans the target panel’s contigs</w:t>
      </w:r>
      <w:r>
        <w:t xml:space="preserve"> </w:t>
      </w:r>
      <w:r>
        <w:t xml:space="preserve">(tabix-probed, chr/no-chr reconciled), checks the</w:t>
      </w:r>
      <w:r>
        <w:t xml:space="preserve"> </w:t>
      </w:r>
      <w:r>
        <w:rPr>
          <w:b/>
          <w:bCs/>
        </w:rPr>
        <w:t xml:space="preserve">BGZF-EOF marker</w:t>
      </w:r>
      <w:r>
        <w:t xml:space="preserve"> </w:t>
      </w:r>
      <w:r>
        <w:t xml:space="preserve">(rejects truncated downloads), and</w:t>
      </w:r>
      <w:r>
        <w:t xml:space="preserve"> </w:t>
      </w:r>
      <w:r>
        <w:rPr>
          <w:b/>
          <w:bCs/>
        </w:rPr>
        <w:t xml:space="preserve">fails loud</w:t>
      </w:r>
      <w:r>
        <w:t xml:space="preserve"> </w:t>
      </w:r>
      <w:r>
        <w:t xml:space="preserve">on a found-but-unfit</w:t>
      </w:r>
      <w:r>
        <w:t xml:space="preserve"> </w:t>
      </w:r>
      <w:r>
        <w:t xml:space="preserve">database:</w:t>
      </w:r>
    </w:p>
    <w:p>
      <w:pPr>
        <w:pStyle w:val="SourceCode"/>
      </w:pPr>
      <w:r>
        <w:rPr>
          <w:rStyle w:val="VerbatimChar"/>
        </w:rPr>
        <w:t xml:space="preserve">[discover_resources] UNFIT (found but region-limited): gnomad_vcf: data spans only</w:t>
      </w:r>
      <w:r>
        <w:br/>
      </w:r>
      <w:r>
        <w:rPr>
          <w:rStyle w:val="VerbatimChar"/>
        </w:rPr>
        <w:t xml:space="preserve">1/19 target contigs (frac=0.0526 &lt; 0.9); region-subset DB — replace with genome-wide.</w:t>
      </w:r>
      <w:r>
        <w:br/>
      </w:r>
      <w:r>
        <w:rPr>
          <w:rStyle w:val="VerbatimChar"/>
        </w:rPr>
        <w:t xml:space="preserve">[discover_resources] FAIL: ... Refusing to under-annotate.</w:t>
      </w:r>
    </w:p>
    <w:p>
      <w:pPr>
        <w:pStyle w:val="FirstParagraph"/>
      </w:pPr>
      <w:r>
        <w:t xml:space="preserve">Tune with</w:t>
      </w:r>
      <w:r>
        <w:t xml:space="preserve"> </w:t>
      </w:r>
      <w:r>
        <w:rPr>
          <w:rStyle w:val="VerbatimChar"/>
        </w:rPr>
        <w:t xml:space="preserve">--scope_min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0.9</w:t>
      </w:r>
      <w:r>
        <w:t xml:space="preserve">); override only with</w:t>
      </w:r>
      <w:r>
        <w:t xml:space="preserve"> </w:t>
      </w:r>
      <w:r>
        <w:rPr>
          <w:rStyle w:val="VerbatimChar"/>
        </w:rPr>
        <w:t xml:space="preserve">--ignore_unfit_resources</w:t>
      </w:r>
      <w:r>
        <w:t xml:space="preserve"> </w:t>
      </w:r>
      <w:r>
        <w:t xml:space="preserve">(not advised) or</w:t>
      </w:r>
      <w:r>
        <w:t xml:space="preserve"> </w:t>
      </w:r>
      <w:r>
        <w:rPr>
          <w:rStyle w:val="VerbatimChar"/>
        </w:rPr>
        <w:t xml:space="preserve">--allow_download</w:t>
      </w:r>
      <w:r>
        <w:t xml:space="preserve">.</w:t>
      </w:r>
    </w:p>
    <w:bookmarkEnd w:id="23"/>
    <w:bookmarkStart w:id="24" w:name="contig-naming-chr-reconciliation"/>
    <w:p>
      <w:pPr>
        <w:pStyle w:val="Heading2"/>
      </w:pPr>
      <w:r>
        <w:t xml:space="preserve">6.3 Contig-naming / chr-reconciliation</w:t>
      </w:r>
    </w:p>
    <w:p>
      <w:pPr>
        <w:pStyle w:val="FirstParagraph"/>
      </w:pPr>
      <w:r>
        <w:t xml:space="preserve">The design reference / callset is</w:t>
      </w:r>
      <w:r>
        <w:t xml:space="preserve"> </w:t>
      </w:r>
      <w:r>
        <w:rPr>
          <w:b/>
          <w:bCs/>
        </w:rPr>
        <w:t xml:space="preserve">Ensembl-numeric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1</w:t>
      </w:r>
      <w:r>
        <w:t xml:space="preserve">), gnomAD and PhyloP are usually</w:t>
      </w:r>
      <w:r>
        <w:t xml:space="preserve"> </w:t>
      </w:r>
      <w:r>
        <w:rPr>
          <w:b/>
          <w:bCs/>
        </w:rPr>
        <w:t xml:space="preserve">chr-prefixed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chr1</w:t>
      </w:r>
      <w:r>
        <w:t xml:space="preserve">), and NCBI ClinVar is Ensembl-numeric. CallForge reconciles naming</w:t>
      </w:r>
      <w:r>
        <w:t xml:space="preserve"> </w:t>
      </w:r>
      <w:r>
        <w:rPr>
          <w:b/>
          <w:bCs/>
        </w:rPr>
        <w:t xml:space="preserve">per resource</w:t>
      </w:r>
      <w:r>
        <w:t xml:space="preserve">: the query is renamed to a resource’s style only where it differs, then</w:t>
      </w:r>
      <w:r>
        <w:t xml:space="preserve"> </w:t>
      </w:r>
      <w:r>
        <w:t xml:space="preserve">renamed back — and the annotation step then</w:t>
      </w:r>
      <w:r>
        <w:t xml:space="preserve"> </w:t>
      </w:r>
      <w:r>
        <w:rPr>
          <w:b/>
          <w:bCs/>
        </w:rPr>
        <w:t xml:space="preserve">verifies the values actually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verify_annotation.py</w:t>
      </w:r>
      <w:r>
        <w:t xml:space="preserve">, fail-loud), so a contig-name mismatch can never silently drop an</w:t>
      </w:r>
      <w:r>
        <w:t xml:space="preserve"> </w:t>
      </w:r>
      <w:r>
        <w:t xml:space="preserve">annotation.</w:t>
      </w:r>
    </w:p>
    <w:bookmarkEnd w:id="24"/>
    <w:bookmarkStart w:id="25" w:name="X3f5f71849651eddf01019ab8f33d7beb5848c67"/>
    <w:p>
      <w:pPr>
        <w:pStyle w:val="Heading2"/>
      </w:pPr>
      <w:r>
        <w:t xml:space="preserve">6.4 Fetching databases —</w:t>
      </w:r>
      <w:r>
        <w:t xml:space="preserve"> </w:t>
      </w:r>
      <w:r>
        <w:rPr>
          <w:rStyle w:val="VerbatimChar"/>
        </w:rPr>
        <w:t xml:space="preserve">bin/fetch_annotation_dbs.sh</w:t>
      </w:r>
    </w:p>
    <w:p>
      <w:pPr>
        <w:pStyle w:val="FirstParagraph"/>
      </w:pPr>
      <w:r>
        <w:t xml:space="preserve">A resumable downloader for genome-wide gnomAD v4.1 + ClinVar (GRCh38):</w:t>
      </w:r>
    </w:p>
    <w:p>
      <w:pPr>
        <w:pStyle w:val="SourceCode"/>
      </w:pPr>
      <w:r>
        <w:rPr>
          <w:rStyle w:val="CommentTok"/>
        </w:rPr>
        <w:t xml:space="preserve"># panel-slice mode (recommended for a targeted panel; a few hundred MB)</w:t>
      </w:r>
      <w:r>
        <w:br/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panel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PANEL_BED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OUTDIR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/path/annotation_db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bin/fetch_annotation_dbs.sh</w:t>
      </w:r>
      <w:r>
        <w:br/>
      </w:r>
      <w:r>
        <w:br/>
      </w:r>
      <w:r>
        <w:rPr>
          <w:rStyle w:val="CommentTok"/>
        </w:rPr>
        <w:t xml:space="preserve"># full genome-wide mode (very large; use on HPC with a fast network)</w:t>
      </w:r>
      <w:r>
        <w:br/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DATASETS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"genomes"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bin/fetch_annotation_dbs.sh</w:t>
      </w:r>
    </w:p>
    <w:p>
      <w:pPr>
        <w:pStyle w:val="FirstParagraph"/>
      </w:pPr>
      <w:r>
        <w:t xml:space="preserve">Panel mode merges nearby intervals to cut HTTP round-trips, slices each chromosome with</w:t>
      </w:r>
      <w:r>
        <w:t xml:space="preserve"> </w:t>
      </w:r>
      <w:r>
        <w:t xml:space="preserve">per-chromosome retry, and is resumable (re-run to continue, not restart).</w:t>
      </w:r>
      <w:r>
        <w:t xml:space="preserve"> </w:t>
      </w:r>
      <w:r>
        <w:rPr>
          <w:b/>
          <w:bCs/>
        </w:rPr>
        <w:t xml:space="preserve">dbSNP is not</w:t>
      </w:r>
      <w:r>
        <w:rPr>
          <w:b/>
          <w:bCs/>
        </w:rPr>
        <w:t xml:space="preserve"> </w:t>
      </w:r>
      <w:r>
        <w:rPr>
          <w:b/>
          <w:bCs/>
        </w:rPr>
        <w:t xml:space="preserve">fetched by this script</w:t>
      </w:r>
      <w:r>
        <w:t xml:space="preserve"> </w:t>
      </w:r>
      <w:r>
        <w:t xml:space="preserve">— supply a genome-wide dbSNP separately (it is also a BQSR</w:t>
      </w:r>
      <w:r>
        <w:t xml:space="preserve"> </w:t>
      </w:r>
      <w:r>
        <w:t xml:space="preserve">known-site).</w:t>
      </w:r>
    </w:p>
    <w:bookmarkEnd w:id="25"/>
    <w:bookmarkStart w:id="26" w:name="resource-auto-discovery"/>
    <w:p>
      <w:pPr>
        <w:pStyle w:val="Heading2"/>
      </w:pPr>
      <w:r>
        <w:t xml:space="preserve">6.5 Resource auto-discovery</w:t>
      </w:r>
    </w:p>
    <w:p>
      <w:pPr>
        <w:pStyle w:val="FirstParagraph"/>
      </w:pPr>
      <w:r>
        <w:rPr>
          <w:rStyle w:val="VerbatimChar"/>
        </w:rPr>
        <w:t xml:space="preserve">discover_resources.py</w:t>
      </w:r>
      <w:r>
        <w:t xml:space="preserve"> </w:t>
      </w:r>
      <w:r>
        <w:t xml:space="preserve">scans</w:t>
      </w:r>
      <w:r>
        <w:t xml:space="preserve"> </w:t>
      </w:r>
      <w:r>
        <w:rPr>
          <w:rStyle w:val="VerbatimChar"/>
        </w:rPr>
        <w:t xml:space="preserve">--resource_dirs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$HOME,/usr/local/share,/opt</w:t>
      </w:r>
      <w:r>
        <w:t xml:space="preserve">),</w:t>
      </w:r>
      <w:r>
        <w:t xml:space="preserve"> </w:t>
      </w:r>
      <w:r>
        <w:t xml:space="preserve">validates each resource (build, index, scope, integrity), and writes</w:t>
      </w:r>
      <w:r>
        <w:t xml:space="preserve"> </w:t>
      </w:r>
      <w:r>
        <w:rPr>
          <w:rStyle w:val="VerbatimChar"/>
        </w:rPr>
        <w:t xml:space="preserve">stage0_inputs/resource_manifest.json</w:t>
      </w:r>
      <w:r>
        <w:t xml:space="preserve">. Missing human-only resources are reported and the</w:t>
      </w:r>
      <w:r>
        <w:t xml:space="preserve"> </w:t>
      </w:r>
      <w:r>
        <w:t xml:space="preserve">dependent step skips gracefully. Explicit</w:t>
      </w:r>
      <w:r>
        <w:t xml:space="preserve"> </w:t>
      </w:r>
      <w:r>
        <w:rPr>
          <w:rStyle w:val="VerbatimChar"/>
        </w:rPr>
        <w:t xml:space="preserve">--vep_cache/--gnomad_vcf/--clinvar_vcf/…</w:t>
      </w:r>
      <w:r>
        <w:t xml:space="preserve"> </w:t>
      </w:r>
      <w:r>
        <w:t xml:space="preserve">overrides take precedence and are still validated.</w:t>
      </w:r>
    </w:p>
    <w:bookmarkEnd w:id="26"/>
    <w:bookmarkStart w:id="27" w:name="bring-your-own-non-human-databases"/>
    <w:p>
      <w:pPr>
        <w:pStyle w:val="Heading2"/>
      </w:pPr>
      <w:r>
        <w:t xml:space="preserve">6.6 Bring-your-own / non-human databases</w:t>
      </w:r>
    </w:p>
    <w:p>
      <w:pPr>
        <w:pStyle w:val="FirstParagraph"/>
      </w:pPr>
      <w:r>
        <w:t xml:space="preserve">CallForge is organism-generic: VEP runs by</w:t>
      </w:r>
      <w:r>
        <w:t xml:space="preserve"> </w:t>
      </w:r>
      <w:r>
        <w:rPr>
          <w:rStyle w:val="VerbatimChar"/>
          <w:b/>
          <w:bCs/>
        </w:rPr>
        <w:t xml:space="preserve">--species</w:t>
      </w:r>
      <w:r>
        <w:t xml:space="preserve"> </w:t>
      </w:r>
      <w:r>
        <w:t xml:space="preserve">(point at that species’ VEP</w:t>
      </w:r>
      <w:r>
        <w:t xml:space="preserve"> </w:t>
      </w:r>
      <w:r>
        <w:t xml:space="preserve">cache), and vcfanno reads a</w:t>
      </w:r>
      <w:r>
        <w:t xml:space="preserve"> </w:t>
      </w:r>
      <w:r>
        <w:rPr>
          <w:b/>
          <w:bCs/>
        </w:rPr>
        <w:t xml:space="preserve">bring-your-own-databases 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--vcfanno_toml</w:t>
      </w:r>
      <w:r>
        <w:t xml:space="preserve">). Human-only</w:t>
      </w:r>
      <w:r>
        <w:t xml:space="preserve"> </w:t>
      </w:r>
      <w:r>
        <w:t xml:space="preserve">resources (gnomAD/ClinVar/BQSR known-sites)</w:t>
      </w:r>
      <w:r>
        <w:t xml:space="preserve"> </w:t>
      </w:r>
      <w:r>
        <w:rPr>
          <w:b/>
          <w:bCs/>
        </w:rPr>
        <w:t xml:space="preserve">skip gracefully when absent</w:t>
      </w:r>
      <w:r>
        <w:t xml:space="preserve">. To register a</w:t>
      </w:r>
      <w:r>
        <w:t xml:space="preserve"> </w:t>
      </w:r>
      <w:r>
        <w:t xml:space="preserve">new organism: set</w:t>
      </w:r>
      <w:r>
        <w:t xml:space="preserve"> </w:t>
      </w:r>
      <w:r>
        <w:rPr>
          <w:rStyle w:val="VerbatimChar"/>
        </w:rPr>
        <w:t xml:space="preserve">--species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--genome_fasta</w:t>
      </w:r>
      <w:r>
        <w:t xml:space="preserve"> </w:t>
      </w:r>
      <w:r>
        <w:t xml:space="preserve">(that build),</w:t>
      </w:r>
      <w:r>
        <w:t xml:space="preserve"> </w:t>
      </w:r>
      <w:r>
        <w:rPr>
          <w:rStyle w:val="VerbatimChar"/>
        </w:rPr>
        <w:t xml:space="preserve">--vep_cache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--vcfanno_toml</w:t>
      </w:r>
      <w:r>
        <w:t xml:space="preserve"> </w:t>
      </w:r>
      <w:r>
        <w:t xml:space="preserve">listing whatever frequency/clinical databases exist; leave the human DB</w:t>
      </w:r>
      <w:r>
        <w:t xml:space="preserve"> </w:t>
      </w:r>
      <w:r>
        <w:t xml:space="preserve">params unset.</w:t>
      </w:r>
    </w:p>
    <w:bookmarkEnd w:id="27"/>
    <w:bookmarkEnd w:id="28"/>
    <w:bookmarkStart w:id="29" w:name="configuration"/>
    <w:p>
      <w:pPr>
        <w:pStyle w:val="Heading1"/>
      </w:pPr>
      <w:r>
        <w:t xml:space="preserve">7. Configuration</w:t>
      </w:r>
    </w:p>
    <w:p>
      <w:pPr>
        <w:pStyle w:val="FirstParagraph"/>
      </w:pPr>
      <w:r>
        <w:t xml:space="preserve">Set parameters via</w:t>
      </w:r>
      <w:r>
        <w:t xml:space="preserve"> </w:t>
      </w:r>
      <w:r>
        <w:rPr>
          <w:rStyle w:val="VerbatimChar"/>
        </w:rPr>
        <w:t xml:space="preserve">-params-file params.yaml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params.example.yaml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.</w:t>
      </w:r>
      <w:r>
        <w:t xml:space="preserve"> </w:t>
      </w:r>
      <w:r>
        <w:t xml:space="preserve">Profiles set executor + resource ceilings:</w:t>
      </w:r>
      <w:r>
        <w:t xml:space="preserve"> </w:t>
      </w: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(3–4 synthetic samples, minutes),</w:t>
      </w:r>
      <w:r>
        <w:t xml:space="preserve"> </w:t>
      </w:r>
      <w:r>
        <w:rPr>
          <w:rStyle w:val="VerbatimChar"/>
          <w:b/>
          <w:bCs/>
        </w:rPr>
        <w:t xml:space="preserve">mac_local</w:t>
      </w:r>
      <w:r>
        <w:t xml:space="preserve"> </w:t>
      </w:r>
      <w:r>
        <w:t xml:space="preserve">(full, one machine),</w:t>
      </w:r>
      <w:r>
        <w:t xml:space="preserve"> </w:t>
      </w:r>
      <w:r>
        <w:rPr>
          <w:rStyle w:val="VerbatimChar"/>
          <w:b/>
          <w:bCs/>
        </w:rPr>
        <w:t xml:space="preserve">hpc_slurm</w:t>
      </w:r>
      <w:r>
        <w:t xml:space="preserve"> </w:t>
      </w:r>
      <w:r>
        <w:t xml:space="preserve">(SLURM + Apptainer/shared-conda).</w:t>
      </w:r>
    </w:p>
    <w:p>
      <w:pPr>
        <w:pStyle w:val="BodyText"/>
      </w:pPr>
      <w:r>
        <w:rPr>
          <w:b/>
          <w:bCs/>
        </w:rPr>
        <w:t xml:space="preserve">Key tunables (real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gatk</w:t>
            </w:r>
          </w:p>
        </w:tc>
        <w:tc>
          <w:tcPr/>
          <w:p>
            <w:pPr>
              <w:pStyle w:val="Compact"/>
            </w:pPr>
            <w:r>
              <w:t xml:space="preserve">SNV/indel engine:</w:t>
            </w:r>
            <w:r>
              <w:t xml:space="preserve"> </w:t>
            </w:r>
            <w:r>
              <w:rPr>
                <w:rStyle w:val="VerbatimChar"/>
              </w:rPr>
              <w:t xml:space="preserve">gatk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deepvariant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--joint_method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genomicsdb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genomicsdb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combinegvcfs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HaplotypeCaller ploidy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--cnv_caller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gatk_gcnv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CNVkit</w:t>
            </w:r>
            <w:r>
              <w:t xml:space="preserve"> </w:t>
            </w:r>
            <w:r>
              <w:rPr>
                <w:rStyle w:val="VerbatimChar"/>
              </w:rPr>
              <w:t xml:space="preserve">hybrid</w:t>
            </w:r>
            <w:r>
              <w:t xml:space="preserve"> </w:t>
            </w:r>
            <w:r>
              <w:t xml:space="preserve">(capture) or</w:t>
            </w:r>
            <w:r>
              <w:t xml:space="preserve"> </w:t>
            </w:r>
            <w:r>
              <w:rPr>
                <w:rStyle w:val="VerbatimChar"/>
              </w:rPr>
              <w:t xml:space="preserve">amplicon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--cnv_segment_method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</w:t>
            </w:r>
            <w:r>
              <w:t xml:space="preserve"> </w:t>
            </w:r>
            <w:r>
              <w:t xml:space="preserve">(R/DNAcopy),</w:t>
            </w:r>
            <w:r>
              <w:t xml:space="preserve"> </w:t>
            </w:r>
            <w:r>
              <w:rPr>
                <w:rStyle w:val="VerbatimChar"/>
              </w:rPr>
              <w:t xml:space="preserve">haar</w:t>
            </w:r>
            <w:r>
              <w:t xml:space="preserve"> </w:t>
            </w:r>
            <w:r>
              <w:t xml:space="preserve">(pure-python),</w:t>
            </w:r>
            <w:r>
              <w:t xml:space="preserve"> </w:t>
            </w:r>
            <w:r>
              <w:rPr>
                <w:rStyle w:val="VerbatimChar"/>
              </w:rPr>
              <w:t xml:space="preserve">hmm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--min_mean_target_depth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QC gate: min mean target depth (×)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--max_dup_rate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QC gate: max duplication fraction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--min_on_target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QC gate: min on-target fraction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--max_contamination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QC gate: max VerifyBamID2 FREEMIX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--enforce_sex_check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quarantine on sex mismatch (when assessable)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--snp_filter_expr</w:t>
            </w:r>
          </w:p>
        </w:tc>
        <w:tc>
          <w:tcPr/>
          <w:p>
            <w:pPr>
              <w:pStyle w:val="Compact"/>
            </w:pPr>
            <w:r>
              <w:t xml:space="preserve">GATK WGS/WES default</w:t>
            </w:r>
          </w:p>
        </w:tc>
        <w:tc>
          <w:tcPr/>
          <w:p>
            <w:pPr>
              <w:pStyle w:val="Compact"/>
            </w:pPr>
            <w:r>
              <w:t xml:space="preserve">SNP hard-filter JEXL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--indel_filter_expr</w:t>
            </w:r>
          </w:p>
        </w:tc>
        <w:tc>
          <w:tcPr/>
          <w:p>
            <w:pPr>
              <w:pStyle w:val="Compact"/>
            </w:pPr>
            <w:r>
              <w:t xml:space="preserve">GATK WGS/WES default</w:t>
            </w:r>
          </w:p>
        </w:tc>
        <w:tc>
          <w:tcPr/>
          <w:p>
            <w:pPr>
              <w:pStyle w:val="Compact"/>
            </w:pPr>
            <w:r>
              <w:t xml:space="preserve">indel hard-filter JEXL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min fraction of target contigs a DB must span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--known_sites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BQSR known-sites (dbSNP + Mills + 1000G)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--somalier_sites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somalier sites VCF (1000G for the build)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--str_catalog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ExpansionHunter catalog (else built from STR targets)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skat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collapse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--burden_af_max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rare threshold on gnomAD-AFR 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--burden_csq</w:t>
            </w:r>
          </w:p>
        </w:tc>
        <w:tc>
          <w:tcPr/>
          <w:p>
            <w:pPr>
              <w:pStyle w:val="Compact"/>
            </w:pPr>
            <w:r>
              <w:t xml:space="preserve">LoF + missense + splice + inframe set</w:t>
            </w:r>
          </w:p>
        </w:tc>
        <w:tc>
          <w:tcPr/>
          <w:p>
            <w:pPr>
              <w:pStyle w:val="Compact"/>
            </w:pPr>
            <w:r>
              <w:t xml:space="preserve">qualifying consequences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--n_ancestry_pcs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ancestry PCs offered as covariates (PC-stability gate applies)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--vep_image</w:t>
            </w:r>
          </w:p>
        </w:tc>
        <w:tc>
          <w:tcPr/>
          <w:p>
            <w:pPr>
              <w:pStyle w:val="Compact"/>
            </w:pPr>
            <w:r>
              <w:t xml:space="preserve">ensembl-vep 110</w:t>
            </w:r>
          </w:p>
        </w:tc>
        <w:tc>
          <w:tcPr/>
          <w:p>
            <w:pPr>
              <w:pStyle w:val="Compact"/>
            </w:pPr>
            <w:r>
              <w:t xml:space="preserve">VEP container (tag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--happy_image</w:t>
            </w:r>
          </w:p>
        </w:tc>
        <w:tc>
          <w:tcPr/>
          <w:p>
            <w:pPr>
              <w:pStyle w:val="Compact"/>
            </w:pPr>
            <w:r>
              <w:t xml:space="preserve">hap.py 0.3.12</w:t>
            </w:r>
          </w:p>
        </w:tc>
        <w:tc>
          <w:tcPr/>
          <w:p>
            <w:pPr>
              <w:pStyle w:val="Compact"/>
            </w:pPr>
            <w:r>
              <w:t xml:space="preserve">hap.py container (tag below)</w:t>
            </w:r>
          </w:p>
        </w:tc>
      </w:tr>
    </w:tbl>
    <w:p>
      <w:pPr>
        <w:pStyle w:val="BodyText"/>
      </w:pPr>
      <w:r>
        <w:t xml:space="preserve">The container defaults are</w:t>
      </w:r>
      <w:r>
        <w:t xml:space="preserve"> </w:t>
      </w:r>
      <w:r>
        <w:rPr>
          <w:rStyle w:val="VerbatimChar"/>
        </w:rPr>
        <w:t xml:space="preserve">ensemblorg/ensembl-vep:release_110.0</w:t>
      </w:r>
      <w:r>
        <w:t xml:space="preserve"> </w:t>
      </w:r>
      <w:r>
        <w:t xml:space="preserve">(VEP) and</w:t>
      </w:r>
      <w:r>
        <w:t xml:space="preserve"> </w:t>
      </w:r>
      <w:r>
        <w:rPr>
          <w:rStyle w:val="VerbatimChar"/>
        </w:rPr>
        <w:t xml:space="preserve">jmcdani20/hap.py:v0.3.12</w:t>
      </w:r>
      <w:r>
        <w:t xml:space="preserve"> </w:t>
      </w:r>
      <w:r>
        <w:t xml:space="preserve">(hap.py).</w:t>
      </w:r>
    </w:p>
    <w:p>
      <w:pPr>
        <w:pStyle w:val="BlockText"/>
      </w:pPr>
      <w:r>
        <w:rPr>
          <w:b/>
          <w:bCs/>
        </w:rPr>
        <w:t xml:space="preserve">Hard-filter thresholds are the GATK WGS/WES defaults.</w:t>
      </w:r>
      <w:r>
        <w:t xml:space="preserve"> </w:t>
      </w:r>
      <w:r>
        <w:t xml:space="preserve">Revisit them on real targeted</w:t>
      </w:r>
      <w:r>
        <w:t xml:space="preserve"> </w:t>
      </w:r>
      <w:r>
        <w:t xml:space="preserve">data (panel Ti/Tv, pass rates, and QUAL/DP distributions guide tuning).</w:t>
      </w:r>
    </w:p>
    <w:bookmarkEnd w:id="29"/>
    <w:bookmarkStart w:id="39" w:name="running-step-by-step-scenarios"/>
    <w:p>
      <w:pPr>
        <w:pStyle w:val="Heading1"/>
      </w:pPr>
      <w:r>
        <w:t xml:space="preserve">8. Running — step-by-step scenarios</w:t>
      </w:r>
    </w:p>
    <w:p>
      <w:pPr>
        <w:pStyle w:val="FirstParagraph"/>
      </w:pPr>
      <w:r>
        <w:t xml:space="preserve">All multi-flag commands use backslash continuation (one flag per line). On a local machine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,conda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,docker</w:t>
      </w:r>
      <w:r>
        <w:t xml:space="preserve"> </w:t>
      </w:r>
      <w:r>
        <w:t xml:space="preserve">for the VEP/hap.py containers); on the cluster use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.</w:t>
      </w:r>
    </w:p>
    <w:bookmarkStart w:id="30" w:name="quickstart-test-profile"/>
    <w:p>
      <w:pPr>
        <w:pStyle w:val="Heading2"/>
      </w:pPr>
      <w:r>
        <w:t xml:space="preserve">8.1 Quickstart (test profile)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test/make_test_data.sh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</w:t>
      </w:r>
    </w:p>
    <w:p>
      <w:pPr>
        <w:pStyle w:val="FirstParagraph"/>
      </w:pPr>
      <w:r>
        <w:t xml:space="preserve">This builds a tiny self-contained fixture (mini-genome + synthetic reads) and runs all 16</w:t>
      </w:r>
      <w:r>
        <w:t xml:space="preserve"> </w:t>
      </w:r>
      <w:r>
        <w:t xml:space="preserve">stages in minutes. Use it to confirm your install.</w:t>
      </w:r>
    </w:p>
    <w:bookmarkEnd w:id="30"/>
    <w:bookmarkStart w:id="31" w:name="full-human-cohort-primary-scenario"/>
    <w:p>
      <w:pPr>
        <w:pStyle w:val="Heading2"/>
      </w:pPr>
      <w:r>
        <w:t xml:space="preserve">8.2 Full human cohort (primary scenario)</w:t>
      </w:r>
    </w:p>
    <w:p>
      <w:pPr>
        <w:pStyle w:val="SourceCode"/>
      </w:pPr>
      <w:r>
        <w:rPr>
          <w:rStyle w:val="CommentTok"/>
        </w:rPr>
        <w:t xml:space="preserve"># 1. write the sample sheet (§5.1) with phenotype if you want burden</w:t>
      </w:r>
      <w:r>
        <w:br/>
      </w:r>
      <w:r>
        <w:br/>
      </w:r>
      <w:r>
        <w:rPr>
          <w:rStyle w:val="CommentTok"/>
        </w:rPr>
        <w:t xml:space="preserve"># 2. confirm resources discover + pass the scope gate; fetch genome-wide</w:t>
      </w:r>
      <w:r>
        <w:br/>
      </w:r>
      <w:r>
        <w:rPr>
          <w:rStyle w:val="CommentTok"/>
        </w:rPr>
        <w:t xml:space="preserve">#    gnomAD/ClinVar if missing (§6.4); supply a genome-wide dbSNP</w:t>
      </w:r>
      <w:r>
        <w:br/>
      </w:r>
      <w:r>
        <w:br/>
      </w:r>
      <w:r>
        <w:rPr>
          <w:rStyle w:val="CommentTok"/>
        </w:rPr>
        <w:t xml:space="preserve"># 3. run (authoring machine)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  <w:r>
        <w:br/>
      </w:r>
      <w:r>
        <w:br/>
      </w:r>
      <w:r>
        <w:rPr>
          <w:rStyle w:val="CommentTok"/>
        </w:rPr>
        <w:t xml:space="preserve"># 3'. or the cluster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rStyle w:val="VerbatimChar"/>
        </w:rPr>
        <w:t xml:space="preserve">params.full.yaml</w:t>
      </w:r>
      <w:r>
        <w:t xml:space="preserve"> </w:t>
      </w:r>
      <w:r>
        <w:t xml:space="preserve">wires the reference, the CaptureForge handoff, resource directories, and</w:t>
      </w:r>
      <w:r>
        <w:t xml:space="preserve"> </w:t>
      </w:r>
      <w:r>
        <w:t xml:space="preserve">engine choices; set</w:t>
      </w:r>
      <w:r>
        <w:t xml:space="preserve"> </w:t>
      </w:r>
      <w:r>
        <w:rPr>
          <w:rStyle w:val="VerbatimChar"/>
        </w:rPr>
        <w:t xml:space="preserve">input:</w:t>
      </w:r>
      <w:r>
        <w:t xml:space="preserve"> </w:t>
      </w:r>
      <w:r>
        <w:t xml:space="preserve">to your cohort sample sheet. Inspect</w:t>
      </w:r>
      <w:r>
        <w:t xml:space="preserve"> </w:t>
      </w:r>
      <w:r>
        <w:rPr>
          <w:rStyle w:val="VerbatimChar"/>
        </w:rPr>
        <w:t xml:space="preserve">results/stage5_qc_gate/qc_scorecard.tsv</w:t>
      </w:r>
      <w:r>
        <w:t xml:space="preserve">, then the annotated callset and the dashboard.</w:t>
      </w:r>
    </w:p>
    <w:bookmarkEnd w:id="31"/>
    <w:bookmarkStart w:id="32" w:name="callset-only-no-phenotype"/>
    <w:p>
      <w:pPr>
        <w:pStyle w:val="Heading2"/>
      </w:pPr>
      <w:r>
        <w:t xml:space="preserve">8.3 Callset-only (no phenotype)</w:t>
      </w:r>
    </w:p>
    <w:p>
      <w:pPr>
        <w:pStyle w:val="FirstParagraph"/>
      </w:pPr>
      <w:r>
        <w:t xml:space="preserve">Omit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(or set</w:t>
      </w:r>
      <w:r>
        <w:t xml:space="preserve"> </w:t>
      </w:r>
      <w:r>
        <w:rPr>
          <w:rStyle w:val="VerbatimChar"/>
        </w:rPr>
        <w:t xml:space="preserve">--run_burden false</w:t>
      </w:r>
      <w:r>
        <w:t xml:space="preserve">). The pipeline runs through Stage 11</w:t>
      </w:r>
      <w:r>
        <w:t xml:space="preserve"> </w:t>
      </w:r>
      <w:r>
        <w:t xml:space="preserve">(annotated callset) + cohort QC + GIAB and</w:t>
      </w:r>
      <w:r>
        <w:t xml:space="preserve"> </w:t>
      </w:r>
      <w:r>
        <w:rPr>
          <w:b/>
          <w:bCs/>
        </w:rPr>
        <w:t xml:space="preserve">skips burden</w:t>
      </w:r>
      <w:r>
        <w:t xml:space="preserve">;</w:t>
      </w:r>
      <w:r>
        <w:t xml:space="preserve"> </w:t>
      </w:r>
      <w:r>
        <w:rPr>
          <w:rStyle w:val="VerbatimChar"/>
        </w:rPr>
        <w:t xml:space="preserve">burden_meta.json</w:t>
      </w:r>
      <w:r>
        <w:t xml:space="preserve"> </w:t>
      </w:r>
      <w:r>
        <w:t xml:space="preserve">records the</w:t>
      </w:r>
      <w:r>
        <w:t xml:space="preserve"> </w:t>
      </w:r>
      <w:r>
        <w:t xml:space="preserve">skip. Everything else (annotated VCF, per-variant TSV, CNV/STR/paralog) is produced.</w:t>
      </w:r>
    </w:p>
    <w:bookmarkEnd w:id="32"/>
    <w:bookmarkStart w:id="33" w:name="burden-association-run-with-phenotype"/>
    <w:p>
      <w:pPr>
        <w:pStyle w:val="Heading2"/>
      </w:pPr>
      <w:r>
        <w:t xml:space="preserve">8.4 Burden / association run (with phenotype)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--run_burden</w:t>
      </w:r>
      <w:r>
        <w:rPr>
          <w:rStyle w:val="NormalTok"/>
        </w:rPr>
        <w:t xml:space="preserve"> 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--burden_engine</w:t>
      </w:r>
      <w:r>
        <w:rPr>
          <w:rStyle w:val="NormalTok"/>
        </w:rPr>
        <w:t xml:space="preserve"> regenie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--burden_af_max</w:t>
      </w:r>
      <w:r>
        <w:rPr>
          <w:rStyle w:val="NormalTok"/>
        </w:rPr>
        <w:t xml:space="preserve"> 0.01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--n_ancestry_pcs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--covariates</w:t>
      </w:r>
      <w:r>
        <w:rPr>
          <w:rStyle w:val="NormalTok"/>
        </w:rPr>
        <w:t xml:space="preserve"> covariate_age,covariate_sex</w:t>
      </w:r>
    </w:p>
    <w:p>
      <w:pPr>
        <w:pStyle w:val="FirstParagraph"/>
      </w:pPr>
      <w:r>
        <w:t xml:space="preserve">Burden filters to rare+functional variants, collapses by gene and CaptureForge burden</w:t>
      </w:r>
      <w:r>
        <w:t xml:space="preserve"> </w:t>
      </w:r>
      <w:r>
        <w:t xml:space="preserve">group, and tests with covariates + ancestry PCs. The</w:t>
      </w:r>
      <w:r>
        <w:t xml:space="preserve"> </w:t>
      </w:r>
      <w:r>
        <w:rPr>
          <w:b/>
          <w:bCs/>
        </w:rPr>
        <w:t xml:space="preserve">ancestry-PC stability gate</w:t>
      </w:r>
      <w:r>
        <w:t xml:space="preserve"> </w:t>
      </w:r>
      <w:r>
        <w:t xml:space="preserve">drops</w:t>
      </w:r>
      <w:r>
        <w:t xml:space="preserve"> </w:t>
      </w:r>
      <w:r>
        <w:t xml:space="preserve">the PCs and runs unadjusted (recorded in provenance) if there are too few PCA sites for the</w:t>
      </w:r>
      <w:r>
        <w:t xml:space="preserve"> </w:t>
      </w:r>
      <w:r>
        <w:t xml:space="preserve">cohort — read</w:t>
      </w:r>
      <w:r>
        <w:t xml:space="preserve"> </w:t>
      </w:r>
      <w:r>
        <w:rPr>
          <w:rStyle w:val="VerbatimChar"/>
        </w:rPr>
        <w:t xml:space="preserve">burden_results.tsv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column states the engine) with the QQ /</w:t>
      </w:r>
      <w:r>
        <w:t xml:space="preserve"> </w:t>
      </w:r>
      <w:r>
        <w:t xml:space="preserve">Manhattan plots and the validity caveats (§11).</w:t>
      </w:r>
    </w:p>
    <w:bookmarkEnd w:id="33"/>
    <w:bookmarkStart w:id="34" w:name="a-different-panel"/>
    <w:p>
      <w:pPr>
        <w:pStyle w:val="Heading2"/>
      </w:pPr>
      <w:r>
        <w:t xml:space="preserve">8.5 A different panel</w:t>
      </w:r>
    </w:p>
    <w:p>
      <w:pPr>
        <w:pStyle w:val="FirstParagraph"/>
      </w:pPr>
      <w:r>
        <w:t xml:space="preserve">Swap the CaptureForge handoff — no code change: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/ref/GRCh38_noalt.fa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  /panelB/final_covered_targets.bed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--captureforge_dir</w:t>
      </w:r>
      <w:r>
        <w:rPr>
          <w:rStyle w:val="NormalTok"/>
        </w:rPr>
        <w:t xml:space="preserve"> /panelB/results/full_run</w:t>
      </w:r>
    </w:p>
    <w:bookmarkEnd w:id="34"/>
    <w:bookmarkStart w:id="35" w:name="a-different-organism"/>
    <w:p>
      <w:pPr>
        <w:pStyle w:val="Heading2"/>
      </w:pPr>
      <w:r>
        <w:t xml:space="preserve">8.6 A different organism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/panel/final_covered_targets.bed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--species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vep_species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--vep_cache</w:t>
      </w:r>
      <w:r>
        <w:rPr>
          <w:rStyle w:val="NormalTok"/>
        </w:rPr>
        <w:t xml:space="preserve"> /vep/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--vcfanno_toml</w:t>
      </w:r>
      <w:r>
        <w:rPr>
          <w:rStyle w:val="NormalTok"/>
        </w:rPr>
        <w:t xml:space="preserve"> /db/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.toml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--run_burden</w:t>
      </w:r>
      <w:r>
        <w:rPr>
          <w:rStyle w:val="NormalTok"/>
        </w:rPr>
        <w:t xml:space="preserve"> false</w:t>
      </w:r>
    </w:p>
    <w:p>
      <w:pPr>
        <w:pStyle w:val="FirstParagraph"/>
      </w:pPr>
      <w:r>
        <w:t xml:space="preserve">Human-only resources (gnomAD/ClinVar/BQSR) skip gracefully. Minimum inputs: sample sheet,</w:t>
      </w:r>
      <w:r>
        <w:t xml:space="preserve"> </w:t>
      </w:r>
      <w:r>
        <w:t xml:space="preserve">no-alt reference for that build, target BED, a VEP cache (or</w:t>
      </w:r>
      <w:r>
        <w:t xml:space="preserve"> </w:t>
      </w:r>
      <w:r>
        <w:rPr>
          <w:rStyle w:val="VerbatimChar"/>
        </w:rPr>
        <w:t xml:space="preserve">--vep_mode gtf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--gtf</w:t>
      </w:r>
      <w:r>
        <w:t xml:space="preserve">), and a vcfanno TOML for any frequency/clinical databases you have.</w:t>
      </w:r>
    </w:p>
    <w:bookmarkEnd w:id="35"/>
    <w:bookmarkStart w:id="36" w:name="hpc-run"/>
    <w:p>
      <w:pPr>
        <w:pStyle w:val="Heading2"/>
      </w:pPr>
      <w:r>
        <w:t xml:space="preserve">8.7 HPC run</w:t>
      </w:r>
    </w:p>
    <w:p>
      <w:pPr>
        <w:pStyle w:val="FirstParagraph"/>
      </w:pPr>
      <w:r>
        <w:t xml:space="preserve">See §4.2.</w:t>
      </w:r>
      <w:r>
        <w:t xml:space="preserve"> </w:t>
      </w:r>
      <w:r>
        <w:rPr>
          <w:rStyle w:val="VerbatimChar"/>
        </w:rPr>
        <w:t xml:space="preserve">-profile hpc_slurm,apptainer</w:t>
      </w:r>
      <w:r>
        <w:t xml:space="preserve">; SLURM is global/cluster-wide; resources are copied</w:t>
      </w:r>
      <w:r>
        <w:t xml:space="preserve"> </w:t>
      </w:r>
      <w:r>
        <w:t xml:space="preserve">to a shared path and bound into Apptainer.</w:t>
      </w:r>
    </w:p>
    <w:bookmarkEnd w:id="36"/>
    <w:bookmarkStart w:id="37" w:name="choosing-engine-alternatives"/>
    <w:p>
      <w:pPr>
        <w:pStyle w:val="Heading2"/>
      </w:pPr>
      <w:r>
        <w:t xml:space="preserve">8.8 Choosing engine alternatives</w:t>
      </w:r>
    </w:p>
    <w:p>
      <w:pPr>
        <w:pStyle w:val="SourceCode"/>
      </w:pPr>
      <w:r>
        <w:rPr>
          <w:rStyle w:val="ExtensionTok"/>
        </w:rPr>
        <w:t xml:space="preserve">--caller</w:t>
      </w:r>
      <w:r>
        <w:rPr>
          <w:rStyle w:val="NormalTok"/>
        </w:rPr>
        <w:t xml:space="preserve"> deepvariant            </w:t>
      </w:r>
      <w:r>
        <w:rPr>
          <w:rStyle w:val="CommentTok"/>
        </w:rPr>
        <w:t xml:space="preserve"># DeepVariant + GLnexus (container) instead of GATK</w:t>
      </w:r>
      <w:r>
        <w:br/>
      </w:r>
      <w:r>
        <w:rPr>
          <w:rStyle w:val="ExtensionTok"/>
        </w:rPr>
        <w:t xml:space="preserve">--cnv_caller</w:t>
      </w:r>
      <w:r>
        <w:rPr>
          <w:rStyle w:val="NormalTok"/>
        </w:rPr>
        <w:t xml:space="preserve"> gatk_gcnv          </w:t>
      </w:r>
      <w:r>
        <w:rPr>
          <w:rStyle w:val="CommentTok"/>
        </w:rPr>
        <w:t xml:space="preserve"># GATK gCNV instead of CNVkit</w:t>
      </w:r>
      <w:r>
        <w:br/>
      </w:r>
      <w:r>
        <w:rPr>
          <w:rStyle w:val="ExtensionTok"/>
        </w:rPr>
        <w:t xml:space="preserve">--burden_engine</w:t>
      </w:r>
      <w:r>
        <w:rPr>
          <w:rStyle w:val="NormalTok"/>
        </w:rPr>
        <w:t xml:space="preserve"> skat            </w:t>
      </w:r>
      <w:r>
        <w:rPr>
          <w:rStyle w:val="CommentTok"/>
        </w:rPr>
        <w:t xml:space="preserve"># SKAT-O / STAAR (R) instead of regenie</w:t>
      </w:r>
      <w:r>
        <w:br/>
      </w:r>
      <w:r>
        <w:rPr>
          <w:rStyle w:val="ExtensionTok"/>
        </w:rPr>
        <w:t xml:space="preserve">--burden_engine</w:t>
      </w:r>
      <w:r>
        <w:rPr>
          <w:rStyle w:val="NormalTok"/>
        </w:rPr>
        <w:t xml:space="preserve"> collapse        </w:t>
      </w:r>
      <w:r>
        <w:rPr>
          <w:rStyle w:val="CommentTok"/>
        </w:rPr>
        <w:t xml:space="preserve"># chi-square collapsing (small-N / dependency-free)</w:t>
      </w:r>
    </w:p>
    <w:p>
      <w:pPr>
        <w:pStyle w:val="BlockText"/>
      </w:pPr>
      <w:r>
        <w:rPr>
          <w:b/>
          <w:bCs/>
        </w:rPr>
        <w:t xml:space="preserve">Validate before production.</w:t>
      </w:r>
      <w:r>
        <w:t xml:space="preserve"> </w:t>
      </w:r>
      <w:r>
        <w:rPr>
          <w:rStyle w:val="VerbatimChar"/>
        </w:rPr>
        <w:t xml:space="preserve">DeepVariant+GLnexus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SKAT-O/STAAR</w:t>
      </w:r>
      <w:r>
        <w:t xml:space="preserve"> </w:t>
      </w:r>
      <w:r>
        <w:t xml:space="preserve">are</w:t>
      </w:r>
      <w:r>
        <w:t xml:space="preserve"> </w:t>
      </w:r>
      <w:r>
        <w:t xml:space="preserve">wired but have</w:t>
      </w:r>
      <w:r>
        <w:t xml:space="preserve"> </w:t>
      </w:r>
      <w:r>
        <w:rPr>
          <w:b/>
          <w:bCs/>
        </w:rPr>
        <w:t xml:space="preserve">not yet been executed end-to-end</w:t>
      </w:r>
      <w:r>
        <w:t xml:space="preserve"> </w:t>
      </w:r>
      <w:r>
        <w:t xml:space="preserve">(the synthetic test cohort is too</w:t>
      </w:r>
      <w:r>
        <w:t xml:space="preserve"> </w:t>
      </w:r>
      <w:r>
        <w:t xml:space="preserve">small). Exercise them on a real/realistic cohort before relying on them. The tested</w:t>
      </w:r>
      <w:r>
        <w:t xml:space="preserve"> </w:t>
      </w:r>
      <w:r>
        <w:t xml:space="preserve">engines are GATK/GenomicsDB (calling) and</w:t>
      </w:r>
      <w:r>
        <w:t xml:space="preserve"> </w:t>
      </w:r>
      <w:r>
        <w:rPr>
          <w:rStyle w:val="VerbatimChar"/>
        </w:rPr>
        <w:t xml:space="preserve">collapse</w:t>
      </w:r>
      <w:r>
        <w:t xml:space="preserve"> </w:t>
      </w:r>
      <w:r>
        <w:t xml:space="preserve">(burden).</w:t>
      </w:r>
    </w:p>
    <w:bookmarkEnd w:id="37"/>
    <w:bookmarkStart w:id="38" w:name="giab-validation-run"/>
    <w:p>
      <w:pPr>
        <w:pStyle w:val="Heading2"/>
      </w:pPr>
      <w:r>
        <w:t xml:space="preserve">8.9 GIAB validation run</w:t>
      </w:r>
    </w:p>
    <w:p>
      <w:pPr>
        <w:pStyle w:val="FirstParagraph"/>
      </w:pPr>
      <w:r>
        <w:t xml:space="preserve">Add a GIAB control to the sample sheet and supply truth: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--giab_control_id</w:t>
      </w:r>
      <w:r>
        <w:rPr>
          <w:rStyle w:val="NormalTok"/>
        </w:rPr>
        <w:t xml:space="preserve"> HG002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--giab_truth_vcf</w:t>
      </w:r>
      <w:r>
        <w:rPr>
          <w:rStyle w:val="NormalTok"/>
        </w:rPr>
        <w:t xml:space="preserve"> /giab/HG002_v4.2.1_benchmark.vcf.gz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--giab_truth_bed</w:t>
      </w:r>
      <w:r>
        <w:rPr>
          <w:rStyle w:val="NormalTok"/>
        </w:rPr>
        <w:t xml:space="preserve"> /giab/HG002_v4.2.1_benchmark.bed</w:t>
      </w:r>
    </w:p>
    <w:p>
      <w:pPr>
        <w:pStyle w:val="FirstParagraph"/>
      </w:pPr>
      <w:r>
        <w:t xml:space="preserve">hap.py scores precision/recall/F1</w:t>
      </w:r>
      <w:r>
        <w:t xml:space="preserve"> </w:t>
      </w:r>
      <w:r>
        <w:rPr>
          <w:b/>
          <w:bCs/>
        </w:rPr>
        <w:t xml:space="preserve">restricted to the panel BED</w:t>
      </w:r>
      <w:r>
        <w:t xml:space="preserve"> </w:t>
      </w:r>
      <w:r>
        <w:t xml:space="preserve">(on-target only), so</w:t>
      </w:r>
      <w:r>
        <w:t xml:space="preserve"> </w:t>
      </w:r>
      <w:r>
        <w:t xml:space="preserve">off-target truth cannot distort the panel’s measured sensitivity.</w:t>
      </w:r>
    </w:p>
    <w:bookmarkEnd w:id="38"/>
    <w:bookmarkEnd w:id="39"/>
    <w:bookmarkStart w:id="73" w:name="quality-control"/>
    <w:p>
      <w:pPr>
        <w:pStyle w:val="Heading1"/>
      </w:pPr>
      <w:r>
        <w:t xml:space="preserve">9. Quality control</w:t>
      </w:r>
    </w:p>
    <w:p>
      <w:pPr>
        <w:pStyle w:val="FirstParagraph"/>
      </w:pPr>
      <w:r>
        <w:t xml:space="preserve">CallForge’s QC philosophy:</w:t>
      </w:r>
      <w:r>
        <w:t xml:space="preserve"> </w:t>
      </w:r>
      <w:r>
        <w:rPr>
          <w:b/>
          <w:bCs/>
        </w:rPr>
        <w:t xml:space="preserve">a plot at every applicable stage</w:t>
      </w:r>
      <w:r>
        <w:t xml:space="preserve"> </w:t>
      </w:r>
      <w:r>
        <w:t xml:space="preserve">(each with a one-line</w:t>
      </w:r>
      <w:r>
        <w:t xml:space="preserve"> </w:t>
      </w:r>
      <w:r>
        <w:t xml:space="preserve">caption), gates that</w:t>
      </w:r>
      <w:r>
        <w:t xml:space="preserve"> </w:t>
      </w:r>
      <w:r>
        <w:rPr>
          <w:b/>
          <w:bCs/>
        </w:rPr>
        <w:t xml:space="preserve">flag and quarantine</w:t>
      </w:r>
      <w:r>
        <w:t xml:space="preserve"> </w:t>
      </w:r>
      <w:r>
        <w:t xml:space="preserve">rather than silently drop, and a single cohort</w:t>
      </w:r>
      <w:r>
        <w:t xml:space="preserve"> </w:t>
      </w:r>
      <w:r>
        <w:t xml:space="preserve">QC dashboard plus MultiQC. The figures below are from the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run — they prove</w:t>
      </w:r>
      <w:r>
        <w:t xml:space="preserve"> </w:t>
      </w:r>
      <w:r>
        <w:t xml:space="preserve">the machinery; real numbers come from a real cohort.</w:t>
      </w:r>
    </w:p>
    <w:bookmarkStart w:id="58" w:name="read-alignment-qc-stages-14"/>
    <w:p>
      <w:pPr>
        <w:pStyle w:val="Heading2"/>
      </w:pPr>
      <w:r>
        <w:t xml:space="preserve">9.1 Read &amp; alignment QC (Stages 1–4)</w:t>
      </w:r>
    </w:p>
    <w:p>
      <w:pPr>
        <w:pStyle w:val="CaptionedFigure"/>
      </w:pPr>
      <w:r>
        <w:drawing>
          <wp:inline>
            <wp:extent cx="3200400" cy="2936019"/>
            <wp:effectExtent b="0" l="0" r="0" t="0"/>
            <wp:docPr descr="Percent of reads mapped and properly paired per sample (alignment success)." title="" id="41" name="Picture"/>
            <a:graphic>
              <a:graphicData uri="http://schemas.openxmlformats.org/drawingml/2006/picture">
                <pic:pic>
                  <pic:nvPicPr>
                    <pic:cNvPr descr="figures/mapping_rat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3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Percent of reads mapped and properly paired per sample (alignment success).</w:t>
      </w:r>
    </w:p>
    <w:p>
      <w:pPr>
        <w:pStyle w:val="CaptionedFigure"/>
      </w:pPr>
      <w:r>
        <w:drawing>
          <wp:inline>
            <wp:extent cx="2933700" cy="2743031"/>
            <wp:effectExtent b="0" l="0" r="0" t="0"/>
            <wp:docPr descr="Percent of bases on the capture target per sample (capture specificity)." title="" id="44" name="Picture"/>
            <a:graphic>
              <a:graphicData uri="http://schemas.openxmlformats.org/drawingml/2006/picture">
                <pic:pic>
                  <pic:nvPicPr>
                    <pic:cNvPr descr="figures/on_target_enrichment_ontarge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43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Percent of bases on the capture target per sample (capture specificity).</w:t>
      </w:r>
    </w:p>
    <w:p>
      <w:pPr>
        <w:pStyle w:val="CaptionedFigure"/>
      </w:pPr>
      <w:r>
        <w:drawing>
          <wp:inline>
            <wp:extent cx="2933700" cy="2718934"/>
            <wp:effectExtent b="0" l="0" r="0" t="0"/>
            <wp:docPr descr="Fold-enrichment of on-target vs genome-average coverage (capture performance)." title="" id="47" name="Picture"/>
            <a:graphic>
              <a:graphicData uri="http://schemas.openxmlformats.org/drawingml/2006/picture">
                <pic:pic>
                  <pic:nvPicPr>
                    <pic:cNvPr descr="figures/on_target_enrichment_fol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18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Fold-enrichment of on-target vs genome-average coverage (capture performance).</w:t>
      </w:r>
    </w:p>
    <w:p>
      <w:pPr>
        <w:pStyle w:val="CaptionedFigure"/>
      </w:pPr>
      <w:r>
        <w:drawing>
          <wp:inline>
            <wp:extent cx="2933700" cy="2604533"/>
            <wp:effectExtent b="0" l="0" r="0" t="0"/>
            <wp:docPr descr="FOLD_80_BASE_PENALTY: fold extra sequencing for 80% of targets to reach the mean (1.0 = perfectly uniform)." title="" id="50" name="Picture"/>
            <a:graphic>
              <a:graphicData uri="http://schemas.openxmlformats.org/drawingml/2006/picture">
                <pic:pic>
                  <pic:nvPicPr>
                    <pic:cNvPr descr="figures/coverage_uniformit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0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FOLD_80_BASE_PENALTY: fold extra sequencing for 80% of targets to reach the mean (1.0 = perfectly uniform).</w:t>
      </w:r>
    </w:p>
    <w:p>
      <w:pPr>
        <w:pStyle w:val="CaptionedFigure"/>
      </w:pPr>
      <w:r>
        <w:drawing>
          <wp:inline>
            <wp:extent cx="3200400" cy="2859616"/>
            <wp:effectExtent b="0" l="0" r="0" t="0"/>
            <wp:docPr descr="Mean coverage depth per target gene per sample; spot under-covered genes (e.g. CR1/CFH)." title="" id="53" name="Picture"/>
            <a:graphic>
              <a:graphicData uri="http://schemas.openxmlformats.org/drawingml/2006/picture">
                <pic:pic>
                  <pic:nvPicPr>
                    <pic:cNvPr descr="figures/per_gene_depth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59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coverage depth per target gene per sample; spot under-covered genes (e.g. CR1/CFH).</w:t>
      </w:r>
    </w:p>
    <w:p>
      <w:pPr>
        <w:pStyle w:val="CaptionedFigure"/>
      </w:pPr>
      <w:r>
        <w:drawing>
          <wp:inline>
            <wp:extent cx="2933700" cy="2201172"/>
            <wp:effectExtent b="0" l="0" r="0" t="0"/>
            <wp:docPr descr="Fraction of target bases covered at &gt;= each depth, per sample (sensitivity for calling)." title="" id="56" name="Picture"/>
            <a:graphic>
              <a:graphicData uri="http://schemas.openxmlformats.org/drawingml/2006/picture">
                <pic:pic>
                  <pic:nvPicPr>
                    <pic:cNvPr descr="figures/coverage_cumulativ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target bases covered at &gt;= each depth, per sample (sensitivity for calling).</w:t>
      </w:r>
    </w:p>
    <w:p>
      <w:pPr>
        <w:pStyle w:val="BodyText"/>
      </w:pPr>
      <w:r>
        <w:rPr>
          <w:rStyle w:val="VerbatimChar"/>
        </w:rPr>
        <w:t xml:space="preserve">CollectHsMetrics</w:t>
      </w:r>
      <w:r>
        <w:t xml:space="preserve"> </w:t>
      </w:r>
      <w:r>
        <w:t xml:space="preserve">(vs the target BED) gives on-target %, fold-enrichment, % target ≥10/20/30×,</w:t>
      </w:r>
      <w:r>
        <w:t xml:space="preserve"> </w:t>
      </w:r>
      <w:r>
        <w:t xml:space="preserve">and uniformity (FOLD_80); mosdepth gives per-target and</w:t>
      </w:r>
      <w:r>
        <w:t xml:space="preserve"> </w:t>
      </w:r>
      <w:r>
        <w:rPr>
          <w:b/>
          <w:bCs/>
        </w:rPr>
        <w:t xml:space="preserve">per-gene depth</w:t>
      </w:r>
      <w:r>
        <w:t xml:space="preserve"> </w:t>
      </w:r>
      <w:r>
        <w:t xml:space="preserve">in the CaptureForge</w:t>
      </w:r>
      <w:r>
        <w:t xml:space="preserve"> </w:t>
      </w:r>
      <w:r>
        <w:t xml:space="preserve">track style. Duplicates are marked by coordinate (correct for capture). BQSR runs when</w:t>
      </w:r>
      <w:r>
        <w:t xml:space="preserve"> </w:t>
      </w:r>
      <w:r>
        <w:t xml:space="preserve">known-sites are available and</w:t>
      </w:r>
      <w:r>
        <w:t xml:space="preserve"> </w:t>
      </w:r>
      <w:r>
        <w:rPr>
          <w:b/>
          <w:bCs/>
        </w:rPr>
        <w:t xml:space="preserve">skips gracefully</w:t>
      </w:r>
      <w:r>
        <w:t xml:space="preserve"> </w:t>
      </w:r>
      <w:r>
        <w:t xml:space="preserve">otherwise.</w:t>
      </w:r>
    </w:p>
    <w:bookmarkEnd w:id="58"/>
    <w:bookmarkStart w:id="71" w:name="per-sample-qc-gate-quarantine-stage-5"/>
    <w:p>
      <w:pPr>
        <w:pStyle w:val="Heading2"/>
      </w:pPr>
      <w:r>
        <w:t xml:space="preserve">9.2 Per-sample QC gate &amp; quarantine (Stage 5)</w:t>
      </w:r>
    </w:p>
    <w:p>
      <w:pPr>
        <w:pStyle w:val="CaptionedFigure"/>
      </w:pPr>
      <w:r>
        <w:drawing>
          <wp:inline>
            <wp:extent cx="3733800" cy="2391679"/>
            <wp:effectExtent b="0" l="0" r="0" t="0"/>
            <wp:docPr descr="Per-sample QC checks (green=pass, red=fail, grey=not assessed); sample label shows the gate decision. Quarantined samples are kept and reported, not dropped." title="" id="60" name="Picture"/>
            <a:graphic>
              <a:graphicData uri="http://schemas.openxmlformats.org/drawingml/2006/picture">
                <pic:pic>
                  <pic:nvPicPr>
                    <pic:cNvPr descr="figures/qc_scorec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91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QC checks (green=pass, red=fail, grey=not assessed); sample label shows the gate decision. Quarantined samples are kept and reported, not dropped.</w:t>
      </w:r>
    </w:p>
    <w:p>
      <w:pPr>
        <w:pStyle w:val="BodyText"/>
      </w:pPr>
      <w:r>
        <w:rPr>
          <w:rStyle w:val="VerbatimChar"/>
        </w:rPr>
        <w:t xml:space="preserve">qc_gate.py</w:t>
      </w:r>
      <w:r>
        <w:t xml:space="preserve"> </w:t>
      </w:r>
      <w:r>
        <w:t xml:space="preserve">aggregates the per-sample metrics and applies thresholds (depth, dup,</w:t>
      </w:r>
      <w:r>
        <w:t xml:space="preserve"> </w:t>
      </w:r>
      <w:r>
        <w:t xml:space="preserve">on-target, contamination, sex). Failing samples are</w:t>
      </w:r>
      <w:r>
        <w:t xml:space="preserve"> </w:t>
      </w:r>
      <w:r>
        <w:rPr>
          <w:b/>
          <w:bCs/>
        </w:rPr>
        <w:t xml:space="preserve">flagged and QUARANTINED</w:t>
      </w:r>
      <w:r>
        <w:t xml:space="preserve"> </w:t>
      </w:r>
      <w:r>
        <w:t xml:space="preserve">—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qc_quarantine.txt</w:t>
      </w:r>
      <w:r>
        <w:t xml:space="preserve"> </w:t>
      </w:r>
      <w:r>
        <w:t xml:space="preserve">with reasons,</w:t>
      </w:r>
      <w:r>
        <w:t xml:space="preserve"> </w:t>
      </w:r>
      <w:r>
        <w:rPr>
          <w:b/>
          <w:bCs/>
        </w:rPr>
        <w:t xml:space="preserve">excluded from joint calling and from burden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  <w:r>
        <w:t xml:space="preserve">, but never silently dropped. Metrics that cannot be assessed (contamination</w:t>
      </w:r>
      <w:r>
        <w:t xml:space="preserve"> </w:t>
      </w:r>
      <w:r>
        <w:t xml:space="preserve">without a VerifyBamID2 SVD panel; sex on an autosomal panel with no X/Y targets) are</w:t>
      </w:r>
      <w:r>
        <w:t xml:space="preserve"> </w:t>
      </w:r>
      <w:r>
        <w:t xml:space="preserve">recorded</w:t>
      </w:r>
      <w:r>
        <w:t xml:space="preserve"> </w:t>
      </w:r>
      <w:r>
        <w:rPr>
          <w:b/>
          <w:bCs/>
        </w:rPr>
        <w:t xml:space="preserve">NA</w:t>
      </w:r>
      <w:r>
        <w:t xml:space="preserve">, not failed.</w:t>
      </w:r>
    </w:p>
    <w:p>
      <w:pPr>
        <w:pStyle w:val="CaptionedFigure"/>
      </w:pPr>
      <w:r>
        <w:drawing>
          <wp:inline>
            <wp:extent cx="2933700" cy="2225690"/>
            <wp:effectExtent b="0" l="0" r="0" t="0"/>
            <wp:docPr descr="Distribution of per-sample mean target depth across the cohort vs the gate threshold." title="" id="63" name="Picture"/>
            <a:graphic>
              <a:graphicData uri="http://schemas.openxmlformats.org/drawingml/2006/picture">
                <pic:pic>
                  <pic:nvPicPr>
                    <pic:cNvPr descr="figures/cohort_coverage_dist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25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per-sample mean target depth across the cohort vs the gate threshold.</w:t>
      </w:r>
    </w:p>
    <w:p>
      <w:pPr>
        <w:pStyle w:val="CaptionedFigure"/>
      </w:pPr>
      <w:r>
        <w:drawing>
          <wp:inline>
            <wp:extent cx="2933700" cy="2522892"/>
            <wp:effectExtent b="0" l="0" r="0" t="0"/>
            <wp:docPr descr="VerifyBamID2 FREEMIX contamination estimate per sample vs threshold (grey note if no SVD panel available)." title="" id="66" name="Picture"/>
            <a:graphic>
              <a:graphicData uri="http://schemas.openxmlformats.org/drawingml/2006/picture">
                <pic:pic>
                  <pic:nvPicPr>
                    <pic:cNvPr descr="figures/contaminat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22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VerifyBamID2 FREEMIX contamination estimate per sample vs threshold (grey note if no SVD panel available).</w:t>
      </w:r>
    </w:p>
    <w:p>
      <w:pPr>
        <w:pStyle w:val="CaptionedFigure"/>
      </w:pPr>
      <w:r>
        <w:drawing>
          <wp:inline>
            <wp:extent cx="2933700" cy="2281766"/>
            <wp:effectExtent b="0" l="0" r="0" t="0"/>
            <wp:docPr descr="Declared vs inferred sex per sample (grey note if the panel has no X/Y targets to infer from)." title="" id="69" name="Picture"/>
            <a:graphic>
              <a:graphicData uri="http://schemas.openxmlformats.org/drawingml/2006/picture">
                <pic:pic>
                  <pic:nvPicPr>
                    <pic:cNvPr descr="figures/sex_check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81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Declared vs inferred sex per sample (grey note if the panel has no X/Y targets to infer from).</w:t>
      </w:r>
    </w:p>
    <w:bookmarkEnd w:id="71"/>
    <w:bookmarkStart w:id="72" w:name="cohort-qc-dashboard-multiqc-stage-15"/>
    <w:p>
      <w:pPr>
        <w:pStyle w:val="Heading2"/>
      </w:pPr>
      <w:r>
        <w:t xml:space="preserve">9.3 Cohort QC dashboard &amp; MultiQC (Stage 15)</w:t>
      </w:r>
    </w:p>
    <w:p>
      <w:pPr>
        <w:pStyle w:val="FirstParagraph"/>
      </w:pPr>
      <w:r>
        <w:rPr>
          <w:rStyle w:val="VerbatimChar"/>
        </w:rPr>
        <w:t xml:space="preserve">make_dashboard.py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stage15_report/cohort_qc_dashboard.html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self-contained</w:t>
      </w:r>
      <w:r>
        <w:t xml:space="preserve"> </w:t>
      </w:r>
      <w:r>
        <w:t xml:space="preserve">HTML embedding every captioned figure (base64) grouped by stage, plus the headline tables</w:t>
      </w:r>
      <w:r>
        <w:t xml:space="preserve"> </w:t>
      </w:r>
      <w:r>
        <w:t xml:space="preserve">(resource manifest, QC scorecard, annotation landing, GIAB, burden).</w:t>
      </w:r>
      <w:r>
        <w:t xml:space="preserve"> </w:t>
      </w:r>
      <w:r>
        <w:rPr>
          <w:rStyle w:val="VerbatimChar"/>
        </w:rPr>
        <w:t xml:space="preserve">multiqc_report.html</w:t>
      </w:r>
      <w:r>
        <w:t xml:space="preserve"> </w:t>
      </w:r>
      <w:r>
        <w:t xml:space="preserve">aggregates the per-tool outputs (FastQC, fastp, Picard, samtools, mosdepth).</w:t>
      </w:r>
    </w:p>
    <w:bookmarkEnd w:id="72"/>
    <w:bookmarkEnd w:id="73"/>
    <w:bookmarkStart w:id="149" w:name="stage-details-their-plots"/>
    <w:p>
      <w:pPr>
        <w:pStyle w:val="Heading1"/>
      </w:pPr>
      <w:r>
        <w:t xml:space="preserve">10. Stage details &amp; their plots</w:t>
      </w:r>
    </w:p>
    <w:bookmarkStart w:id="92" w:name="snvindel-calling-filtering-stages-67"/>
    <w:p>
      <w:pPr>
        <w:pStyle w:val="Heading2"/>
      </w:pPr>
      <w:r>
        <w:t xml:space="preserve">10.1 SNV/indel calling &amp; filtering (Stages 6–7)</w:t>
      </w:r>
    </w:p>
    <w:p>
      <w:pPr>
        <w:pStyle w:val="CaptionedFigure"/>
      </w:pPr>
      <w:r>
        <w:drawing>
          <wp:inline>
            <wp:extent cx="2933700" cy="2596493"/>
            <wp:effectExtent b="0" l="0" r="0" t="0"/>
            <wp:docPr descr="Per-sample count of non-reference genotypes in the joint callset (calling yield)." title="" id="75" name="Picture"/>
            <a:graphic>
              <a:graphicData uri="http://schemas.openxmlformats.org/drawingml/2006/picture">
                <pic:pic>
                  <pic:nvPicPr>
                    <pic:cNvPr descr="figures/variants_per_sampl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96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count of non-reference genotypes in the joint callset (calling yield).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Transition/transversion ratio per sample; whole-exome ~3.0, smaller panels vary (calling quality)." title="" id="78" name="Picture"/>
            <a:graphic>
              <a:graphicData uri="http://schemas.openxmlformats.org/drawingml/2006/picture">
                <pic:pic>
                  <pic:nvPicPr>
                    <pic:cNvPr descr="figures/titv_per_sampl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Transition/transversion ratio per sample; whole-exome ~3.0, smaller panels vary (calling quality).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Heterozygous-to-homozygous-alt ratio per sample; extreme values flag sample-quality issues." title="" id="81" name="Picture"/>
            <a:graphic>
              <a:graphicData uri="http://schemas.openxmlformats.org/drawingml/2006/picture">
                <pic:pic>
                  <pic:nvPicPr>
                    <pic:cNvPr descr="figures/het_hom_per_s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Heterozygous-to-homozygous-alt ratio per sample; extreme values flag sample-quality issues.</w:t>
      </w:r>
    </w:p>
    <w:p>
      <w:pPr>
        <w:pStyle w:val="CaptionedFigure"/>
      </w:pPr>
      <w:r>
        <w:drawing>
          <wp:inline>
            <wp:extent cx="2667000" cy="2245491"/>
            <wp:effectExtent b="0" l="0" r="0" t="0"/>
            <wp:docPr descr="Variant counts before and after GATK hard-filtering, by type (sites retained)." title="" id="84" name="Picture"/>
            <a:graphic>
              <a:graphicData uri="http://schemas.openxmlformats.org/drawingml/2006/picture">
                <pic:pic>
                  <pic:nvPicPr>
                    <pic:cNvPr descr="figures/filter_before_afte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45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 counts before and after GATK hard-filtering, by type (sites retained).</w:t>
      </w:r>
    </w:p>
    <w:p>
      <w:pPr>
        <w:pStyle w:val="CaptionedFigure"/>
      </w:pPr>
      <w:r>
        <w:drawing>
          <wp:inline>
            <wp:extent cx="2667000" cy="2265017"/>
            <wp:effectExtent b="0" l="0" r="0" t="0"/>
            <wp:docPr descr="Fraction of called variants passing the GATK hard-filters, by type and overall." title="" id="87" name="Picture"/>
            <a:graphic>
              <a:graphicData uri="http://schemas.openxmlformats.org/drawingml/2006/picture">
                <pic:pic>
                  <pic:nvPicPr>
                    <pic:cNvPr descr="figures/filter_pass_rat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6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called variants passing the GATK hard-filters, by type and overall.</w:t>
      </w:r>
    </w:p>
    <w:p>
      <w:pPr>
        <w:pStyle w:val="CaptionedFigure"/>
      </w:pPr>
      <w:r>
        <w:drawing>
          <wp:inline>
            <wp:extent cx="2933700" cy="2522892"/>
            <wp:effectExtent b="0" l="0" r="0" t="0"/>
            <wp:docPr descr="Number of sites rejected by each hard-filter criterion (which filter removed what)." title="" id="90" name="Picture"/>
            <a:graphic>
              <a:graphicData uri="http://schemas.openxmlformats.org/drawingml/2006/picture">
                <pic:pic>
                  <pic:nvPicPr>
                    <pic:cNvPr descr="figures/filter_reason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22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Number of sites rejected by each hard-filter criterion (which filter removed what).</w:t>
      </w:r>
    </w:p>
    <w:bookmarkEnd w:id="92"/>
    <w:bookmarkStart w:id="105" w:name="cnv-str-paralog-stages-810"/>
    <w:p>
      <w:pPr>
        <w:pStyle w:val="Heading2"/>
      </w:pPr>
      <w:r>
        <w:t xml:space="preserve">10.2 CNV, STR, paralog (Stages 8–10)</w:t>
      </w:r>
    </w:p>
    <w:p>
      <w:pPr>
        <w:pStyle w:val="CaptionedFigure"/>
      </w:pPr>
      <w:r>
        <w:drawing>
          <wp:inline>
            <wp:extent cx="2933700" cy="3060532"/>
            <wp:effectExtent b="0" l="0" r="0" t="0"/>
            <wp:docPr descr="CNV-target genes coloured by CaptureForge callability: green=depth-callable, red=breakpoint-blind (low-confidence, e.g. CR1/CFH)." title="" id="94" name="Picture"/>
            <a:graphic>
              <a:graphicData uri="http://schemas.openxmlformats.org/drawingml/2006/picture">
                <pic:pic>
                  <pic:nvPicPr>
                    <pic:cNvPr descr="figures/cnv_callability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060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CNV-target genes coloured by CaptureForge callability: green=depth-callable, red=breakpoint-blind (low-confidence, e.g. CR1/CFH).</w:t>
      </w:r>
    </w:p>
    <w:p>
      <w:pPr>
        <w:pStyle w:val="CaptionedFigure"/>
      </w:pPr>
      <w:r>
        <w:drawing>
          <wp:inline>
            <wp:extent cx="3200400" cy="2095988"/>
            <wp:effectExtent b="0" l="0" r="0" t="0"/>
            <wp:docPr descr="Per-target log2 copy ratio per sample; deviations from 0 indicate copy-number change." title="" id="97" name="Picture"/>
            <a:graphic>
              <a:graphicData uri="http://schemas.openxmlformats.org/drawingml/2006/picture">
                <pic:pic>
                  <pic:nvPicPr>
                    <pic:cNvPr descr="figures/cnv_copyratio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95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Per-target log2 copy ratio per sample; deviations from 0 indicate copy-number change.</w:t>
      </w:r>
    </w:p>
    <w:p>
      <w:pPr>
        <w:pStyle w:val="BodyText"/>
      </w:pPr>
      <w:r>
        <w:t xml:space="preserve">CNV calls (</w:t>
      </w:r>
      <w:r>
        <w:rPr>
          <w:rStyle w:val="VerbatimChar"/>
        </w:rPr>
        <w:t xml:space="preserve">cnv_calls.tsv</w:t>
      </w:r>
      <w:r>
        <w:t xml:space="preserve">) carry a</w:t>
      </w:r>
      <w:r>
        <w:t xml:space="preserve"> </w:t>
      </w:r>
      <w:r>
        <w:rPr>
          <w:rStyle w:val="VerbatimChar"/>
        </w:rPr>
        <w:t xml:space="preserve">cnv_callable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column from CaptureForge</w:t>
      </w:r>
      <w:r>
        <w:t xml:space="preserve"> </w:t>
      </w:r>
      <w:r>
        <w:t xml:space="preserve">metadata — a call at a breakpoint-blind gene (CR1/CFH) is labelled</w:t>
      </w:r>
      <w:r>
        <w:t xml:space="preserve"> </w:t>
      </w:r>
      <w:r>
        <w:rPr>
          <w:rStyle w:val="VerbatimChar"/>
        </w:rPr>
        <w:t xml:space="preserve">breakpoint_blind_low_confidence</w:t>
      </w:r>
      <w:r>
        <w:t xml:space="preserve">, not silently trusted.</w:t>
      </w:r>
    </w:p>
    <w:p>
      <w:pPr>
        <w:pStyle w:val="CaptionedFigure"/>
      </w:pPr>
      <w:r>
        <w:drawing>
          <wp:inline>
            <wp:extent cx="2933700" cy="2326465"/>
            <wp:effectExtent b="0" l="0" r="0" t="0"/>
            <wp:docPr descr="Distribution of genotyped repeat-unit counts (allele sizes) per STR locus." title="" id="100" name="Picture"/>
            <a:graphic>
              <a:graphicData uri="http://schemas.openxmlformats.org/drawingml/2006/picture">
                <pic:pic>
                  <pic:nvPicPr>
                    <pic:cNvPr descr="figures/str_allele_size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26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genotyped repeat-unit counts (allele sizes) per STR locus.</w:t>
      </w:r>
    </w:p>
    <w:p>
      <w:pPr>
        <w:pStyle w:val="CaptionedFigure"/>
      </w:pPr>
      <w:r>
        <w:drawing>
          <wp:inline>
            <wp:extent cx="2933700" cy="2693162"/>
            <wp:effectExtent b="0" l="0" r="0" t="0"/>
            <wp:docPr descr="Variants in each paralog-ambiguous gene region, split into confident (uniquely callable, high MQ) vs flagged low-confidence (multimapping-ambiguous, low MQ)." title="" id="103" name="Picture"/>
            <a:graphic>
              <a:graphicData uri="http://schemas.openxmlformats.org/drawingml/2006/picture">
                <pic:pic>
                  <pic:nvPicPr>
                    <pic:cNvPr descr="figures/paralog_confidence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93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Variants in each paralog-ambiguous gene region, split into confident (uniquely callable, high MQ) vs flagged low-confidence (multimapping-ambiguous, low MQ).</w:t>
      </w:r>
    </w:p>
    <w:p>
      <w:pPr>
        <w:pStyle w:val="BodyText"/>
      </w:pPr>
      <w:r>
        <w:t xml:space="preserve">Paralog-aware flagging writes</w:t>
      </w:r>
      <w:r>
        <w:t xml:space="preserve"> </w:t>
      </w:r>
      <w:r>
        <w:rPr>
          <w:rStyle w:val="VerbatimChar"/>
        </w:rPr>
        <w:t xml:space="preserve">INFO/PARALOG_GENE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INFO/PARALOG_CONF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paralog.annotated.vcf.gz</w:t>
      </w:r>
      <w:r>
        <w:t xml:space="preserve"> </w:t>
      </w:r>
      <w:r>
        <w:t xml:space="preserve">so each variant in a paralog region carries its confidence.</w:t>
      </w:r>
    </w:p>
    <w:bookmarkEnd w:id="105"/>
    <w:bookmarkStart w:id="121" w:name="annotation-stage-11"/>
    <w:p>
      <w:pPr>
        <w:pStyle w:val="Heading2"/>
      </w:pPr>
      <w:r>
        <w:t xml:space="preserve">10.3 Annotation (Stage 11)</w:t>
      </w:r>
    </w:p>
    <w:p>
      <w:pPr>
        <w:pStyle w:val="CaptionedFigure"/>
      </w:pPr>
      <w:r>
        <w:drawing>
          <wp:inline>
            <wp:extent cx="2933700" cy="2358227"/>
            <wp:effectExtent b="0" l="0" r="0" t="0"/>
            <wp:docPr descr="Fraction of callset variants that actually received each annotation (proof the annotation landed, not silently missed on a contig-name mismatch)." title="" id="107" name="Picture"/>
            <a:graphic>
              <a:graphicData uri="http://schemas.openxmlformats.org/drawingml/2006/picture">
                <pic:pic>
                  <pic:nvPicPr>
                    <pic:cNvPr descr="figures/annotation_landing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5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callset variants that actually received each annotation (proof the annotation landed, not silently missed on a contig-name mismatch).</w:t>
      </w:r>
    </w:p>
    <w:p>
      <w:pPr>
        <w:pStyle w:val="CaptionedFigure"/>
      </w:pPr>
      <w:r>
        <w:drawing>
          <wp:inline>
            <wp:extent cx="3200400" cy="1783495"/>
            <wp:effectExtent b="0" l="0" r="0" t="0"/>
            <wp:docPr descr="Most-severe VEP consequence per variant across the callset." title="" id="110" name="Picture"/>
            <a:graphic>
              <a:graphicData uri="http://schemas.openxmlformats.org/drawingml/2006/picture">
                <pic:pic>
                  <pic:nvPicPr>
                    <pic:cNvPr descr="figures/consequence_dist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83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Most-severe VEP consequence per variant across the callset.</w:t>
      </w:r>
    </w:p>
    <w:p>
      <w:pPr>
        <w:pStyle w:val="CaptionedFigure"/>
      </w:pPr>
      <w:r>
        <w:drawing>
          <wp:inline>
            <wp:extent cx="2400300" cy="2190928"/>
            <wp:effectExtent b="0" l="0" r="0" t="0"/>
            <wp:docPr descr="Variants with a dbSNP rsID (known) vs without (novel) — novelty rate." title="" id="113" name="Picture"/>
            <a:graphic>
              <a:graphicData uri="http://schemas.openxmlformats.org/drawingml/2006/picture">
                <pic:pic>
                  <pic:nvPicPr>
                    <pic:cNvPr descr="figures/novel_vs_known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9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Variants with a dbSNP rsID (known) vs without (novel) — novelty rate.</w:t>
      </w:r>
    </w:p>
    <w:p>
      <w:pPr>
        <w:pStyle w:val="CaptionedFigure"/>
      </w:pPr>
      <w:r>
        <w:drawing>
          <wp:inline>
            <wp:extent cx="2933700" cy="2083844"/>
            <wp:effectExtent b="0" l="0" r="0" t="0"/>
            <wp:docPr descr="Distribution of gnomAD African-ancestry allele frequencies; title shows the % of variants carrying an AFR AF (key for rare-variant filtering / burden)." title="" id="116" name="Picture"/>
            <a:graphic>
              <a:graphicData uri="http://schemas.openxmlformats.org/drawingml/2006/picture">
                <pic:pic>
                  <pic:nvPicPr>
                    <pic:cNvPr descr="figures/gnomad_afr_af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83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gnomAD African-ancestry allele frequencies; title shows the % of variants carrying an AFR AF (key for rare-variant filtering / burden).</w:t>
      </w:r>
    </w:p>
    <w:p>
      <w:pPr>
        <w:pStyle w:val="CaptionedFigure"/>
      </w:pPr>
      <w:r>
        <w:drawing>
          <wp:inline>
            <wp:extent cx="2933700" cy="2201214"/>
            <wp:effectExtent b="0" l="0" r="0" t="0"/>
            <wp:docPr descr="PhyloP conservation-score distribution; positive = conserved (likely functional)." title="" id="119" name="Picture"/>
            <a:graphic>
              <a:graphicData uri="http://schemas.openxmlformats.org/drawingml/2006/picture">
                <pic:pic>
                  <pic:nvPicPr>
                    <pic:cNvPr descr="figures/phylop_dist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1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PhyloP conservation-score distribution; positive = conserved (likely functional).</w:t>
      </w:r>
    </w:p>
    <w:bookmarkEnd w:id="121"/>
    <w:bookmarkStart w:id="134" w:name="cohort-qc-stage-12"/>
    <w:p>
      <w:pPr>
        <w:pStyle w:val="Heading2"/>
      </w:pPr>
      <w:r>
        <w:t xml:space="preserve">10.4 Cohort QC (Stage 12)</w:t>
      </w:r>
    </w:p>
    <w:p>
      <w:pPr>
        <w:pStyle w:val="CaptionedFigure"/>
      </w:pPr>
      <w:r>
        <w:drawing>
          <wp:inline>
            <wp:extent cx="2667000" cy="2392569"/>
            <wp:effectExtent b="0" l="0" r="0" t="0"/>
            <wp:docPr descr="Pairwise somalier relatedness; synthetic test samples are near-identical so values run high (machinery proven) — a real cohort shows true relatedness structure." title="" id="123" name="Picture"/>
            <a:graphic>
              <a:graphicData uri="http://schemas.openxmlformats.org/drawingml/2006/picture">
                <pic:pic>
                  <pic:nvPicPr>
                    <pic:cNvPr descr="figures/relatedness_heatmap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92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Pairwise somalier relatedness; synthetic test samples are near-identical so values run high (machinery proven) — a real cohort shows true relatedness structure.</w:t>
      </w:r>
    </w:p>
    <w:p>
      <w:pPr>
        <w:pStyle w:val="CaptionedFigure"/>
      </w:pPr>
      <w:r>
        <w:drawing>
          <wp:inline>
            <wp:extent cx="2667000" cy="2368693"/>
            <wp:effectExtent b="0" l="0" r="0" t="0"/>
            <wp:docPr descr="Genotype PCA of the cohort; on a tight panel few on-target sites give weak structure — real ancestry assignment uses somalier with the 1000G-labelled reference (off-target sites)." title="" id="126" name="Picture"/>
            <a:graphic>
              <a:graphicData uri="http://schemas.openxmlformats.org/drawingml/2006/picture">
                <pic:pic>
                  <pic:nvPicPr>
                    <pic:cNvPr descr="figures/ancestry_pca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68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Genotype PCA of the cohort; on a tight panel few on-target sites give weak structure — real ancestry assignment uses somalier with the 1000G-labelled reference (off-target sites).</w:t>
      </w:r>
    </w:p>
    <w:p>
      <w:pPr>
        <w:pStyle w:val="CaptionedFigure"/>
      </w:pPr>
      <w:r>
        <w:drawing>
          <wp:inline>
            <wp:extent cx="2933700" cy="2714357"/>
            <wp:effectExtent b="0" l="0" r="0" t="0"/>
            <wp:docPr descr="Declared vs somalier-inferred sex per sample (somalier infers from X/Y signal incl. off-target reads — the backstop for an autosomal panel with no X/Y targets)." title="" id="129" name="Picture"/>
            <a:graphic>
              <a:graphicData uri="http://schemas.openxmlformats.org/drawingml/2006/picture">
                <pic:pic>
                  <pic:nvPicPr>
                    <pic:cNvPr descr="figures/cohort_sex_chec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14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Declared vs somalier-inferred sex per sample (somalier infers from X/Y signal incl. off-target reads — the backstop for an autosomal panel with no X/Y targets).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Per-sample fraction of no-call genotypes in the joint callset (sample quality)." title="" id="132" name="Picture"/>
            <a:graphic>
              <a:graphicData uri="http://schemas.openxmlformats.org/drawingml/2006/picture">
                <pic:pic>
                  <pic:nvPicPr>
                    <pic:cNvPr descr="figures/missingnes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fraction of no-call genotypes in the joint callset (sample quality).</w:t>
      </w:r>
    </w:p>
    <w:bookmarkEnd w:id="134"/>
    <w:bookmarkStart w:id="141" w:name="giab-validation-stage-13"/>
    <w:p>
      <w:pPr>
        <w:pStyle w:val="Heading2"/>
      </w:pPr>
      <w:r>
        <w:t xml:space="preserve">10.5 GIAB validation (Stage 13)</w:t>
      </w:r>
    </w:p>
    <w:p>
      <w:pPr>
        <w:pStyle w:val="CaptionedFigure"/>
      </w:pPr>
      <w:r>
        <w:drawing>
          <wp:inline>
            <wp:extent cx="2667000" cy="2198118"/>
            <wp:effectExtent b="0" l="0" r="0" t="0"/>
            <wp:docPr descr="hap.py precision &amp; recall vs GIAB truth, restricted to the panel BED (on-target). Synthetic test only proves the machinery; real numbers need a GIAB control + truth v4.2.1." title="" id="136" name="Picture"/>
            <a:graphic>
              <a:graphicData uri="http://schemas.openxmlformats.org/drawingml/2006/picture">
                <pic:pic>
                  <pic:nvPicPr>
                    <pic:cNvPr descr="figures/giab_precision_recall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98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hap.py precision &amp; recall vs GIAB truth, restricted to the panel BED (on-target). Synthetic test only proves the machinery; real numbers need a GIAB control + truth v4.2.1.</w:t>
      </w:r>
    </w:p>
    <w:p>
      <w:pPr>
        <w:pStyle w:val="CaptionedFigure"/>
      </w:pPr>
      <w:r>
        <w:drawing>
          <wp:inline>
            <wp:extent cx="2400300" cy="2059408"/>
            <wp:effectExtent b="0" l="0" r="0" t="0"/>
            <wp:docPr descr="hap.py F1 per variant type vs GIAB truth, restricted to the panel BED (on-target)." title="" id="139" name="Picture"/>
            <a:graphic>
              <a:graphicData uri="http://schemas.openxmlformats.org/drawingml/2006/picture">
                <pic:pic>
                  <pic:nvPicPr>
                    <pic:cNvPr descr="figures/giab_f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059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hap.py F1 per variant type vs GIAB truth, restricted to the panel BED (on-target).</w:t>
      </w:r>
    </w:p>
    <w:bookmarkEnd w:id="141"/>
    <w:bookmarkStart w:id="148" w:name="burden-stage-14"/>
    <w:p>
      <w:pPr>
        <w:pStyle w:val="Heading2"/>
      </w:pPr>
      <w:r>
        <w:t xml:space="preserve">10.6 Burden (Stage 14)</w:t>
      </w:r>
    </w:p>
    <w:p>
      <w:pPr>
        <w:pStyle w:val="CaptionedFigure"/>
      </w:pPr>
      <w:r>
        <w:drawing>
          <wp:inline>
            <wp:extent cx="2667000" cy="2815383"/>
            <wp:effectExtent b="0" l="0" r="0" t="0"/>
            <wp:docPr descr="QQ plot of gene-burden p-values vs uniform expectation; lambda = genomic inflation. Small-N synthetic results prove the machinery only — not valid association." title="" id="143" name="Picture"/>
            <a:graphic>
              <a:graphicData uri="http://schemas.openxmlformats.org/drawingml/2006/picture">
                <pic:pic>
                  <pic:nvPicPr>
                    <pic:cNvPr descr="figures/burden_qq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1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QQ plot of gene-burden p-values vs uniform expectation; lambda = genomic inflation. Small-N synthetic results prove the machinery only — not valid association.</w:t>
      </w:r>
    </w:p>
    <w:p>
      <w:pPr>
        <w:pStyle w:val="CaptionedFigure"/>
      </w:pPr>
      <w:r>
        <w:drawing>
          <wp:inline>
            <wp:extent cx="2933700" cy="2693162"/>
            <wp:effectExtent b="0" l="0" r="0" t="0"/>
            <wp:docPr descr="Per-gene burden significance (-log10 p) with a Bonferroni line; collapses rare+functional variants per gene. Validity depends on N, phenotype definition, ancestry matching." title="" id="146" name="Picture"/>
            <a:graphic>
              <a:graphicData uri="http://schemas.openxmlformats.org/drawingml/2006/picture">
                <pic:pic>
                  <pic:nvPicPr>
                    <pic:cNvPr descr="figures/burden_manhattan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93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Per-gene burden significance (-log10 p) with a Bonferroni line; collapses rare+functional variants per gene. Validity depends on N, phenotype definition, ancestry matching.</w:t>
      </w:r>
    </w:p>
    <w:bookmarkEnd w:id="148"/>
    <w:bookmarkEnd w:id="149"/>
    <w:bookmarkStart w:id="150" w:name="outputs-explained"/>
    <w:p>
      <w:pPr>
        <w:pStyle w:val="Heading1"/>
      </w:pPr>
      <w:r>
        <w:t xml:space="preserve">11. Outputs explained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+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Annotated joint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annotated.vcf.gz — VEP CSQ + gnomAD_* + ClinVar_* + PhyloP + paralog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Per-variant 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variants.flat.tsv — flattened (columns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joint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stage7_filter/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joint.filtered.vcf.gz — FILTER = PASS or hard-filter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CNV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stage8_cnv/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cnv_calls.tsv — with cnv_callable + confidence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 genotypes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stage9_str/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str_calls.tsv — repeat units, read support, call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Paralog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stage10_paralog/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paralog.annotated.vcf.gz — INFO/PARALOG_GENE, PARALOG_CONF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Burden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stage14_burden/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burden_results.tsv — engine column stamps the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stage12_cohortqc/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cohort_qc.json — relatedness, sex, missingness, PCA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GIAB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stage13_giab/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giab_metrics.json — precision/recall/F1, on-target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provenance.json — versions, resources, quarantine, PC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cohort_qc_dashboard.html — all figures + tables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Per-variant TSV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variants.flat.tsv</w:t>
      </w:r>
      <w:r>
        <w:t xml:space="preserve">):</w:t>
      </w:r>
      <w:r>
        <w:t xml:space="preserve"> </w:t>
      </w:r>
      <w:r>
        <w:rPr>
          <w:rStyle w:val="VerbatimChar"/>
        </w:rPr>
        <w:t xml:space="preserve">chrom, pos, ref, alt, rsID, filter, gene, consequence, gnomAD_AF, gnomAD_AF_afr, ClinVar_CLNSIG, PhyloP, paralog_gene, paralog_conf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Burden results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burden_results.tsv</w:t>
      </w:r>
      <w:r>
        <w:t xml:space="preserve">):</w:t>
      </w:r>
      <w:r>
        <w:t xml:space="preserve"> </w:t>
      </w:r>
      <w:r>
        <w:rPr>
          <w:rStyle w:val="VerbatimChar"/>
        </w:rPr>
        <w:t xml:space="preserve">unit, kind, engine, n_carriers, case_carriers, control_carriers, chi2, 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column means a</w:t>
      </w:r>
      <w:r>
        <w:t xml:space="preserve"> </w:t>
      </w:r>
      <w:r>
        <w:rPr>
          <w:rStyle w:val="VerbatimChar"/>
        </w:rPr>
        <w:t xml:space="preserve">collapse</w:t>
      </w:r>
      <w:r>
        <w:t xml:space="preserve"> </w:t>
      </w:r>
      <w:r>
        <w:t xml:space="preserve">result can never be mistaken for a regenie association when the</w:t>
      </w:r>
      <w:r>
        <w:t xml:space="preserve"> </w:t>
      </w:r>
      <w:r>
        <w:t xml:space="preserve">file is read on its own).</w:t>
      </w:r>
    </w:p>
    <w:bookmarkEnd w:id="150"/>
    <w:bookmarkStart w:id="151" w:name="interpreting-results"/>
    <w:p>
      <w:pPr>
        <w:pStyle w:val="Heading1"/>
      </w:pPr>
      <w:r>
        <w:t xml:space="preserve">12.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needs-real-cohort.</w:t>
      </w:r>
      <w:r>
        <w:t xml:space="preserve"> </w:t>
      </w:r>
      <w:r>
        <w:t xml:space="preserve">On the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cohort the pipeline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invariants fire</w:t>
      </w:r>
      <w:r>
        <w:t xml:space="preserve">, but the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are not data quality. Treat as</w:t>
      </w:r>
      <w:r>
        <w:t xml:space="preserve"> </w:t>
      </w:r>
      <w:r>
        <w:t xml:space="preserve">machinery-proven (not real): on-target/enrichment/uniformity, Ti/Tv &amp; het:hom, GIAB</w:t>
      </w:r>
      <w:r>
        <w:t xml:space="preserve"> </w:t>
      </w:r>
      <w:r>
        <w:t xml:space="preserve">precision/recall, all burden association (small N), and relatedness/ancestry structure.</w:t>
      </w:r>
    </w:p>
    <w:p>
      <w:pPr>
        <w:pStyle w:val="BodyText"/>
      </w:pPr>
      <w:r>
        <w:rPr>
          <w:b/>
          <w:bCs/>
        </w:rPr>
        <w:t xml:space="preserve">CaptureForge confidence labels.</w:t>
      </w:r>
      <w:r>
        <w:t xml:space="preserve"> </w:t>
      </w:r>
      <w:r>
        <w:t xml:space="preserve">Read CNV calls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callability label:</w:t>
      </w:r>
      <w:r>
        <w:t xml:space="preserve"> </w:t>
      </w:r>
      <w:r>
        <w:t xml:space="preserve">depth-callable genes (e.g. GYPC, HP) are trustworthy; breakpoint-blind genes (CR1, CFH) are</w:t>
      </w:r>
      <w:r>
        <w:t xml:space="preserve"> </w:t>
      </w:r>
      <w:r>
        <w:rPr>
          <w:rStyle w:val="VerbatimChar"/>
        </w:rPr>
        <w:t xml:space="preserve">breakpoint_blind_low_confidence</w:t>
      </w:r>
      <w:r>
        <w:t xml:space="preserve"> </w:t>
      </w:r>
      <w:r>
        <w:t xml:space="preserve">— treat their CNV calls cautiously. Paralog-region</w:t>
      </w:r>
      <w:r>
        <w:t xml:space="preserve"> </w:t>
      </w:r>
      <w:r>
        <w:t xml:space="preserve">variants are split</w:t>
      </w:r>
      <w:r>
        <w:t xml:space="preserve"> </w:t>
      </w:r>
      <w:r>
        <w:rPr>
          <w:b/>
          <w:bCs/>
        </w:rPr>
        <w:t xml:space="preserve">confident</w:t>
      </w:r>
      <w:r>
        <w:t xml:space="preserve"> </w:t>
      </w:r>
      <w:r>
        <w:t xml:space="preserve">(uniquely callable, high MQ) vs</w:t>
      </w:r>
      <w:r>
        <w:t xml:space="preserve"> </w:t>
      </w:r>
      <w:r>
        <w:rPr>
          <w:b/>
          <w:bCs/>
        </w:rPr>
        <w:t xml:space="preserve">flagged</w:t>
      </w:r>
      <w:r>
        <w:t xml:space="preserve"> </w:t>
      </w:r>
      <w:r>
        <w:t xml:space="preserve">(multimapping</w:t>
      </w:r>
      <w:r>
        <w:t xml:space="preserve"> </w:t>
      </w:r>
      <w:r>
        <w:t xml:space="preserve">ambiguity) — confirm flagged calls orthogonally.</w:t>
      </w:r>
    </w:p>
    <w:p>
      <w:pPr>
        <w:pStyle w:val="BodyText"/>
      </w:pPr>
      <w:r>
        <w:rPr>
          <w:b/>
          <w:bCs/>
        </w:rPr>
        <w:t xml:space="preserve">Burden validity.</w:t>
      </w:r>
      <w:r>
        <w:t xml:space="preserve"> </w:t>
      </w:r>
      <w:r>
        <w:t xml:space="preserve">Small cohorts show</w:t>
      </w:r>
      <w:r>
        <w:t xml:space="preserve"> </w:t>
      </w:r>
      <w:r>
        <w:rPr>
          <w:b/>
          <w:bCs/>
        </w:rPr>
        <w:t xml:space="preserve">genomic inflation</w:t>
      </w:r>
      <w:r>
        <w:t xml:space="preserve"> </w:t>
      </w:r>
      <w:r>
        <w:t xml:space="preserve">(high λ in the QQ plot) — not</w:t>
      </w:r>
      <w:r>
        <w:t xml:space="preserve"> </w:t>
      </w:r>
      <w:r>
        <w:t xml:space="preserve">signal. The</w:t>
      </w:r>
      <w:r>
        <w:t xml:space="preserve"> </w:t>
      </w:r>
      <w:r>
        <w:rPr>
          <w:b/>
          <w:bCs/>
        </w:rPr>
        <w:t xml:space="preserve">ancestry-PC gate</w:t>
      </w:r>
      <w:r>
        <w:t xml:space="preserve"> </w:t>
      </w:r>
      <w:r>
        <w:t xml:space="preserve">drops unstable PCs and runs</w:t>
      </w:r>
      <w:r>
        <w:t xml:space="preserve"> </w:t>
      </w:r>
      <w:r>
        <w:rPr>
          <w:b/>
          <w:bCs/>
        </w:rPr>
        <w:t xml:space="preserve">unadjusted</w:t>
      </w:r>
      <w:r>
        <w:t xml:space="preserve"> </w:t>
      </w:r>
      <w:r>
        <w:t xml:space="preserve">(stated in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and the burden summary); an unadjusted run is a deliberate, declared</w:t>
      </w:r>
      <w:r>
        <w:t xml:space="preserve"> </w:t>
      </w:r>
      <w:r>
        <w:t xml:space="preserve">choice, not a silent one. Burden validity depends on N, phenotype definition, and ancestry</w:t>
      </w:r>
      <w:r>
        <w:t xml:space="preserve"> </w:t>
      </w:r>
      <w:r>
        <w:t xml:space="preserve">matching — CallForge does not imply publication-ready association on a small cohort.</w:t>
      </w:r>
    </w:p>
    <w:p>
      <w:pPr>
        <w:pStyle w:val="BodyText"/>
      </w:pPr>
      <w:r>
        <w:rPr>
          <w:b/>
          <w:bCs/>
        </w:rPr>
        <w:t xml:space="preserve">GIAB.</w:t>
      </w:r>
      <w:r>
        <w:t xml:space="preserve"> </w:t>
      </w:r>
      <w:r>
        <w:t xml:space="preserve">Precision = fraction of called variants that are true; recall = fraction of truth</w:t>
      </w:r>
      <w:r>
        <w:t xml:space="preserve"> </w:t>
      </w:r>
      <w:r>
        <w:t xml:space="preserve">recovered; both</w:t>
      </w:r>
      <w:r>
        <w:t xml:space="preserve"> </w:t>
      </w:r>
      <w:r>
        <w:rPr>
          <w:b/>
          <w:bCs/>
        </w:rPr>
        <w:t xml:space="preserve">on-target</w:t>
      </w:r>
      <w:r>
        <w:t xml:space="preserve"> </w:t>
      </w:r>
      <w:r>
        <w:t xml:space="preserve">(panel-BED-restricted). Genome-wide scoring would distort a</w:t>
      </w:r>
      <w:r>
        <w:t xml:space="preserve"> </w:t>
      </w:r>
      <w:r>
        <w:t xml:space="preserve">panel’s measured sensitivity.</w:t>
      </w:r>
    </w:p>
    <w:bookmarkEnd w:id="151"/>
    <w:bookmarkStart w:id="152" w:name="real-run-checklist"/>
    <w:p>
      <w:pPr>
        <w:pStyle w:val="Heading1"/>
      </w:pPr>
      <w:r>
        <w:t xml:space="preserve">13. Real-run checklist</w:t>
      </w:r>
    </w:p>
    <w:p>
      <w:pPr>
        <w:pStyle w:val="FirstParagraph"/>
      </w:pPr>
      <w:r>
        <w:t xml:space="preserve">Before the production cohort:</w:t>
      </w:r>
    </w:p>
    <w:p>
      <w:pPr>
        <w:pStyle w:val="Compact"/>
        <w:numPr>
          <w:ilvl w:val="0"/>
          <w:numId w:val="1003"/>
        </w:numPr>
      </w:pPr>
      <w:r>
        <w:t xml:space="preserve">Demultiplexed FASTQs + sample sheet (with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for burden).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Genome-wide gnomAD (AFR), ClinVar, dbSNP, PhyloP</w:t>
      </w:r>
      <w:r>
        <w:t xml:space="preserve"> </w:t>
      </w:r>
      <w:r>
        <w:t xml:space="preserve">— each must pass the scope gate.</w:t>
      </w:r>
      <w:r>
        <w:t xml:space="preserve"> </w:t>
      </w:r>
      <w:r>
        <w:t xml:space="preserve">dbSNP is needed in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places (annotation rsIDs + BQSR known-sites).</w:t>
      </w:r>
    </w:p>
    <w:p>
      <w:pPr>
        <w:pStyle w:val="Compact"/>
        <w:numPr>
          <w:ilvl w:val="0"/>
          <w:numId w:val="1005"/>
        </w:numPr>
      </w:pPr>
      <w:r>
        <w:t xml:space="preserve">BQSR known-sites via</w:t>
      </w:r>
      <w:r>
        <w:t xml:space="preserve"> </w:t>
      </w:r>
      <w:r>
        <w:rPr>
          <w:rStyle w:val="VerbatimChar"/>
        </w:rPr>
        <w:t xml:space="preserve">--known_sites</w:t>
      </w:r>
      <w:r>
        <w:t xml:space="preserve"> </w:t>
      </w:r>
      <w:r>
        <w:t xml:space="preserve">(dbSNP + Mills + 1000G indels).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1000G GRCh38 somalier sites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--somalier_sites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GIAB control in the sheet + truth v4.2.1 (</w:t>
      </w:r>
      <w:r>
        <w:rPr>
          <w:rStyle w:val="VerbatimChar"/>
        </w:rPr>
        <w:t xml:space="preserve">--giab_control_id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--giab_truth_vcf/bed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Confirm ancestry PCs are stable</w:t>
      </w:r>
      <w:r>
        <w:t xml:space="preserve"> </w:t>
      </w:r>
      <w:r>
        <w:t xml:space="preserve">before using them as burden covariates (the gate</w:t>
      </w:r>
      <w:r>
        <w:t xml:space="preserve"> </w:t>
      </w:r>
      <w:r>
        <w:t xml:space="preserve">enforces this; if unstable it runs unadjusted and says so).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Validate-before-production engines</w:t>
      </w:r>
      <w:r>
        <w:t xml:space="preserve">: DeepVariant+GLnexus, regenie, SKAT-O/STAAR.</w:t>
      </w:r>
    </w:p>
    <w:p>
      <w:pPr>
        <w:pStyle w:val="Compact"/>
        <w:numPr>
          <w:ilvl w:val="0"/>
          <w:numId w:val="1010"/>
        </w:numPr>
      </w:pPr>
      <w:r>
        <w:t xml:space="preserve">Re-generate the genome-wide gnomAD panel slice on the HPC (fast network).</w:t>
      </w:r>
    </w:p>
    <w:p>
      <w:pPr>
        <w:pStyle w:val="Compact"/>
        <w:numPr>
          <w:ilvl w:val="0"/>
          <w:numId w:val="1011"/>
        </w:numPr>
      </w:pPr>
      <w:r>
        <w:t xml:space="preserve">Revisit GATK hard-filter thresholds for targeted data.</w:t>
      </w:r>
    </w:p>
    <w:bookmarkEnd w:id="152"/>
    <w:bookmarkStart w:id="153" w:name="troubleshooting"/>
    <w:p>
      <w:pPr>
        <w:pStyle w:val="Heading1"/>
      </w:pP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Scope-gate FAIL on a DB</w:t>
            </w:r>
          </w:p>
        </w:tc>
        <w:tc>
          <w:tcPr/>
          <w:p>
            <w:pPr>
              <w:pStyle w:val="Compact"/>
            </w:pPr>
            <w:r>
              <w:t xml:space="preserve">region-subset DB — supply a genome-wide replacement (message names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 values missing</w:t>
            </w:r>
          </w:p>
        </w:tc>
        <w:tc>
          <w:tcPr/>
          <w:p>
            <w:pPr>
              <w:pStyle w:val="Compact"/>
            </w:pPr>
            <w:r>
              <w:t xml:space="preserve">chr-naming mismatch — handled by reconciliation;</w:t>
            </w:r>
            <w:r>
              <w:t xml:space="preserve"> </w:t>
            </w:r>
            <w:r>
              <w:rPr>
                <w:rStyle w:val="VerbatimChar"/>
              </w:rPr>
              <w:t xml:space="preserve">verify_annotation.py</w:t>
            </w:r>
            <w:r>
              <w:t xml:space="preserve"> </w:t>
            </w:r>
            <w:r>
              <w:t xml:space="preserve">fails loud if not, check the manifest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VEP</w:t>
            </w:r>
            <w:r>
              <w:t xml:space="preserve"> </w:t>
            </w:r>
            <w:r>
              <w:t xml:space="preserve">“CacheDir”</w:t>
            </w:r>
            <w:r>
              <w:t xml:space="preserve"> </w:t>
            </w:r>
            <w:r>
              <w:t xml:space="preserve">error in gtf mode</w:t>
            </w:r>
          </w:p>
        </w:tc>
        <w:tc>
          <w:tcPr/>
          <w:p>
            <w:pPr>
              <w:pStyle w:val="Compact"/>
            </w:pPr>
            <w:r>
              <w:t xml:space="preserve">do not pass</w:t>
            </w:r>
            <w:r>
              <w:t xml:space="preserve"> </w:t>
            </w:r>
            <w:r>
              <w:rPr>
                <w:rStyle w:val="VerbatimChar"/>
              </w:rPr>
              <w:t xml:space="preserve">--offline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--gtf</w:t>
            </w:r>
            <w:r>
              <w:t xml:space="preserve"> </w:t>
            </w:r>
            <w:r>
              <w:t xml:space="preserve">(cache mode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mosdepth</w:t>
            </w:r>
            <w:r>
              <w:t xml:space="preserve"> </w:t>
            </w:r>
            <w:r>
              <w:t xml:space="preserve">“exec format error”</w:t>
            </w:r>
            <w:r>
              <w:t xml:space="preserve"> </w:t>
            </w:r>
            <w:r>
              <w:t xml:space="preserve">(arm64)</w:t>
            </w:r>
          </w:p>
        </w:tc>
        <w:tc>
          <w:tcPr/>
          <w:p>
            <w:pPr>
              <w:pStyle w:val="Compact"/>
            </w:pPr>
            <w:r>
              <w:t xml:space="preserve">use mosdepth ≥0.3.11 or</w:t>
            </w:r>
            <w:r>
              <w:t xml:space="preserve"> </w:t>
            </w:r>
            <w:r>
              <w:rPr>
                <w:rStyle w:val="VerbatimChar"/>
              </w:rPr>
              <w:t xml:space="preserve">CONDA_SUBDIR=osx-64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-P</w:t>
            </w:r>
            <w:r>
              <w:t xml:space="preserve"> </w:t>
            </w:r>
            <w:r>
              <w:t xml:space="preserve">errors in fetch script (macOS)</w:t>
            </w:r>
          </w:p>
        </w:tc>
        <w:tc>
          <w:tcPr/>
          <w:p>
            <w:pPr>
              <w:pStyle w:val="Compact"/>
            </w:pPr>
            <w:r>
              <w:t xml:space="preserve">BSD grep lacks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; the shipped script uses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(keep it in sync)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samples reach calling</w:t>
            </w:r>
          </w:p>
        </w:tc>
        <w:tc>
          <w:tcPr/>
          <w:p>
            <w:pPr>
              <w:pStyle w:val="Compact"/>
            </w:pPr>
            <w:r>
              <w:t xml:space="preserve">all quarantined — read</w:t>
            </w:r>
            <w:r>
              <w:t xml:space="preserve"> </w:t>
            </w:r>
            <w:r>
              <w:rPr>
                <w:rStyle w:val="VerbatimChar"/>
              </w:rPr>
              <w:t xml:space="preserve">qc_quarantine.txt</w:t>
            </w:r>
            <w:r>
              <w:t xml:space="preserve">; relax thresholds only with 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Unstable ancestry PCs</w:t>
            </w:r>
          </w:p>
        </w:tc>
        <w:tc>
          <w:tcPr/>
          <w:p>
            <w:pPr>
              <w:pStyle w:val="Compact"/>
            </w:pPr>
            <w:r>
              <w:t xml:space="preserve">the gate drops them and runs unadjusted (recorded); do not force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Truncated</w:t>
            </w:r>
            <w:r>
              <w:t xml:space="preserve"> </w:t>
            </w:r>
            <w:r>
              <w:rPr>
                <w:rStyle w:val="VerbatimChar"/>
              </w:rPr>
              <w:t xml:space="preserve">.bgz</w:t>
            </w:r>
            <w:r>
              <w:t xml:space="preserve"> </w:t>
            </w: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BGZF-EOF check flags it</w:t>
            </w:r>
            <w:r>
              <w:t xml:space="preserve"> </w:t>
            </w:r>
            <w:r>
              <w:rPr>
                <w:rStyle w:val="VerbatimChar"/>
              </w:rPr>
              <w:t xml:space="preserve">truncated</w:t>
            </w:r>
            <w:r>
              <w:t xml:space="preserve"> </w:t>
            </w:r>
            <w:r>
              <w:t xml:space="preserve">— re-fetch (resumable)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Hard-filter over-removes on a panel</w:t>
            </w:r>
          </w:p>
        </w:tc>
        <w:tc>
          <w:tcPr/>
          <w:p>
            <w:pPr>
              <w:pStyle w:val="Compact"/>
            </w:pPr>
            <w:r>
              <w:t xml:space="preserve">tune</w:t>
            </w:r>
            <w:r>
              <w:t xml:space="preserve"> </w:t>
            </w:r>
            <w:r>
              <w:rPr>
                <w:rStyle w:val="VerbatimChar"/>
              </w:rPr>
              <w:t xml:space="preserve">--snp_filter_expr/--indel_filter_expr</w:t>
            </w:r>
            <w:r>
              <w:t xml:space="preserve"> </w:t>
            </w:r>
            <w:r>
              <w:t xml:space="preserve">(defaults are WGS/WES)</w:t>
            </w:r>
          </w:p>
        </w:tc>
      </w:tr>
    </w:tbl>
    <w:bookmarkEnd w:id="153"/>
    <w:bookmarkStart w:id="154" w:name="extending-callforge"/>
    <w:p>
      <w:pPr>
        <w:pStyle w:val="Heading1"/>
      </w:pPr>
      <w:r>
        <w:t xml:space="preserve">15. Extending CallForge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New annotation databases</w:t>
      </w:r>
      <w:r>
        <w:t xml:space="preserve">: add them to a vcfanno TOML (</w:t>
      </w:r>
      <w:r>
        <w:rPr>
          <w:rStyle w:val="VerbatimChar"/>
        </w:rPr>
        <w:t xml:space="preserve">--vcfanno_toml</w:t>
      </w:r>
      <w:r>
        <w:t xml:space="preserve">); the</w:t>
      </w:r>
      <w:r>
        <w:t xml:space="preserve"> </w:t>
      </w:r>
      <w:r>
        <w:t xml:space="preserve">scope gate + landing check apply.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New organism</w:t>
      </w:r>
      <w:r>
        <w:t xml:space="preserve">:</w:t>
      </w:r>
      <w:r>
        <w:t xml:space="preserve"> </w:t>
      </w:r>
      <w:r>
        <w:rPr>
          <w:rStyle w:val="VerbatimChar"/>
        </w:rPr>
        <w:t xml:space="preserve">--species</w:t>
      </w:r>
      <w:r>
        <w:t xml:space="preserve"> </w:t>
      </w:r>
      <w:r>
        <w:t xml:space="preserve">+ VEP cache + vcfanno TOML; human DBs skip (§6.6).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Engine choices</w:t>
      </w:r>
      <w:r>
        <w:t xml:space="preserve">: §8.8 — note the validate-before-production engines.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Roadmap (not yet validated)</w:t>
      </w:r>
      <w:r>
        <w:t xml:space="preserve">: end-to-end runs of DeepVariant+GLnexus, regenie, and</w:t>
      </w:r>
      <w:r>
        <w:t xml:space="preserve"> </w:t>
      </w:r>
      <w:r>
        <w:t xml:space="preserve">SKAT-O on a real cohort; VQSR for large cohorts; manifest-driven BQSR known-sites.</w:t>
      </w:r>
    </w:p>
    <w:bookmarkEnd w:id="154"/>
    <w:bookmarkStart w:id="155" w:name="reproducibility-provenance"/>
    <w:p>
      <w:pPr>
        <w:pStyle w:val="Heading1"/>
      </w:pPr>
      <w:r>
        <w:t xml:space="preserve">16. Reproducibility &amp; provenance</w:t>
      </w:r>
    </w:p>
    <w:p>
      <w:pPr>
        <w:pStyle w:val="FirstParagraph"/>
      </w:pPr>
      <w:r>
        <w:t xml:space="preserve">Every run writes</w:t>
      </w:r>
      <w:r>
        <w:t xml:space="preserve"> </w:t>
      </w:r>
      <w:r>
        <w:rPr>
          <w:rStyle w:val="VerbatimChar"/>
        </w:rPr>
        <w:t xml:space="preserve">stage15_report/provenance.json</w:t>
      </w:r>
      <w:r>
        <w:t xml:space="preserve">: pipeline version + git commit, the</w:t>
      </w:r>
      <w:r>
        <w:t xml:space="preserve"> </w:t>
      </w:r>
      <w:r>
        <w:t xml:space="preserve">reference + invariant statement, the resource manifest (status/build/md5/AFR), QC</w:t>
      </w:r>
      <w:r>
        <w:t xml:space="preserve"> </w:t>
      </w:r>
      <w:r>
        <w:t xml:space="preserve">thresholds + pass/quarantine lists with reasons, the burden status +</w:t>
      </w:r>
      <w:r>
        <w:t xml:space="preserve"> </w:t>
      </w:r>
      <w:r>
        <w:rPr>
          <w:b/>
          <w:bCs/>
        </w:rPr>
        <w:t xml:space="preserve">ancestry-PC gate</w:t>
      </w:r>
      <w:r>
        <w:rPr>
          <w:b/>
          <w:bCs/>
        </w:rPr>
        <w:t xml:space="preserve"> </w:t>
      </w:r>
      <w:r>
        <w:rPr>
          <w:b/>
          <w:bCs/>
        </w:rPr>
        <w:t xml:space="preserve">decision</w:t>
      </w:r>
      <w:r>
        <w:t xml:space="preserve">, and pointers to the pinned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the pinned VEP/hap.py containers.</w:t>
      </w:r>
      <w:r>
        <w:t xml:space="preserve"> </w:t>
      </w:r>
      <w:r>
        <w:t xml:space="preserve">Pin Nextflow via</w:t>
      </w:r>
      <w:r>
        <w:t xml:space="preserve"> </w:t>
      </w:r>
      <w:r>
        <w:rPr>
          <w:rStyle w:val="VerbatimChar"/>
        </w:rPr>
        <w:t xml:space="preserve">manifest.nextflowVersion</w:t>
      </w:r>
      <w:r>
        <w:t xml:space="preserve"> </w:t>
      </w:r>
      <w:r>
        <w:t xml:space="preserve">and tool versions via the env files; cite the</w:t>
      </w:r>
      <w:r>
        <w:t xml:space="preserve"> </w:t>
      </w:r>
      <w:r>
        <w:t xml:space="preserve">exact reference and database releases recorded in the manifest.</w:t>
      </w:r>
    </w:p>
    <w:bookmarkEnd w:id="155"/>
    <w:bookmarkStart w:id="156" w:name="glossary-faq"/>
    <w:p>
      <w:pPr>
        <w:pStyle w:val="Heading1"/>
      </w:pPr>
      <w:r>
        <w:t xml:space="preserve">17. Glossary &amp; FAQ</w:t>
      </w:r>
    </w:p>
    <w:p>
      <w:pPr>
        <w:pStyle w:val="FirstParagraph"/>
      </w:pPr>
      <w:r>
        <w:rPr>
          <w:b/>
          <w:bCs/>
        </w:rPr>
        <w:t xml:space="preserve">gVCF</w:t>
      </w:r>
      <w:r>
        <w:t xml:space="preserve"> </w:t>
      </w:r>
      <w:r>
        <w:t xml:space="preserve">— per-sample genomic VCF with reference-confidence blocks, the input to joint</w:t>
      </w:r>
      <w:r>
        <w:t xml:space="preserve"> </w:t>
      </w:r>
      <w:r>
        <w:t xml:space="preserve">genotyping.</w:t>
      </w:r>
      <w:r>
        <w:t xml:space="preserve"> </w:t>
      </w:r>
      <w:r>
        <w:rPr>
          <w:b/>
          <w:bCs/>
        </w:rPr>
        <w:t xml:space="preserve">PoN</w:t>
      </w:r>
      <w:r>
        <w:t xml:space="preserve"> </w:t>
      </w:r>
      <w:r>
        <w:t xml:space="preserve">— panel-of-normals (CNVkit reference from QC-pass samples).</w:t>
      </w:r>
      <w:r>
        <w:t xml:space="preserve"> </w:t>
      </w:r>
      <w:r>
        <w:rPr>
          <w:b/>
          <w:bCs/>
        </w:rPr>
        <w:t xml:space="preserve">FREEMIX</w:t>
      </w:r>
      <w:r>
        <w:t xml:space="preserve"> </w:t>
      </w:r>
      <w:r>
        <w:t xml:space="preserve">— VerifyBamID2 contamination estimate.</w:t>
      </w:r>
      <w:r>
        <w:t xml:space="preserve"> </w:t>
      </w:r>
      <w:r>
        <w:rPr>
          <w:b/>
          <w:bCs/>
        </w:rPr>
        <w:t xml:space="preserve">FOLD_80</w:t>
      </w:r>
      <w:r>
        <w:t xml:space="preserve"> </w:t>
      </w:r>
      <w:r>
        <w:t xml:space="preserve">— uniformity penalty (1.0 = uniform).</w:t>
      </w:r>
      <w:r>
        <w:t xml:space="preserve"> </w:t>
      </w:r>
      <w:r>
        <w:rPr>
          <w:b/>
          <w:bCs/>
        </w:rPr>
        <w:t xml:space="preserve">λ (lambda)</w:t>
      </w:r>
      <w:r>
        <w:t xml:space="preserve"> </w:t>
      </w:r>
      <w:r>
        <w:t xml:space="preserve">— genomic inflation factor.</w:t>
      </w:r>
      <w:r>
        <w:t xml:space="preserve"> </w:t>
      </w:r>
      <w:r>
        <w:rPr>
          <w:b/>
          <w:bCs/>
        </w:rPr>
        <w:t xml:space="preserve">Burden test</w:t>
      </w:r>
      <w:r>
        <w:t xml:space="preserve"> </w:t>
      </w:r>
      <w:r>
        <w:t xml:space="preserve">— gene/gene-set aggregation of</w:t>
      </w:r>
      <w:r>
        <w:t xml:space="preserve"> </w:t>
      </w:r>
      <w:r>
        <w:t xml:space="preserve">rare variants vs phenotype.</w:t>
      </w:r>
    </w:p>
    <w:p>
      <w:pPr>
        <w:pStyle w:val="BodyText"/>
      </w:pPr>
      <w:r>
        <w:rPr>
          <w:b/>
          <w:bCs/>
        </w:rPr>
        <w:t xml:space="preserve">FAQ.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Do I need CaptureForge to run CallForge?</w:t>
      </w:r>
      <w:r>
        <w:t xml:space="preserve"> </w:t>
      </w:r>
      <w:r>
        <w:t xml:space="preserve">No — you can supply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--gene_metadata</w:t>
      </w:r>
      <w:r>
        <w:t xml:space="preserve"> </w:t>
      </w:r>
      <w:r>
        <w:t xml:space="preserve">directly; but the per-gene labels (CNV callability, paralog, burden</w:t>
      </w:r>
      <w:r>
        <w:t xml:space="preserve"> </w:t>
      </w:r>
      <w:r>
        <w:t xml:space="preserve">groups) come from CaptureForge metadata and enrich the analysis.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What if I have no phenotype?</w:t>
      </w:r>
      <w:r>
        <w:t xml:space="preserve"> </w:t>
      </w:r>
      <w:r>
        <w:t xml:space="preserve">The pipeline runs through the annotated callset and skips</w:t>
      </w:r>
      <w:r>
        <w:t xml:space="preserve"> </w:t>
      </w:r>
      <w:r>
        <w:t xml:space="preserve">burden with a message.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Why did a sample disappear from the callset?</w:t>
      </w:r>
      <w:r>
        <w:t xml:space="preserve"> </w:t>
      </w:r>
      <w:r>
        <w:t xml:space="preserve">It was quarantined — see</w:t>
      </w:r>
      <w:r>
        <w:t xml:space="preserve"> </w:t>
      </w:r>
      <w:r>
        <w:rPr>
          <w:rStyle w:val="VerbatimChar"/>
        </w:rPr>
        <w:t xml:space="preserve">qc_quarantine.txt</w:t>
      </w:r>
      <w:r>
        <w:t xml:space="preserve">.</w:t>
      </w:r>
    </w:p>
    <w:bookmarkEnd w:id="156"/>
    <w:bookmarkStart w:id="157" w:name="Xb6288e317880f4cbc66e34b2e382df0615133a4"/>
    <w:p>
      <w:pPr>
        <w:pStyle w:val="Heading1"/>
      </w:pPr>
      <w:r>
        <w:t xml:space="preserve">18. Citation &amp; the CaptureForge ↔ CallForge pairing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root. CallForge is the</w:t>
      </w:r>
      <w:r>
        <w:t xml:space="preserve"> </w:t>
      </w:r>
      <w:r>
        <w:rPr>
          <w:b/>
          <w:bCs/>
        </w:rPr>
        <w:t xml:space="preserve">analysis counterpart to</w:t>
      </w:r>
      <w:r>
        <w:rPr>
          <w:b/>
          <w:bCs/>
        </w:rPr>
        <w:t xml:space="preserve"> </w:t>
      </w:r>
      <w:r>
        <w:rPr>
          <w:b/>
          <w:bCs/>
        </w:rPr>
        <w:t xml:space="preserve">CaptureForge</w:t>
      </w:r>
      <w:r>
        <w:t xml:space="preserve">: CaptureForge designs the panel and records per-gene design knowledge;</w:t>
      </w:r>
      <w:r>
        <w:t xml:space="preserve"> </w:t>
      </w:r>
      <w:r>
        <w:t xml:space="preserve">CallForge consumes that handoff and produces the analysed, annotated, QC’d callset and</w:t>
      </w:r>
      <w:r>
        <w:t xml:space="preserve"> </w:t>
      </w:r>
      <w:r>
        <w:t xml:space="preserve">burden layer. Run them as a pair for a panel: design → sequence →</w:t>
      </w:r>
      <w:r>
        <w:t xml:space="preserve"> </w:t>
      </w:r>
      <w:r>
        <w:rPr>
          <w:b/>
          <w:bCs/>
        </w:rPr>
        <w:t xml:space="preserve">CallForge</w:t>
      </w:r>
      <w:r>
        <w:t xml:space="preserve">.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5" Target="media/rId125.png" /><Relationship Type="http://schemas.openxmlformats.org/officeDocument/2006/relationships/image" Id="rId106" Target="media/rId106.png" /><Relationship Type="http://schemas.openxmlformats.org/officeDocument/2006/relationships/image" Id="rId145" Target="media/rId145.png" /><Relationship Type="http://schemas.openxmlformats.org/officeDocument/2006/relationships/image" Id="rId142" Target="media/rId142.png" /><Relationship Type="http://schemas.openxmlformats.org/officeDocument/2006/relationships/image" Id="rId11" Target="media/rId11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62" Target="media/rId62.png" /><Relationship Type="http://schemas.openxmlformats.org/officeDocument/2006/relationships/image" Id="rId128" Target="media/rId128.png" /><Relationship Type="http://schemas.openxmlformats.org/officeDocument/2006/relationships/image" Id="rId109" Target="media/rId109.png" /><Relationship Type="http://schemas.openxmlformats.org/officeDocument/2006/relationships/image" Id="rId65" Target="media/rId65.png" /><Relationship Type="http://schemas.openxmlformats.org/officeDocument/2006/relationships/image" Id="rId55" Target="media/rId55.png" /><Relationship Type="http://schemas.openxmlformats.org/officeDocument/2006/relationships/image" Id="rId49" Target="media/rId49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138" Target="media/rId138.png" /><Relationship Type="http://schemas.openxmlformats.org/officeDocument/2006/relationships/image" Id="rId135" Target="media/rId135.png" /><Relationship Type="http://schemas.openxmlformats.org/officeDocument/2006/relationships/image" Id="rId115" Target="media/rId115.png" /><Relationship Type="http://schemas.openxmlformats.org/officeDocument/2006/relationships/image" Id="rId80" Target="media/rId80.png" /><Relationship Type="http://schemas.openxmlformats.org/officeDocument/2006/relationships/image" Id="rId40" Target="media/rId40.png" /><Relationship Type="http://schemas.openxmlformats.org/officeDocument/2006/relationships/image" Id="rId131" Target="media/rId131.png" /><Relationship Type="http://schemas.openxmlformats.org/officeDocument/2006/relationships/image" Id="rId112" Target="media/rId112.png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image" Id="rId102" Target="media/rId102.png" /><Relationship Type="http://schemas.openxmlformats.org/officeDocument/2006/relationships/image" Id="rId52" Target="media/rId52.png" /><Relationship Type="http://schemas.openxmlformats.org/officeDocument/2006/relationships/image" Id="rId118" Target="media/rId118.png" /><Relationship Type="http://schemas.openxmlformats.org/officeDocument/2006/relationships/image" Id="rId59" Target="media/rId59.png" /><Relationship Type="http://schemas.openxmlformats.org/officeDocument/2006/relationships/image" Id="rId122" Target="media/rId122.png" /><Relationship Type="http://schemas.openxmlformats.org/officeDocument/2006/relationships/image" Id="rId68" Target="media/rId68.png" /><Relationship Type="http://schemas.openxmlformats.org/officeDocument/2006/relationships/image" Id="rId99" Target="media/rId99.png" /><Relationship Type="http://schemas.openxmlformats.org/officeDocument/2006/relationships/image" Id="rId77" Target="media/rId77.png" /><Relationship Type="http://schemas.openxmlformats.org/officeDocument/2006/relationships/image" Id="rId74" Target="media/rId7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2026-06-14T22:58:13Z</dcterms:created>
  <dcterms:modified xsi:type="dcterms:W3CDTF">2026-06-14T22:58:13Z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2026-06-14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targeted-capture germline analysis pipeline (FASTQ → annotated joint callset → burden)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