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2.png" ContentType="image/png"/>
  <Override PartName="/word/media/rId113.png" ContentType="image/png"/>
  <Override PartName="/word/media/rId152.png" ContentType="image/png"/>
  <Override PartName="/word/media/rId149.png" ContentType="image/png"/>
  <Override PartName="/word/media/rId11.png" ContentType="image/png"/>
  <Override PartName="/word/media/rId100.png" ContentType="image/png"/>
  <Override PartName="/word/media/rId103.png" ContentType="image/png"/>
  <Override PartName="/word/media/rId69.png" ContentType="image/png"/>
  <Override PartName="/word/media/rId135.png" ContentType="image/png"/>
  <Override PartName="/word/media/rId116.png" ContentType="image/png"/>
  <Override PartName="/word/media/rId72.png" ContentType="image/png"/>
  <Override PartName="/word/media/rId62.png" ContentType="image/png"/>
  <Override PartName="/word/media/rId56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145.png" ContentType="image/png"/>
  <Override PartName="/word/media/rId142.png" ContentType="image/png"/>
  <Override PartName="/word/media/rId122.png" ContentType="image/png"/>
  <Override PartName="/word/media/rId87.png" ContentType="image/png"/>
  <Override PartName="/word/media/rId47.png" ContentType="image/png"/>
  <Override PartName="/word/media/rId138.png" ContentType="image/png"/>
  <Override PartName="/word/media/rId119.png" ContentType="image/png"/>
  <Override PartName="/word/media/rId53.png" ContentType="image/png"/>
  <Override PartName="/word/media/rId50.png" ContentType="image/png"/>
  <Override PartName="/word/media/rId109.png" ContentType="image/png"/>
  <Override PartName="/word/media/rId59.png" ContentType="image/png"/>
  <Override PartName="/word/media/rId125.png" ContentType="image/png"/>
  <Override PartName="/word/media/rId66.png" ContentType="image/png"/>
  <Override PartName="/word/media/rId129.png" ContentType="image/png"/>
  <Override PartName="/word/media/rId75.png" ContentType="image/png"/>
  <Override PartName="/word/media/rId106.png" ContentType="image/png"/>
  <Override PartName="/word/media/rId84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597729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9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Start w:id="17" w:name="the-callforge-command-unified-cli"/>
    <w:p>
      <w:pPr>
        <w:pStyle w:val="Heading2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command (unified CLI)</w:t>
      </w:r>
    </w:p>
    <w:p>
      <w:pPr>
        <w:pStyle w:val="FirstParagraph"/>
      </w:pPr>
      <w:r>
        <w:t xml:space="preserve">CallForge ships a small console command,</w:t>
      </w:r>
      <w:r>
        <w:t xml:space="preserve"> </w:t>
      </w:r>
      <w:r>
        <w:rPr>
          <w:rStyle w:val="VerbatimChar"/>
          <w:b/>
          <w:bCs/>
        </w:rPr>
        <w:t xml:space="preserve">callforge</w:t>
      </w:r>
      <w:r>
        <w:t xml:space="preserve">, that is a friendly front door to</w:t>
      </w:r>
      <w:r>
        <w:t xml:space="preserve"> </w:t>
      </w:r>
      <w:r>
        <w:t xml:space="preserve">the existing entry points. Install it from the repo with an editable pip install (it is</w:t>
      </w:r>
      <w:r>
        <w:t xml:space="preserve"> </w:t>
      </w:r>
      <w:r>
        <w:t xml:space="preserve">stdlib-only — no heavy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CommentTok"/>
        </w:rPr>
        <w:t xml:space="preserve"># registers `callforge` on PATH (in the active environment's bin/)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subcommands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0.1.0</w:t>
      </w:r>
    </w:p>
    <w:p>
      <w:pPr>
        <w:pStyle w:val="FirstParagraph"/>
      </w:pPr>
      <w:r>
        <w:t xml:space="preserve">Subcommands: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run …</w:t>
      </w:r>
      <w:r>
        <w:t xml:space="preserve"> </w:t>
      </w:r>
      <w:r>
        <w:t xml:space="preserve">— run the full pipeline (thin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§8.0).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samplesheet …</w:t>
      </w:r>
      <w:r>
        <w:t xml:space="preserve"> </w:t>
      </w:r>
      <w:r>
        <w:t xml:space="preserve">— scaffold/assemble a sample sheet (§5.1).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resources …</w:t>
      </w:r>
      <w:r>
        <w:t xml:space="preserve"> </w:t>
      </w:r>
      <w:r>
        <w:t xml:space="preserve">— resource discovery / genomic-scope checks (</w:t>
      </w:r>
      <w:r>
        <w:rPr>
          <w:rStyle w:val="VerbatimChar"/>
        </w:rPr>
        <w:t xml:space="preserve">discover_resources.py</w:t>
      </w:r>
      <w:r>
        <w:t xml:space="preserve">).</w:t>
      </w:r>
    </w:p>
    <w:p>
      <w:pPr>
        <w:pStyle w:val="FirstParagraph"/>
      </w:pPr>
      <w:r>
        <w:t xml:space="preserve">The CLI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the raw forms keep working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bin/init_sample_sheet.py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nextflow run main.nf …</w:t>
      </w:r>
      <w:r>
        <w:t xml:space="preserve">). On the cluster, the</w:t>
      </w:r>
      <w:r>
        <w:t xml:space="preserve"> </w:t>
      </w:r>
      <w:r>
        <w:t xml:space="preserve">shared conda env under</w:t>
      </w:r>
      <w:r>
        <w:t xml:space="preserve"> </w:t>
      </w:r>
      <w:r>
        <w:rPr>
          <w:rStyle w:val="VerbatimChar"/>
        </w:rPr>
        <w:t xml:space="preserve">/hpc/opt/conda/envs/</w:t>
      </w:r>
      <w:r>
        <w:t xml:space="preserve"> </w:t>
      </w:r>
      <w:r>
        <w:t xml:space="preserve">plus the Lmod module/wrapper (§4.2) put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cluster-wide, so users run</w:t>
      </w:r>
      <w:r>
        <w:t xml:space="preserve"> </w:t>
      </w:r>
      <w:r>
        <w:rPr>
          <w:rStyle w:val="VerbatimChar"/>
        </w:rPr>
        <w:t xml:space="preserve">callforge run …</w:t>
      </w:r>
      <w:r>
        <w:t xml:space="preserve"> </w:t>
      </w:r>
      <w:r>
        <w:t xml:space="preserve">without a manual install.</w:t>
      </w:r>
    </w:p>
    <w:p>
      <w:pPr>
        <w:pStyle w:val="BlockText"/>
      </w:pPr>
      <w:r>
        <w:t xml:space="preserve">Stage-level subcommands (e.g. </w:t>
      </w:r>
      <w:r>
        <w:rPr>
          <w:rStyle w:val="VerbatimChar"/>
        </w:rPr>
        <w:t xml:space="preserve">callforge 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 anno</w:t>
      </w:r>
      <w:r>
        <w:t xml:space="preserve">) are a planned</w:t>
      </w:r>
      <w:r>
        <w:t xml:space="preserve"> </w:t>
      </w:r>
      <w:r>
        <w:t xml:space="preserve">enhancement — they would map to Nextflow</w:t>
      </w:r>
      <w:r>
        <w:t xml:space="preserve"> </w:t>
      </w:r>
      <w:r>
        <w:rPr>
          <w:rStyle w:val="VerbatimChar"/>
        </w:rPr>
        <w:t xml:space="preserve">-entry &lt;subworkflow&gt;</w:t>
      </w:r>
      <w:r>
        <w:t xml:space="preserve"> </w:t>
      </w:r>
      <w:r>
        <w:t xml:space="preserve">to run/resume a single</w:t>
      </w:r>
      <w:r>
        <w:t xml:space="preserve"> </w:t>
      </w:r>
      <w:r>
        <w:t xml:space="preserve">stage.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yet.</w:t>
      </w:r>
    </w:p>
    <w:bookmarkEnd w:id="17"/>
    <w:bookmarkStart w:id="18" w:name="how-callforge-uses-conda-environments"/>
    <w:p>
      <w:pPr>
        <w:pStyle w:val="Heading2"/>
      </w:pPr>
      <w:r>
        <w:t xml:space="preserve">4.4 How CallForge uses conda environments</w:t>
      </w:r>
    </w:p>
    <w:p>
      <w:pPr>
        <w:pStyle w:val="FirstParagraph"/>
      </w:pPr>
      <w:r>
        <w:t xml:space="preserve">CallForge deliberately uses</w:t>
      </w:r>
      <w:r>
        <w:t xml:space="preserve"> </w:t>
      </w:r>
      <w:r>
        <w:rPr>
          <w:b/>
          <w:bCs/>
        </w:rPr>
        <w:t xml:space="preserve">several small, isolated per-stage conda environments</w:t>
      </w:r>
      <w:r>
        <w:t xml:space="preserve"> </w:t>
      </w:r>
      <w:r>
        <w:t xml:space="preserve">rather</w:t>
      </w:r>
      <w:r>
        <w:t xml:space="preserve"> </w:t>
      </w:r>
      <w:r>
        <w:t xml:space="preserve">than one big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callforge</w:t>
      </w:r>
      <w:r>
        <w:t xml:space="preserve"> </w:t>
      </w:r>
      <w:r>
        <w:t xml:space="preserve">(core: alignment/QC/calling/filter),</w:t>
      </w:r>
      <w:r>
        <w:t xml:space="preserve"> </w:t>
      </w:r>
      <w:r>
        <w:rPr>
          <w:rStyle w:val="VerbatimChar"/>
        </w:rPr>
        <w:t xml:space="preserve">callforge-cnv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callforge-str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callforge-annotate</w:t>
      </w:r>
      <w:r>
        <w:t xml:space="preserve"> </w:t>
      </w:r>
      <w:r>
        <w:t xml:space="preserve">(VEP/vcfanno),</w:t>
      </w:r>
      <w:r>
        <w:t xml:space="preserve"> </w:t>
      </w:r>
      <w:r>
        <w:rPr>
          <w:rStyle w:val="VerbatimChar"/>
        </w:rPr>
        <w:t xml:space="preserve">callforge-cohortqc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callforge-burden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callforge-deepvariant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.</w:t>
      </w:r>
    </w:p>
    <w:p>
      <w:pPr>
        <w:pStyle w:val="FirstParagraph"/>
      </w:pPr>
      <w:r>
        <w:t xml:space="preserve">Different stages need</w:t>
      </w:r>
      <w:r>
        <w:t xml:space="preserve"> </w:t>
      </w:r>
      <w:r>
        <w:rPr>
          <w:b/>
          <w:bCs/>
        </w:rPr>
        <w:t xml:space="preserve">conflicting toolchains</w:t>
      </w:r>
      <w:r>
        <w:t xml:space="preserve"> </w:t>
      </w:r>
      <w:r>
        <w:t xml:space="preserve">(CNV vs STR vs VEP/Perl vs GATK/Java), and</w:t>
      </w:r>
      <w:r>
        <w:t xml:space="preserve"> </w:t>
      </w:r>
      <w:r>
        <w:t xml:space="preserve">isolating them avoids dependency clashes — co-installing the CNV and STR tools into one</w:t>
      </w:r>
      <w:r>
        <w:t xml:space="preserve"> </w:t>
      </w:r>
      <w:r>
        <w:t xml:space="preserve">shared environment corrupted it during development. This is the same pattern nf-core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never activate these by hand.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),</w:t>
      </w:r>
      <w:r>
        <w:t xml:space="preserve"> </w:t>
      </w:r>
      <w:r>
        <w:rPr>
          <w:b/>
          <w:bCs/>
        </w:rPr>
        <w:t xml:space="preserve">Nextflow</w:t>
      </w:r>
      <w:r>
        <w:rPr>
          <w:b/>
          <w:bCs/>
        </w:rPr>
        <w:t xml:space="preserve"> </w:t>
      </w:r>
      <w:r>
        <w:rPr>
          <w:b/>
          <w:bCs/>
        </w:rPr>
        <w:t xml:space="preserve">activates the correct environment/container for each process automatically</w:t>
      </w:r>
      <w:r>
        <w:t xml:space="preserve">; you run one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callforge run …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vs dev-only.</w:t>
      </w:r>
      <w:r>
        <w:t xml:space="preserve"> </w:t>
      </w:r>
      <w:r>
        <w:t xml:space="preserve">The envs above are the</w:t>
      </w:r>
      <w:r>
        <w:t xml:space="preserve"> </w:t>
      </w:r>
      <w:r>
        <w:rPr>
          <w:i/>
          <w:iCs/>
        </w:rPr>
        <w:t xml:space="preserve">runtime contract</w:t>
      </w:r>
      <w:r>
        <w:t xml:space="preserve"> </w:t>
      </w:r>
      <w:r>
        <w:t xml:space="preserve">— they are declared by</w:t>
      </w:r>
      <w:r>
        <w:t xml:space="preserve"> </w:t>
      </w:r>
      <w:r>
        <w:t xml:space="preserve">the pipeline stages and ship with it. A couple of environments are</w:t>
      </w:r>
      <w:r>
        <w:t xml:space="preserve"> </w:t>
      </w:r>
      <w:r>
        <w:rPr>
          <w:b/>
          <w:bCs/>
        </w:rPr>
        <w:t xml:space="preserve">dev-only byproducts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that contract: the graphviz env used only to render this manual’s</w:t>
      </w:r>
      <w:r>
        <w:t xml:space="preserve"> </w:t>
      </w:r>
      <w:r>
        <w:t xml:space="preserve">DAG, and Nextflow’s own runtime env.</w:t>
      </w:r>
    </w:p>
    <w:p>
      <w:pPr>
        <w:pStyle w:val="Compact"/>
        <w:numPr>
          <w:ilvl w:val="0"/>
          <w:numId w:val="1004"/>
        </w:numPr>
      </w:pPr>
      <w:r>
        <w:t xml:space="preserve">The unified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CLI is just a friendly front door — these isolated per-stage envs</w:t>
      </w:r>
      <w:r>
        <w:t xml:space="preserve"> </w:t>
      </w:r>
      <w:r>
        <w:t xml:space="preserve">continue to work underneath it, invisibly.</w:t>
      </w:r>
    </w:p>
    <w:bookmarkEnd w:id="18"/>
    <w:bookmarkEnd w:id="19"/>
    <w:bookmarkStart w:id="23" w:name="inputs"/>
    <w:p>
      <w:pPr>
        <w:pStyle w:val="Heading1"/>
      </w:pPr>
      <w:r>
        <w:t xml:space="preserve">5. Inputs</w:t>
      </w:r>
    </w:p>
    <w:bookmarkStart w:id="20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  <w:r>
        <w:t xml:space="preserve"> </w:t>
      </w:r>
      <w:r>
        <w:t xml:space="preserve">The commands below use the unified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callforge samplesheet …</w:t>
      </w:r>
      <w:r>
        <w:t xml:space="preserve">); the raw form</w:t>
      </w:r>
      <w:r>
        <w:t xml:space="preserve"> </w:t>
      </w:r>
      <w:r>
        <w:rPr>
          <w:rStyle w:val="VerbatimChar"/>
        </w:rPr>
        <w:t xml:space="preserve">python3 bin/init_sample_sheet.py …</w:t>
      </w:r>
      <w:r>
        <w:t xml:space="preserve"> </w:t>
      </w:r>
      <w:r>
        <w:t xml:space="preserve">works</w:t>
      </w:r>
      <w:r>
        <w:t xml:space="preserve"> </w:t>
      </w:r>
      <w:r>
        <w:t xml:space="preserve">identically.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(Mode A). Pairs R1/R2 by the usual Illumina</w:t>
      </w:r>
      <w:r>
        <w:t xml:space="preserve"> </w:t>
      </w:r>
      <w:r>
        <w:t xml:space="preserve">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 columns blank</w:t>
      </w:r>
      <w:r>
        <w:t xml:space="preserve"> </w:t>
      </w:r>
      <w:r>
        <w:t xml:space="preserve">for you to complete: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Worked examples (input → produced sheet → checks).</w:t>
      </w:r>
      <w:r>
        <w:t xml:space="preserve"> </w:t>
      </w:r>
      <w:r>
        <w:t xml:space="preserve">A FASTQ directory with four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S2</w:t>
      </w:r>
      <w:r>
        <w:t xml:space="preserve">) is the input for Modes A and B below.</w:t>
      </w:r>
    </w:p>
    <w:p>
      <w:pPr>
        <w:pStyle w:val="BodyText"/>
      </w:pPr>
      <w:r>
        <w:rPr>
          <w:i/>
          <w:iCs/>
        </w:rPr>
        <w:t xml:space="preserve">Mode A</w:t>
      </w:r>
      <w:r>
        <w:t xml:space="preserve"> </w:t>
      </w:r>
      <w:r>
        <w:t xml:space="preserve">— only the sequencing columns are filled;</w:t>
      </w:r>
      <w:r>
        <w:t xml:space="preserve"> </w:t>
      </w:r>
      <w:r>
        <w:rPr>
          <w:rStyle w:val="VerbatimChar"/>
        </w:rPr>
        <w:t xml:space="preserve">sex, phenotype, batch</w:t>
      </w:r>
      <w:r>
        <w:t xml:space="preserve"> </w:t>
      </w:r>
      <w:r>
        <w:t xml:space="preserve">are present but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for you to complete (add</w:t>
      </w:r>
      <w:r>
        <w:t xml:space="preserve"> </w:t>
      </w:r>
      <w:r>
        <w:rPr>
          <w:rStyle w:val="VerbatimChar"/>
        </w:rPr>
        <w:t xml:space="preserve">covariate_*</w:t>
      </w:r>
      <w:r>
        <w:t xml:space="preserve"> </w:t>
      </w:r>
      <w:r>
        <w:t xml:space="preserve">columns by hand or via a Mode-B join):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CTRL,/data/fq/CTRL_R1.fastq.gz,/data/fq/CTRL_R2.fastq.gz,,,</w:t>
      </w:r>
      <w:r>
        <w:br/>
      </w:r>
      <w:r>
        <w:rPr>
          <w:rStyle w:val="VerbatimChar"/>
        </w:rPr>
        <w:t xml:space="preserve">LOWQC,/data/fq/LOWQC_R1.fastq.gz,/data/fq/LOWQC_R2.fastq.gz,,,</w:t>
      </w:r>
      <w:r>
        <w:br/>
      </w:r>
      <w:r>
        <w:rPr>
          <w:rStyle w:val="VerbatimChar"/>
        </w:rPr>
        <w:t xml:space="preserve">S1,/data/fq/S1_R1.fastq.gz,/data/fq/S1_R2.fastq.gz,,,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rPr>
          <w:i/>
          <w:iCs/>
        </w:rPr>
        <w:t xml:space="preserve">Mode B</w:t>
      </w:r>
      <w:r>
        <w:t xml:space="preserve"> </w:t>
      </w:r>
      <w:r>
        <w:t xml:space="preserve">— given this clinical CSV (note: no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row, and a stray</w:t>
      </w:r>
      <w:r>
        <w:t xml:space="preserve"> </w:t>
      </w:r>
      <w:r>
        <w:rPr>
          <w:rStyle w:val="VerbatimChar"/>
        </w:rPr>
        <w:t xml:space="preserve">S07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CTRL,F,control,30,b1</w:t>
      </w:r>
      <w:r>
        <w:br/>
      </w:r>
      <w:r>
        <w:rPr>
          <w:rStyle w:val="VerbatimChar"/>
        </w:rPr>
        <w:t xml:space="preserve">S1,M,case,45,b1</w:t>
      </w:r>
      <w:r>
        <w:br/>
      </w:r>
      <w:r>
        <w:rPr>
          <w:rStyle w:val="VerbatimChar"/>
        </w:rPr>
        <w:t xml:space="preserve">S2,F,control,52,b2</w:t>
      </w:r>
      <w:r>
        <w:br/>
      </w:r>
      <w:r>
        <w:rPr>
          <w:rStyle w:val="VerbatimChar"/>
        </w:rPr>
        <w:t xml:space="preserve">S07,F,case,41,b2</w:t>
      </w:r>
    </w:p>
    <w:p>
      <w:pPr>
        <w:pStyle w:val="FirstParagraph"/>
      </w:pPr>
      <w:r>
        <w:t xml:space="preserve">the produced sheet joins the metadata in (the</w:t>
      </w:r>
      <w:r>
        <w:t xml:space="preserve"> </w:t>
      </w:r>
      <w:r>
        <w:rPr>
          <w:rStyle w:val="VerbatimChar"/>
        </w:rPr>
        <w:t xml:space="preserve">covariate_age</w:t>
      </w:r>
      <w:r>
        <w:t xml:space="preserve"> </w:t>
      </w:r>
      <w:r>
        <w:t xml:space="preserve">column is carried through);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stays blank because it had no clinical row:</w:t>
      </w:r>
    </w:p>
    <w:p>
      <w:pPr>
        <w:pStyle w:val="SourceCode"/>
      </w:pPr>
      <w:r>
        <w:rPr>
          <w:rStyle w:val="VerbatimChar"/>
        </w:rPr>
        <w:t xml:space="preserve">sample_id,fastq_1,fastq_2,sex,phenotype,batch,covariate_age</w:t>
      </w:r>
      <w:r>
        <w:br/>
      </w:r>
      <w:r>
        <w:rPr>
          <w:rStyle w:val="VerbatimChar"/>
        </w:rPr>
        <w:t xml:space="preserve">CTRL,/data/fq/CTRL_R1.fastq.gz,/data/fq/CTRL_R2.fastq.gz,F,control,b1,30</w:t>
      </w:r>
      <w:r>
        <w:br/>
      </w:r>
      <w:r>
        <w:rPr>
          <w:rStyle w:val="VerbatimChar"/>
        </w:rPr>
        <w:t xml:space="preserve">LOWQC,/data/fq/LOWQC_R1.fastq.gz,/data/fq/LOWQC_R2.fastq.gz,,,,</w:t>
      </w:r>
      <w:r>
        <w:br/>
      </w:r>
      <w:r>
        <w:rPr>
          <w:rStyle w:val="VerbatimChar"/>
        </w:rPr>
        <w:t xml:space="preserve">S1,/data/fq/S1_R1.fastq.gz,/data/fq/S1_R2.fastq.gz,M,case,b1,45</w:t>
      </w:r>
      <w:r>
        <w:br/>
      </w:r>
      <w:r>
        <w:rPr>
          <w:rStyle w:val="VerbatimChar"/>
        </w:rPr>
        <w:t xml:space="preserve">S2,/data/fq/S2_R1.fastq.gz,/data/fq/S2_R2.fastq.gz,F,control,b2,52</w:t>
      </w:r>
    </w:p>
    <w:p>
      <w:pPr>
        <w:pStyle w:val="FirstParagraph"/>
      </w:pPr>
      <w:r>
        <w:rPr>
          <w:i/>
          <w:iCs/>
        </w:rPr>
        <w:t xml:space="preserve">Mode C</w:t>
      </w:r>
      <w:r>
        <w:t xml:space="preserve"> </w:t>
      </w:r>
      <w:r>
        <w:t xml:space="preserve">— given a LIMS manifest (</w:t>
      </w:r>
      <w:r>
        <w:rPr>
          <w:rStyle w:val="VerbatimChar"/>
        </w:rPr>
        <w:t xml:space="preserve">lims_manifest.csv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sample_id,fastq_1,fastq_2</w:t>
      </w:r>
      <w:r>
        <w:br/>
      </w:r>
      <w:r>
        <w:rPr>
          <w:rStyle w:val="VerbatimChar"/>
        </w:rPr>
        <w:t xml:space="preserve">S1,/data/fq/S1_R1.fastq.gz,/data/fq/S1_R2.fastq.gz</w:t>
      </w:r>
      <w:r>
        <w:br/>
      </w:r>
      <w:r>
        <w:rPr>
          <w:rStyle w:val="VerbatimChar"/>
        </w:rPr>
        <w:t xml:space="preserve">S2,/data/fq/S2_R1.fastq.gz,/data/fq/S2_R2.fastq.gz</w:t>
      </w:r>
    </w:p>
    <w:p>
      <w:pPr>
        <w:pStyle w:val="FirstParagraph"/>
      </w:pPr>
      <w:r>
        <w:t xml:space="preserve">and a clinical CSV whose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is a typo for</w:t>
      </w:r>
      <w:r>
        <w:t xml:space="preserve"> </w:t>
      </w:r>
      <w:r>
        <w:rPr>
          <w:rStyle w:val="VerbatimChar"/>
        </w:rPr>
        <w:t xml:space="preserve">S2</w:t>
      </w:r>
      <w:r>
        <w:t xml:space="preserve">, the join produces: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S1,/data/fq/S1_R1.fastq.gz,/data/fq/S1_R2.fastq.gz,M,case,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left blank and the report flags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as metadata-without-sequence with the</w:t>
      </w:r>
      <w:r>
        <w:t xml:space="preserve"> </w:t>
      </w:r>
      <w:r>
        <w:t xml:space="preserve">near-miss hint</w:t>
      </w:r>
      <w:r>
        <w:t xml:space="preserve"> </w:t>
      </w:r>
      <w:r>
        <w:rPr>
          <w:rStyle w:val="VerbatimChar"/>
        </w:rPr>
        <w:t xml:space="preserve">[closest FASTQ id: S2]</w:t>
      </w:r>
      <w:r>
        <w:t xml:space="preserve"> </w:t>
      </w:r>
      <w:r>
        <w:t xml:space="preserve">(re-run with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/</w:t>
      </w:r>
      <w:r>
        <w:rPr>
          <w:rStyle w:val="VerbatimChar"/>
        </w:rPr>
        <w:t xml:space="preserve">--lowercase-ids</w:t>
      </w:r>
      <w:r>
        <w:t xml:space="preserve">,</w:t>
      </w:r>
      <w:r>
        <w:t xml:space="preserve"> </w:t>
      </w:r>
      <w:r>
        <w:t xml:space="preserve">or fix the typo, to make it join).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20"/>
    <w:bookmarkStart w:id="21" w:name="X86d640aa8da04fd9d90f86eda18461bc4764271"/>
    <w:p>
      <w:pPr>
        <w:pStyle w:val="Heading2"/>
      </w:pPr>
      <w:r>
        <w:t xml:space="preserve">5.2 Target BED &amp; gene metadata — CallForge runs without CaptureForge</w:t>
      </w:r>
    </w:p>
    <w:p>
      <w:pPr>
        <w:pStyle w:val="FirstParagraph"/>
      </w:pPr>
      <w:r>
        <w:rPr>
          <w:b/>
          <w:bCs/>
        </w:rPr>
        <w:t xml:space="preserve">The minimum to run CallForge is FASTQs + a reference + a target BED.</w:t>
      </w:r>
      <w:r>
        <w:t xml:space="preserve"> </w:t>
      </w:r>
      <w:r>
        <w:t xml:space="preserve">The whole spine —</w:t>
      </w:r>
      <w:r>
        <w:t xml:space="preserve"> </w:t>
      </w:r>
      <w:r>
        <w:t xml:space="preserve">align → coverage/QC → call → annotation → cohort QC → GIAB → per-gene burden — needs nothing</w:t>
      </w:r>
      <w:r>
        <w:t xml:space="preserve"> </w:t>
      </w:r>
      <w:r>
        <w:t xml:space="preserve">from CaptureForge. The CaptureForge</w:t>
      </w:r>
      <w:r>
        <w:t xml:space="preserve"> </w:t>
      </w:r>
      <w:r>
        <w:rPr>
          <w:b/>
          <w:bCs/>
        </w:rPr>
        <w:t xml:space="preserve">per-gene metadata is optional enrichment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interpretation layer</w:t>
      </w:r>
      <w:r>
        <w:t xml:space="preserve"> </w:t>
      </w:r>
      <w:r>
        <w:t xml:space="preserve">(CNV / STR / paralog / gene-set burden) consumes; absent it, those</w:t>
      </w:r>
      <w:r>
        <w:t xml:space="preserve"> </w:t>
      </w:r>
      <w:r>
        <w:t xml:space="preserve">features degrade gracefully rather than failing.</w:t>
      </w:r>
    </w:p>
    <w:p>
      <w:pPr>
        <w:pStyle w:val="BodyText"/>
      </w:pPr>
      <w:r>
        <w:rPr>
          <w:b/>
          <w:bCs/>
        </w:rPr>
        <w:t xml:space="preserve">What each metadata field unlocks, and the behavior when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2"/>
        <w:gridCol w:w="3080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Metadata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is_str_target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str_loci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genotyping (ExpansionHunter 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stage produces nothing / skips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is_paralog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 flagging 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paralog flags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is_cnv_target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 as CNV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still made, just unlabelled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cnv_callable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_reason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callable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breakpoint_blind_low_confidence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unknown_confidence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burden (collapse by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collapses</w:t>
            </w:r>
            <w:r>
              <w:t xml:space="preserve"> </w:t>
            </w:r>
            <w:r>
              <w:rPr>
                <w:b/>
                <w:bCs/>
              </w:rPr>
              <w:t xml:space="preserve">per-gene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off_target_frac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low_coverage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specificity / coverage QC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blank (not assessed)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--target_bed</w:t>
      </w:r>
      <w:r>
        <w:t xml:space="preserve"> </w:t>
      </w:r>
      <w:r>
        <w:t xml:space="preserve">is always required (it defines the regions). The BED’s column-4 name 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,</w:t>
      </w:r>
      <w:r>
        <w:t xml:space="preserve"> </w:t>
      </w:r>
      <w:r>
        <w:rPr>
          <w:rStyle w:val="VerbatimChar"/>
        </w:rPr>
        <w:t xml:space="preserve">HMOX1|str</w:t>
      </w:r>
      <w:r>
        <w:t xml:space="preserve">); classes seed the per-gene table.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gene_metadata.tsv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(one row per gene; produced by either on-ramp below):</w:t>
      </w:r>
    </w:p>
    <w:p>
      <w:pPr>
        <w:pStyle w:val="SourceCode"/>
      </w:pPr>
      <w:r>
        <w:rPr>
          <w:rStyle w:val="VerbatimChar"/>
        </w:rPr>
        <w:t xml:space="preserve">gene  classes  n_intervals n_coding n_promoter n_anchor n_str n_cnv  is_cnv_target cnv_callable cnv_callable_reason  is_str_target str_loci  is_paralog off_target_frac low_coverage burden_group</w:t>
      </w:r>
    </w:p>
    <w:p>
      <w:pPr>
        <w:pStyle w:val="FirstParagraph"/>
      </w:pPr>
      <w:r>
        <w:t xml:space="preserve">A hand-authored</w:t>
      </w:r>
      <w:r>
        <w:t xml:space="preserve"> </w:t>
      </w:r>
      <w:r>
        <w:rPr>
          <w:b/>
          <w:bCs/>
        </w:rPr>
        <w:t xml:space="preserve">minimal example</w:t>
      </w:r>
      <w:r>
        <w:t xml:space="preserve"> </w:t>
      </w:r>
      <w:r>
        <w:t xml:space="preserve">(two genes: a paralog flag on</w:t>
      </w:r>
      <w:r>
        <w:t xml:space="preserve"> </w:t>
      </w:r>
      <w:r>
        <w:rPr>
          <w:rStyle w:val="VerbatimChar"/>
        </w:rPr>
        <w:t xml:space="preserve">CD209</w:t>
      </w:r>
      <w:r>
        <w:t xml:space="preserve">, a burden group on</w:t>
      </w:r>
      <w:r>
        <w:t xml:space="preserve"> </w:t>
      </w:r>
      <w:r>
        <w:t xml:space="preserve">both, everything design-specific left at its safe default):</w:t>
      </w:r>
    </w:p>
    <w:p>
      <w:pPr>
        <w:pStyle w:val="SourceCode"/>
      </w:pPr>
      <w:r>
        <w:rPr>
          <w:rStyle w:val="VerbatimChar"/>
        </w:rPr>
        <w:t xml:space="preserve">gene    classes n_intervals n_coding    n_promoter  n_anchor    n_str   n_cnv   is_cnv_target   cnv_callable    cnv_callable_reason is_str_target   str_loci    is_paralog  off_target_frac low_coverage    burden_group</w:t>
      </w:r>
      <w:r>
        <w:br/>
      </w:r>
      <w:r>
        <w:rPr>
          <w:rStyle w:val="VerbatimChar"/>
        </w:rPr>
        <w:t xml:space="preserve">CD209   coding  1   1   0   0   0   0   no  n/a     no      yes         COMPLEMENT</w:t>
      </w:r>
      <w:r>
        <w:br/>
      </w:r>
      <w:r>
        <w:rPr>
          <w:rStyle w:val="VerbatimChar"/>
        </w:rPr>
        <w:t xml:space="preserve">CFH cnv,coding  2   1   0   0   0   1   yes unknown user_declared_not_design_derived    no      no          COMPLEMENT</w:t>
      </w:r>
    </w:p>
    <w:p>
      <w:pPr>
        <w:pStyle w:val="FirstParagraph"/>
      </w:pPr>
      <w:r>
        <w:rPr>
          <w:b/>
          <w:bCs/>
        </w:rPr>
        <w:t xml:space="preserve">Two on-ramps — both emit this identical schema: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Generate it (no CaptureForge):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from a</w:t>
      </w:r>
      <w:r>
        <w:t xml:space="preserve"> </w:t>
      </w:r>
      <w:r>
        <w:t xml:space="preserve">gene list and/or the target BED, plus your own declarations: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metadata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--bed</w:t>
      </w:r>
      <w:r>
        <w:rPr>
          <w:rStyle w:val="NormalTok"/>
        </w:rPr>
        <w:t xml:space="preserve"> /panel/targets.bed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--cnv-genes</w:t>
      </w:r>
      <w:r>
        <w:rPr>
          <w:rStyle w:val="NormalTok"/>
        </w:rPr>
        <w:t xml:space="preserve"> CFH,CR1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--paralog-genes</w:t>
      </w:r>
      <w:r>
        <w:rPr>
          <w:rStyle w:val="NormalTok"/>
        </w:rPr>
        <w:t xml:space="preserve"> CD209,CFH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--str-loci</w:t>
      </w:r>
      <w:r>
        <w:rPr>
          <w:rStyle w:val="NormalTok"/>
        </w:rPr>
        <w:t xml:space="preserve"> str_loci.tsv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--burden-groups</w:t>
      </w:r>
      <w:r>
        <w:rPr>
          <w:rStyle w:val="NormalTok"/>
        </w:rPr>
        <w:t xml:space="preserve"> burden_groups.tsv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--out-tsv</w:t>
      </w:r>
      <w:r>
        <w:rPr>
          <w:rStyle w:val="NormalTok"/>
        </w:rPr>
        <w:t xml:space="preserve"> gene_metadata.tsv</w:t>
      </w:r>
    </w:p>
    <w:p>
      <w:pPr>
        <w:numPr>
          <w:ilvl w:val="0"/>
          <w:numId w:val="1000"/>
        </w:numPr>
      </w:pPr>
      <w:r>
        <w:t xml:space="preserve">It writes a reconciliation report (genes in the BED with no metadata, declared genes absent</w:t>
      </w:r>
      <w:r>
        <w:t xml:space="preserve"> </w:t>
      </w:r>
      <w:r>
        <w:t xml:space="preserve">from the BED with near-miss hints, duplicates) and</w:t>
      </w:r>
      <w:r>
        <w:t xml:space="preserve"> </w:t>
      </w:r>
      <w:r>
        <w:rPr>
          <w:b/>
          <w:bCs/>
        </w:rPr>
        <w:t xml:space="preserve">exits non-zero on hard problems</w:t>
      </w:r>
      <w:r>
        <w:t xml:space="preserve"> </w:t>
      </w:r>
      <w:r>
        <w:t xml:space="preserve">(duplicate gene, malformed STR locus). It</w:t>
      </w:r>
      <w:r>
        <w:t xml:space="preserve"> </w:t>
      </w:r>
      <w:r>
        <w:rPr>
          <w:b/>
          <w:bCs/>
        </w:rPr>
        <w:t xml:space="preserve">never invents</w:t>
      </w:r>
      <w:r>
        <w:t xml:space="preserve"> </w:t>
      </w:r>
      <w:r>
        <w:t xml:space="preserve">the fields it cannot know: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cnv_callable_reason=user_declared_not_design_derived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off_target_frac</w:t>
      </w:r>
      <w:r>
        <w:t xml:space="preserve">/</w:t>
      </w:r>
      <w:r>
        <w:rPr>
          <w:rStyle w:val="VerbatimChar"/>
        </w:rPr>
        <w:t xml:space="preserve">low_coverage</w:t>
      </w:r>
      <w:r>
        <w:t xml:space="preserve"> </w:t>
      </w:r>
      <w:r>
        <w:t xml:space="preserve">are left blank, and</w:t>
      </w:r>
      <w:r>
        <w:t xml:space="preserve"> </w:t>
      </w:r>
      <w:r>
        <w:rPr>
          <w:rStyle w:val="VerbatimChar"/>
          <w:b/>
          <w:bCs/>
        </w:rPr>
        <w:t xml:space="preserve">burden_group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auto-assigned</w:t>
      </w:r>
      <w:r>
        <w:t xml:space="preserve"> </w:t>
      </w:r>
      <w:r>
        <w:t xml:space="preserve">(blank → per-gene burden), exactly as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is never auto-filled (§5.1). Then pass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--gene_metadata gene_metadata.tsv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as needed).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From CaptureForge:</w:t>
      </w:r>
      <w:r>
        <w:t xml:space="preserve"> </w:t>
      </w:r>
      <w:r>
        <w:t xml:space="preserve">point CallForge at the as-built handoff and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derives the same table (including design-derived callability):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b/>
          <w:bCs/>
        </w:rPr>
        <w:t xml:space="preserve">The one genuine complement.</w:t>
      </w:r>
      <w:r>
        <w:t xml:space="preserve"> </w:t>
      </w:r>
      <w:r>
        <w:t xml:space="preserve">A generic generator can reproduce most of the enrichment,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CaptureForge’s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/ breakpoint-blindness labels: those encode</w:t>
      </w:r>
      <w:r>
        <w:t xml:space="preserve"> </w:t>
      </w:r>
      <w:r>
        <w:rPr>
          <w:b/>
          <w:bCs/>
        </w:rPr>
        <w:t xml:space="preserve">capture-design-specific</w:t>
      </w:r>
      <w:r>
        <w:t xml:space="preserve"> </w:t>
      </w:r>
      <w:r>
        <w:t xml:space="preserve">knowledge (which CNV breakpoints the bait layout can actually</w:t>
      </w:r>
      <w:r>
        <w:t xml:space="preserve"> </w:t>
      </w:r>
      <w:r>
        <w:t xml:space="preserve">resolve) that no gene list or annotation can recreate.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honestly marks CNV</w:t>
      </w:r>
      <w:r>
        <w:t xml:space="preserve"> </w:t>
      </w:r>
      <w:r>
        <w:t xml:space="preserve">callability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; CaptureForge’s design-derived callability is its value-add.</w:t>
      </w:r>
      <w:r>
        <w:t xml:space="preserve"> </w:t>
      </w:r>
      <w:r>
        <w:rPr>
          <w:i/>
          <w:iCs/>
        </w:rPr>
        <w:t xml:space="preserve">(Auto-flagging paralogs/STRs from public databases is a planned future enhancement; today</w:t>
      </w:r>
      <w:r>
        <w:rPr>
          <w:i/>
          <w:iCs/>
        </w:rPr>
        <w:t xml:space="preserve"> </w:t>
      </w:r>
      <w:r>
        <w:rPr>
          <w:i/>
          <w:iCs/>
        </w:rPr>
        <w:t xml:space="preserve">those flags are user-declared.)</w:t>
      </w:r>
    </w:p>
    <w:bookmarkEnd w:id="21"/>
    <w:bookmarkStart w:id="22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2"/>
    <w:bookmarkEnd w:id="23"/>
    <w:bookmarkStart w:id="30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4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4"/>
    <w:bookmarkStart w:id="25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5"/>
    <w:bookmarkStart w:id="26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6"/>
    <w:bookmarkStart w:id="27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7"/>
    <w:bookmarkStart w:id="28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8"/>
    <w:bookmarkStart w:id="29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9"/>
    <w:bookmarkEnd w:id="30"/>
    <w:bookmarkStart w:id="32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(full, one machine;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 alias),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Start w:id="31" w:name="compute-resources"/>
    <w:p>
      <w:pPr>
        <w:pStyle w:val="Heading2"/>
      </w:pPr>
      <w:r>
        <w:t xml:space="preserve">7.1 Compute resources</w:t>
      </w:r>
    </w:p>
    <w:p>
      <w:pPr>
        <w:pStyle w:val="FirstParagraph"/>
      </w:pPr>
      <w:r>
        <w:t xml:space="preserve">CallForge uses Nextflow’s</w:t>
      </w:r>
      <w:r>
        <w:t xml:space="preserve"> </w:t>
      </w:r>
      <w:r>
        <w:rPr>
          <w:b/>
          <w:bCs/>
        </w:rPr>
        <w:t xml:space="preserve">per-process</w:t>
      </w:r>
      <w:r>
        <w:t xml:space="preserve"> </w:t>
      </w:r>
      <w:r>
        <w:t xml:space="preserve">resource model, not one global</w:t>
      </w:r>
      <w:r>
        <w:t xml:space="preserve"> </w:t>
      </w:r>
      <w:r>
        <w:rPr>
          <w:rStyle w:val="VerbatimChar"/>
        </w:rPr>
        <w:t xml:space="preserve">--threads</w:t>
      </w:r>
      <w:r>
        <w:t xml:space="preserve">: each</w:t>
      </w:r>
      <w:r>
        <w:t xml:space="preserve"> </w:t>
      </w:r>
      <w:r>
        <w:t xml:space="preserve">stage declares the CPUs/memory it needs via a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large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), and the tools receive those cores — e.g. </w:t>
      </w:r>
      <w:r>
        <w:rPr>
          <w:rStyle w:val="VerbatimChar"/>
        </w:rPr>
        <w:t xml:space="preserve">bwa-mem2 mem -t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samtools sort -@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fastp --thread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mosdepth -t</w:t>
      </w:r>
      <w:r>
        <w:t xml:space="preserve">,</w:t>
      </w:r>
      <w:r>
        <w:t xml:space="preserve"> </w:t>
      </w:r>
      <w:r>
        <w:rPr>
          <w:rStyle w:val="VerbatimChar"/>
        </w:rPr>
        <w:t xml:space="preserve">CNVkit -p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GenomicsDBImport --reader-threads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HaplotypeCaller --native-pair-hmm-threads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DeepVariant --num_shards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GLnexus --threads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VEP --fork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ExpansionHunter --threads</w:t>
      </w:r>
      <w:r>
        <w:t xml:space="preserve"> </w:t>
      </w:r>
      <w:r>
        <w:t xml:space="preserve">(all wired to the process</w:t>
      </w:r>
      <w:r>
        <w:t xml:space="preserve"> </w:t>
      </w:r>
      <w:r>
        <w:rPr>
          <w:rStyle w:val="VerbatimChar"/>
        </w:rPr>
        <w:t xml:space="preserve">cpus</w:t>
      </w:r>
      <w:r>
        <w:t xml:space="preserve">). A few tools are</w:t>
      </w:r>
      <w:r>
        <w:t xml:space="preserve"> </w:t>
      </w:r>
      <w:r>
        <w:t xml:space="preserve">single-threaded by design (Picard MarkDuplicates/CollectHsMetrics, GATK GenotypeGVCFs).</w:t>
      </w:r>
    </w:p>
    <w:p>
      <w:pPr>
        <w:pStyle w:val="BodyText"/>
      </w:pPr>
      <w:r>
        <w:rPr>
          <w:b/>
          <w:bCs/>
        </w:rPr>
        <w:t xml:space="preserve">Single-machine ceilings (the laptop knob).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profile, total concurrent use</w:t>
      </w:r>
      <w:r>
        <w:t xml:space="preserve"> </w:t>
      </w:r>
      <w:r>
        <w:t xml:space="preserve">is capped by two params — set</w:t>
      </w:r>
      <w:r>
        <w:t xml:space="preserve"> </w:t>
      </w:r>
      <w:r>
        <w:t xml:space="preserve">“use at most N cores / M GB”</w:t>
      </w:r>
      <w:r>
        <w:t xml:space="preserve">, don’t micromanage each tool: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99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</w:t>
            </w:r>
            <w:r>
              <w:rPr>
                <w:rStyle w:val="VerbatimChar"/>
              </w:rPr>
              <w:t xml:space="preserve">local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cores CallForge uses at once on this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24.GB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memory used at once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 4-core / 8 GB laptop: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--max_cpus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--max_memory</w:t>
      </w:r>
      <w:r>
        <w:rPr>
          <w:rStyle w:val="NormalTok"/>
        </w:rPr>
        <w:t xml:space="preserve"> 8.GB</w:t>
      </w:r>
    </w:p>
    <w:p>
      <w:pPr>
        <w:pStyle w:val="FirstParagraph"/>
      </w:pPr>
      <w:r>
        <w:t xml:space="preserve">These feed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executor’s total</w:t>
      </w:r>
      <w:r>
        <w:t xml:space="preserve"> </w:t>
      </w:r>
      <w:r>
        <w:rPr>
          <w:rStyle w:val="VerbatimChar"/>
        </w:rPr>
        <w:t xml:space="preserve">cpus</w:t>
      </w:r>
      <w:r>
        <w:t xml:space="preserve">/</w:t>
      </w:r>
      <w:r>
        <w:rPr>
          <w:rStyle w:val="VerbatimChar"/>
        </w:rPr>
        <w:t xml:space="preserve">memory</w:t>
      </w:r>
      <w:r>
        <w:t xml:space="preserve">, and every per-stage request is</w:t>
      </w:r>
      <w:r>
        <w:t xml:space="preserve"> </w:t>
      </w:r>
      <w:r>
        <w:rPr>
          <w:b/>
          <w:bCs/>
        </w:rPr>
        <w:t xml:space="preserve">clamped</w:t>
      </w:r>
      <w:r>
        <w:t xml:space="preserve"> </w:t>
      </w:r>
      <w:r>
        <w:t xml:space="preserve">to them (</w:t>
      </w:r>
      <w:r>
        <w:rPr>
          <w:rStyle w:val="VerbatimChar"/>
        </w:rPr>
        <w:t xml:space="preserve">[request, ceiling].min()</w:t>
      </w:r>
      <w:r>
        <w:t xml:space="preserve">), so no single task ever asks for more than</w:t>
      </w:r>
      <w:r>
        <w:t xml:space="preserve"> </w:t>
      </w:r>
      <w:r>
        <w:t xml:space="preserve">the machine is allowed to use.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instead requests resources</w:t>
      </w:r>
      <w:r>
        <w:t xml:space="preserve"> </w:t>
      </w:r>
      <w:r>
        <w:rPr>
          <w:b/>
          <w:bCs/>
        </w:rPr>
        <w:t xml:space="preserve">per SLURM</w:t>
      </w:r>
      <w:r>
        <w:rPr>
          <w:b/>
          <w:bCs/>
        </w:rP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get 16 cores) and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bound per-job sizes.</w:t>
      </w:r>
    </w:p>
    <w:p>
      <w:pPr>
        <w:pStyle w:val="BodyText"/>
      </w:pPr>
      <w:r>
        <w:rPr>
          <w:b/>
          <w:bCs/>
        </w:rPr>
        <w:t xml:space="preserve">Power-user escape hatches</w:t>
      </w:r>
      <w:r>
        <w:t xml:space="preserve"> </w:t>
      </w:r>
      <w:r>
        <w:t xml:space="preserve">(Nextflow-native): override one process with</w:t>
      </w:r>
      <w:r>
        <w:t xml:space="preserve"> </w:t>
      </w:r>
      <w:r>
        <w:rPr>
          <w:rStyle w:val="VerbatimChar"/>
        </w:rPr>
        <w:t xml:space="preserve">-process.cpus=N</w:t>
      </w:r>
      <w:r>
        <w:t xml:space="preserve">, or supply a custom config with</w:t>
      </w:r>
      <w:r>
        <w:t xml:space="preserve"> </w:t>
      </w:r>
      <w:r>
        <w:rPr>
          <w:rStyle w:val="VerbatimChar"/>
        </w:rPr>
        <w:t xml:space="preserve">-c my.config</w:t>
      </w:r>
      <w:r>
        <w:t xml:space="preserve"> </w:t>
      </w:r>
      <w:r>
        <w:t xml:space="preserve">(e.g. a</w:t>
      </w:r>
      <w:r>
        <w:t xml:space="preserve"> </w:t>
      </w:r>
      <w:r>
        <w:rPr>
          <w:rStyle w:val="VerbatimChar"/>
        </w:rPr>
        <w:t xml:space="preserve">withName:</w:t>
      </w:r>
      <w:r>
        <w:t xml:space="preserve"> </w:t>
      </w:r>
      <w:r>
        <w:t xml:space="preserve">block to</w:t>
      </w:r>
      <w:r>
        <w:t xml:space="preserve"> </w:t>
      </w:r>
      <w:r>
        <w:t xml:space="preserve">retune a specific process). The defaults live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(per-label) and each</w:t>
      </w:r>
      <w:r>
        <w:t xml:space="preserve"> </w:t>
      </w:r>
      <w:r>
        <w:t xml:space="preserve">profile’s</w:t>
      </w:r>
      <w:r>
        <w:t xml:space="preserve"> </w:t>
      </w:r>
      <w:r>
        <w:rPr>
          <w:rStyle w:val="VerbatimChar"/>
        </w:rPr>
        <w:t xml:space="preserve">conf/*.config</w:t>
      </w:r>
      <w:r>
        <w:t xml:space="preserve">.</w:t>
      </w:r>
    </w:p>
    <w:bookmarkEnd w:id="31"/>
    <w:bookmarkEnd w:id="32"/>
    <w:bookmarkStart w:id="46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4" w:name="X31f36e5fd51f61d898b60caf8db34ba3c2ea46d"/>
    <w:p>
      <w:pPr>
        <w:pStyle w:val="Heading2"/>
      </w:pPr>
      <w:r>
        <w:t xml:space="preserve">8.0 How to invoke CallForge (command hierarchy)</w:t>
      </w:r>
    </w:p>
    <w:p>
      <w:pPr>
        <w:pStyle w:val="FirstParagraph"/>
      </w:pPr>
      <w:r>
        <w:t xml:space="preserve">There are three equivalent ways to launch CallForge — all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pipeline. Lead</w:t>
      </w:r>
      <w:r>
        <w:t xml:space="preserve"> </w:t>
      </w:r>
      <w:r>
        <w:t xml:space="preserve">with the named command; drop to the raw forms only when you have not installed the CLI.</w:t>
      </w:r>
    </w:p>
    <w:p>
      <w:pPr>
        <w:pStyle w:val="BodyText"/>
      </w:pPr>
      <w:r>
        <w:rPr>
          <w:b/>
          <w:bCs/>
        </w:rPr>
        <w:t xml:space="preserve">Tier 1 — the named command (recommended,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pip install -e .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every flag after it is passed straight to Nextflow.</w:t>
      </w:r>
    </w:p>
    <w:p>
      <w:pPr>
        <w:pStyle w:val="SourceCode"/>
      </w:pPr>
      <w:r>
        <w:rPr>
          <w:rStyle w:val="CommentTok"/>
        </w:rPr>
        <w:t xml:space="preserve"># runs the full CallForge pipeline (FASTQ -&gt; annotated joint callset -&gt; burden)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SourceCode"/>
      </w:pPr>
      <w:r>
        <w:rPr>
          <w:rStyle w:val="CommentTok"/>
        </w:rPr>
        <w:t xml:space="preserve"># the same on an HPC cluster (SLURM + 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b/>
          <w:bCs/>
        </w:rPr>
        <w:t xml:space="preserve">Tier 2 — from GitHub without cloning</w:t>
      </w:r>
      <w:r>
        <w:t xml:space="preserve"> </w:t>
      </w:r>
      <w:r>
        <w:t xml:space="preserve">(Nextflow pulls the repo for you):</w:t>
      </w:r>
    </w:p>
    <w:p>
      <w:pPr>
        <w:pStyle w:val="SourceCode"/>
      </w:pPr>
      <w:r>
        <w:rPr>
          <w:rStyle w:val="CommentTok"/>
        </w:rPr>
        <w:t xml:space="preserve"># runs CallForge straight from GitHub; version-pin with -r &lt;tag/branch&gt;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aduton1000/callforge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v0.1.0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t xml:space="preserve">The GitHub account is</w:t>
      </w:r>
      <w:r>
        <w:t xml:space="preserve"> </w:t>
      </w:r>
      <w:r>
        <w:rPr>
          <w:b/>
          <w:bCs/>
        </w:rPr>
        <w:t xml:space="preserve">aduton1000</w:t>
      </w:r>
      <w:r>
        <w:t xml:space="preserve">. The repo is</w:t>
      </w:r>
      <w:r>
        <w:t xml:space="preserve"> </w:t>
      </w:r>
      <w:r>
        <w:rPr>
          <w:b/>
          <w:bCs/>
        </w:rPr>
        <w:t xml:space="preserve">currently private</w:t>
      </w:r>
      <w:r>
        <w:t xml:space="preserve">, so this form</w:t>
      </w:r>
      <w:r>
        <w:t xml:space="preserve"> </w:t>
      </w:r>
      <w:r>
        <w:t xml:space="preserve">works only for users with repo access until it is made public; always pin a version with</w:t>
      </w:r>
      <w:r>
        <w:t xml:space="preserve"> </w:t>
      </w:r>
      <w:r>
        <w:rPr>
          <w:rStyle w:val="VerbatimChar"/>
        </w:rPr>
        <w:t xml:space="preserve">-r &lt;tag/branch&gt;</w:t>
      </w:r>
      <w:r>
        <w:t xml:space="preserve"> </w:t>
      </w:r>
      <w:r>
        <w:t xml:space="preserve">for reproducibility.</w:t>
      </w:r>
    </w:p>
    <w:p>
      <w:pPr>
        <w:pStyle w:val="BodyText"/>
      </w:pPr>
      <w:r>
        <w:rPr>
          <w:b/>
          <w:bCs/>
        </w:rPr>
        <w:t xml:space="preserve">Tier 3 — from a cloned repo (developers):</w:t>
      </w:r>
    </w:p>
    <w:p>
      <w:pPr>
        <w:pStyle w:val="SourceCode"/>
      </w:pPr>
      <w:r>
        <w:rPr>
          <w:rStyle w:val="CommentTok"/>
        </w:rPr>
        <w:t xml:space="preserve"># runs CallForge from inside the clone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CallForge’s entry script — it imports the subworkflows and wires the DAG,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runs the whole pipeline, but only from inside the repo directory.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(Tier 1) simply locates this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for you and runs it from anywhere.</w:t>
      </w:r>
    </w:p>
    <w:p>
      <w:pPr>
        <w:pStyle w:val="BodyText"/>
      </w:pPr>
      <w:r>
        <w:t xml:space="preserve">In every tier,</w:t>
      </w:r>
      <w:r>
        <w:t xml:space="preserve"> </w:t>
      </w:r>
      <w:r>
        <w:rPr>
          <w:rStyle w:val="VerbatimChar"/>
        </w:rPr>
        <w:t xml:space="preserve">params.full.yaml</w:t>
      </w:r>
      <w:r>
        <w:t xml:space="preserve"> </w:t>
      </w:r>
      <w:r>
        <w:t xml:space="preserve">supplies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genome_fasta</w:t>
      </w:r>
      <w:r>
        <w:t xml:space="preserve">), the</w:t>
      </w:r>
      <w:r>
        <w:t xml:space="preserve"> </w:t>
      </w:r>
      <w:r>
        <w:rPr>
          <w:b/>
          <w:bCs/>
        </w:rPr>
        <w:t xml:space="preserve">target BED + CaptureForge 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target_bed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captureforge_dir</w:t>
      </w:r>
      <w:r>
        <w:t xml:space="preserve">), the</w:t>
      </w:r>
      <w:r>
        <w:t xml:space="preserve"> </w:t>
      </w:r>
      <w:r>
        <w:rPr>
          <w:b/>
          <w:bCs/>
        </w:rPr>
        <w:t xml:space="preserve">annotation resources</w:t>
      </w:r>
      <w:r>
        <w:t xml:space="preserve"> </w:t>
      </w:r>
      <w:r>
        <w:t xml:space="preserve">(resource directories), and the</w:t>
      </w:r>
      <w:r>
        <w:t xml:space="preserve"> </w:t>
      </w:r>
      <w:r>
        <w:rPr>
          <w:b/>
          <w:bCs/>
        </w:rPr>
        <w:t xml:space="preserve">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</w:t>
      </w:r>
      <w:r>
        <w:t xml:space="preserve">).</w:t>
      </w:r>
    </w:p>
    <w:bookmarkStart w:id="33" w:name="understanding-profiles"/>
    <w:p>
      <w:pPr>
        <w:pStyle w:val="Heading3"/>
      </w:pPr>
      <w:r>
        <w:t xml:space="preserve">Understanding profiles</w:t>
      </w:r>
    </w:p>
    <w:p>
      <w:pPr>
        <w:pStyle w:val="FirstParagraph"/>
      </w:pPr>
      <w:r>
        <w:t xml:space="preserve">A CallForge run composes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profiles with a comma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and 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Execution</w:t>
      </w:r>
      <w:r>
        <w:t xml:space="preserve"> </w:t>
      </w:r>
      <w:r>
        <w:t xml:space="preserve">(where it runs):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= this single machine,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= a</w:t>
      </w:r>
      <w:r>
        <w:t xml:space="preserve"> </w:t>
      </w:r>
      <w:r>
        <w:t xml:space="preserve">SLURM cluster.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works on</w:t>
      </w:r>
      <w:r>
        <w:t xml:space="preserve"> </w:t>
      </w:r>
      <w:r>
        <w:rPr>
          <w:b/>
          <w:bCs/>
        </w:rPr>
        <w:t xml:space="preserve">any single Linux or macOS machine (Windows via WSL2)</w:t>
      </w:r>
      <w:r>
        <w:t xml:space="preserve"> </w:t>
      </w:r>
      <w:r>
        <w:t xml:space="preserve">—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Mac-specific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developer-only (the name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</w:t>
      </w:r>
      <w:r>
        <w:t xml:space="preserve"> </w:t>
      </w:r>
      <w:r>
        <w:t xml:space="preserve">alias kept for backward compatibility).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caps total resource use at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(§Compute resources);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requests resources per SLURM job.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(how dependencies are provided):</w:t>
      </w:r>
      <w:r>
        <w:t xml:space="preserve"> </w:t>
      </w:r>
      <w:r>
        <w:rPr>
          <w:rStyle w:val="VerbatimChar"/>
          <w:b/>
          <w:bCs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docker</w:t>
      </w:r>
      <w:r>
        <w:t xml:space="preserve">, or</w:t>
      </w:r>
      <w:r>
        <w:t xml:space="preserve"> </w:t>
      </w:r>
      <w:r>
        <w:rPr>
          <w:rStyle w:val="VerbatimChar"/>
          <w:b/>
          <w:bCs/>
        </w:rPr>
        <w:t xml:space="preserve">apptainer</w:t>
      </w:r>
      <w:r>
        <w:t xml:space="preserve"> </w:t>
      </w:r>
      <w:r>
        <w:t xml:space="preserve">— Nextflow activates the right per-stage env/container automatically (§4.4).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 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  </w:t>
      </w:r>
      <w:r>
        <w:rPr>
          <w:rStyle w:val="CommentTok"/>
        </w:rPr>
        <w:t xml:space="preserve"># this machine, conda envs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CommentTok"/>
        </w:rPr>
        <w:t xml:space="preserve"># SLURM cluster, Apptainer images</w:t>
      </w:r>
    </w:p>
    <w:p>
      <w:pPr>
        <w:pStyle w:val="FirstParagraph"/>
      </w:pPr>
      <w:r>
        <w:rPr>
          <w:rStyle w:val="VerbatimChar"/>
        </w:rPr>
        <w:t xml:space="preserve">local,conda</w:t>
      </w:r>
      <w:r>
        <w:t xml:space="preserve"> </w:t>
      </w:r>
      <w:r>
        <w:t xml:space="preserve">=</w:t>
      </w:r>
      <w:r>
        <w:t xml:space="preserve"> </w:t>
      </w:r>
      <w:r>
        <w:t xml:space="preserve">“run here, build each stage’s conda env”</w:t>
      </w:r>
      <w:r>
        <w:t xml:space="preserve">;</w:t>
      </w:r>
      <w:r>
        <w:t xml:space="preserve"> </w:t>
      </w:r>
      <w:r>
        <w:rPr>
          <w:rStyle w:val="VerbatimChar"/>
        </w:rPr>
        <w:t xml:space="preserve">hpc_slurm,apptainer</w:t>
      </w:r>
      <w:r>
        <w:t xml:space="preserve"> </w:t>
      </w:r>
      <w:r>
        <w:t xml:space="preserve">=</w:t>
      </w:r>
      <w:r>
        <w:t xml:space="preserve"> </w:t>
      </w:r>
      <w:r>
        <w:t xml:space="preserve">“submit</w:t>
      </w:r>
      <w:r>
        <w:t xml:space="preserve"> </w:t>
      </w:r>
      <w:r>
        <w:t xml:space="preserve">SLURM jobs, run each stage in its Apptainer image”</w:t>
      </w:r>
      <w:r>
        <w:t xml:space="preserve">. Mix to taste (e.g. </w:t>
      </w:r>
      <w:r>
        <w:rPr>
          <w:rStyle w:val="VerbatimChar"/>
        </w:rPr>
        <w:t xml:space="preserve">local,docker</w:t>
      </w:r>
      <w:r>
        <w:t xml:space="preserve"> </w:t>
      </w:r>
      <w:r>
        <w:t xml:space="preserve">for the</w:t>
      </w:r>
      <w:r>
        <w:t xml:space="preserve"> </w:t>
      </w:r>
      <w:r>
        <w:t xml:space="preserve">VEP/hap.py containers on a workstation).</w:t>
      </w:r>
    </w:p>
    <w:bookmarkEnd w:id="33"/>
    <w:bookmarkEnd w:id="34"/>
    <w:bookmarkStart w:id="35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CommentTok"/>
        </w:rPr>
        <w:t xml:space="preserve"># build a tiny fixture, then run all 16 stages of CallForge in minutes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5"/>
    <w:bookmarkStart w:id="36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CallForge (full pipeline)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6"/>
    <w:bookmarkStart w:id="37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7"/>
    <w:bookmarkStart w:id="38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8"/>
    <w:bookmarkStart w:id="39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9"/>
    <w:bookmarkStart w:id="40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40"/>
    <w:bookmarkStart w:id="41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41"/>
    <w:bookmarkStart w:id="42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42"/>
    <w:bookmarkStart w:id="43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43"/>
    <w:bookmarkStart w:id="45" w:name="X167e637decc32e3006546f1caffb618ce05f0a7"/>
    <w:p>
      <w:pPr>
        <w:pStyle w:val="Heading2"/>
      </w:pPr>
      <w:r>
        <w:t xml:space="preserve">8.10 Stage subcommands (run one stage standalone)</w:t>
      </w:r>
    </w:p>
    <w:p>
      <w:pPr>
        <w:pStyle w:val="FirstParagraph"/>
      </w:pPr>
      <w:r>
        <w:t xml:space="preserve">Sometimes you only want to re-run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stage on its own inputs — re-annotate after an</w:t>
      </w:r>
      <w:r>
        <w:t xml:space="preserve"> </w:t>
      </w:r>
      <w:r>
        <w:t xml:space="preserve">annotation-database update, re-run burden with new thresholds, re-call CNV — without</w:t>
      </w:r>
      <w:r>
        <w:t xml:space="preserve"> </w:t>
      </w:r>
      <w:r>
        <w:t xml:space="preserve">repeating the whole pipeline. Each analytical stage is exposed as</w:t>
      </w:r>
      <w:r>
        <w:t xml:space="preserve"> </w:t>
      </w:r>
      <w:r>
        <w:rPr>
          <w:rStyle w:val="VerbatimChar"/>
        </w:rPr>
        <w:t xml:space="preserve">callforge &lt;stage&gt;</w:t>
      </w:r>
      <w:r>
        <w:t xml:space="preserve">,</w:t>
      </w:r>
      <w:r>
        <w:t xml:space="preserve"> </w:t>
      </w:r>
      <w:r>
        <w:t xml:space="preserve">which runs</w:t>
      </w:r>
      <w:r>
        <w:t xml:space="preserve"> </w:t>
      </w:r>
      <w:r>
        <w:rPr>
          <w:rStyle w:val="VerbatimChar"/>
        </w:rPr>
        <w:t xml:space="preserve">nextflow run main.nf --stage &lt;stage&gt;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 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:</w:t>
      </w:r>
      <w:r>
        <w:t xml:space="preserve"> </w:t>
      </w:r>
      <w:r>
        <w:t xml:space="preserve">portable across Nextflow versions).</w:t>
      </w:r>
      <w:r>
        <w:t xml:space="preserve"> </w:t>
      </w:r>
      <w:r>
        <w:rPr>
          <w:b/>
          <w:bCs/>
        </w:rPr>
        <w:t xml:space="preserve">Every stage subcommand invokes the exact same module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pipeline uses</w:t>
      </w:r>
      <w:r>
        <w:t xml:space="preserve"> </w:t>
      </w:r>
      <w:r>
        <w:t xml:space="preserve">— standalone and in-pipeline execution are the same code path, so</w:t>
      </w:r>
      <w:r>
        <w:t xml:space="preserve"> </w:t>
      </w:r>
      <w:r>
        <w:t xml:space="preserve">results never depend on how the stage was launched.</w:t>
      </w:r>
    </w:p>
    <w:p>
      <w:pPr>
        <w:pStyle w:val="BodyText"/>
      </w:pPr>
      <w:r>
        <w:t xml:space="preserve">Three things hold for every stage subcommand: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Non-destructive by default.</w:t>
      </w:r>
      <w:r>
        <w:t xml:space="preserve"> </w:t>
      </w:r>
      <w:r>
        <w:t xml:space="preserve">Output goes to a fresh</w:t>
      </w:r>
      <w:r>
        <w:t xml:space="preserve"> </w:t>
      </w:r>
      <w:r>
        <w:rPr>
          <w:rStyle w:val="VerbatimChar"/>
        </w:rPr>
        <w:t xml:space="preserve">results/standalone/&lt;stage&gt;_&lt;timestamp&gt;/</w:t>
      </w:r>
      <w:r>
        <w:t xml:space="preserve"> </w:t>
      </w:r>
      <w:r>
        <w:t xml:space="preserve">so a re-run never overwrites the pipeline’s</w:t>
      </w:r>
      <w:r>
        <w:t xml:space="preserve"> </w:t>
      </w:r>
      <w:r>
        <w:rPr>
          <w:rStyle w:val="VerbatimChar"/>
        </w:rPr>
        <w:t xml:space="preserve">results/stageXX_*</w:t>
      </w:r>
      <w:r>
        <w:t xml:space="preserve">. Override with</w:t>
      </w:r>
      <w:r>
        <w:t xml:space="preserve"> </w:t>
      </w:r>
      <w:r>
        <w:rPr>
          <w:rStyle w:val="VerbatimChar"/>
        </w:rPr>
        <w:t xml:space="preserve">--outdir &lt;dir&gt;</w:t>
      </w:r>
      <w:r>
        <w:t xml:space="preserve">,</w:t>
      </w:r>
      <w:r>
        <w:t xml:space="preserve"> </w:t>
      </w:r>
      <w:r>
        <w:t xml:space="preserve">or opt into updating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in place with</w:t>
      </w:r>
      <w:r>
        <w:t xml:space="preserve"> </w:t>
      </w:r>
      <w:r>
        <w:rPr>
          <w:rStyle w:val="VerbatimChar"/>
        </w:rPr>
        <w:t xml:space="preserve">--in-place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Each stage emits its own report + provenance</w:t>
      </w:r>
      <w:r>
        <w:t xml:space="preserve"> </w:t>
      </w:r>
      <w:r>
        <w:t xml:space="preserve">in its stage dir: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(key metrics + that stage’s QC plots with captions) and</w:t>
      </w:r>
      <w:r>
        <w:t xml:space="preserve"> </w:t>
      </w:r>
      <w:r>
        <w:rPr>
          <w:rStyle w:val="VerbatimChar"/>
        </w:rPr>
        <w:t xml:space="preserve">&lt;stage&gt;_provenance.json</w:t>
      </w:r>
      <w:r>
        <w:t xml:space="preserve"> </w:t>
      </w:r>
      <w:r>
        <w:t xml:space="preserve">(inputs + checksums, parameters, tool versions, git commit).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 are validated fail-loud</w:t>
      </w:r>
      <w:r>
        <w:t xml:space="preserve"> </w:t>
      </w:r>
      <w:r>
        <w:t xml:space="preserve">before the stage runs (index/contig agreement, the</w:t>
      </w:r>
      <w:r>
        <w:t xml:space="preserve"> </w:t>
      </w:r>
      <w:r>
        <w:t xml:space="preserve">reference invariant and DB scope gate where relevant, phenotype for burden), exiting</w:t>
      </w:r>
      <w:r>
        <w:t xml:space="preserve"> </w:t>
      </w:r>
      <w:r>
        <w:t xml:space="preserve">non-zero on a mismatch.</w:t>
      </w:r>
    </w:p>
    <w:p>
      <w:pPr>
        <w:pStyle w:val="FirstParagraph"/>
      </w:pPr>
      <w:r>
        <w:rPr>
          <w:rStyle w:val="VerbatimChar"/>
        </w:rPr>
        <w:t xml:space="preserve">callforge &lt;stage&gt; --help</w:t>
      </w:r>
      <w:r>
        <w:t xml:space="preserve"> </w:t>
      </w:r>
      <w:r>
        <w:t xml:space="preserve">prints that stage’s required + optional input files.</w:t>
      </w:r>
    </w:p>
    <w:p>
      <w:pPr>
        <w:pStyle w:val="BodyText"/>
      </w:pPr>
      <w:r>
        <w:t xml:space="preserve">Key-output filenames below are relative to the stage’s own output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stageXX_…/</w:t>
      </w:r>
      <w:r>
        <w:t xml:space="preserve">), e.g. 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stage4_postalign/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stage11_annotation/</w:t>
      </w:r>
      <w:r>
        <w:t xml:space="preserve">. Each stage also writes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_provenance.json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1793"/>
        <w:gridCol w:w="2839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input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align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--fastq_1/2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&lt;sample&gt;.analysis.bam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rate, insert size, dup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rPr>
                <w:i/>
                <w:iCs/>
              </w:rPr>
              <w:t xml:space="preserve">(per-sample → 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qc_scorecard.tsv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qc_pass.txt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on-target enrichment, coverage uniformity, per-gene depth, coverage cumulative, QC 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</w:t>
            </w:r>
            <w:r>
              <w:t xml:space="preserve"> </w:t>
            </w:r>
            <w:r>
              <w:rPr>
                <w:i/>
                <w:iCs/>
              </w:rPr>
              <w:t xml:space="preserve">(joint)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 </w:t>
            </w:r>
            <w:r>
              <w:t xml:space="preserve">(QC-pass);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joint.filtered.vcf.gz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 per sample, Ti/Tv, het:hom, QUAL/DP, filter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cnv_calls.tsv</w:t>
            </w:r>
            <w:r>
              <w:t xml:space="preserve"> </w:t>
            </w:r>
            <w:r>
              <w:t xml:space="preserve">(callability-labelled)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ratio, calls per sample, callability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str_calls.tsv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allele sizes, call rate, read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</w:t>
            </w:r>
            <w:r>
              <w:t xml:space="preserve"> </w:t>
            </w:r>
            <w:r>
              <w:rPr>
                <w:i/>
                <w:iCs/>
              </w:rPr>
              <w:t xml:space="preserve">(joint 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paralog.annotated.vcf.gz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</w:t>
            </w:r>
            <w:r>
              <w:t xml:space="preserve"> </w:t>
            </w:r>
            <w:r>
              <w:rPr>
                <w:i/>
                <w:iCs/>
              </w:rPr>
              <w:t xml:space="preserve">(VCF)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annotated.vcf.gz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variants.flat.tsv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landing, consequence dist., novel vs known, gnomAD-AFR AF, PhyloP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cohortqc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--somalier_sites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cohort_qc.json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relatedness heatmap, ancestry PCA, sex check, missingness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giab</w:t>
            </w:r>
            <w:r>
              <w:t xml:space="preserve"> </w:t>
            </w:r>
            <w:r>
              <w:rPr>
                <w:i/>
                <w:iCs/>
              </w:rPr>
              <w:t xml:space="preserve">(control)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--giab_control_id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--giab_truth_vcf</w:t>
            </w:r>
            <w:r>
              <w:t xml:space="preserve">/</w:t>
            </w:r>
            <w:r>
              <w:rPr>
                <w:rStyle w:val="VerbatimChar"/>
              </w:rPr>
              <w:t xml:space="preserve">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happy.summary.csv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happy.runinfo.json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precision/recall,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(phenotype);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burden_results.tsv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Q–Q, Manhattan</w:t>
            </w:r>
          </w:p>
        </w:tc>
      </w:tr>
    </w:tbl>
    <w:p>
      <w:pPr>
        <w:pStyle w:val="BodyText"/>
      </w:pPr>
      <w:r>
        <w:t xml:space="preserve">Notable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inputs: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;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rPr>
          <w:rStyle w:val="VerbatimChar"/>
        </w:rPr>
        <w:t xml:space="preserve">--caller deepvariant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--joint_method</w:t>
      </w:r>
      <w:r>
        <w:t xml:space="preserve">;</w:t>
      </w:r>
      <w:r>
        <w:t xml:space="preserve"> </w:t>
      </w:r>
      <w:r>
        <w:rPr>
          <w:rStyle w:val="VerbatimChar"/>
        </w:rPr>
        <w:t xml:space="preserve">cnv</w:t>
      </w:r>
      <w:r>
        <w:t xml:space="preserve"> </w:t>
      </w:r>
      <w:r>
        <w:rPr>
          <w:rStyle w:val="VerbatimChar"/>
        </w:rPr>
        <w:t xml:space="preserve">--cnv_method</w:t>
      </w:r>
      <w:r>
        <w:t xml:space="preserve">/</w:t>
      </w:r>
      <w:r>
        <w:rPr>
          <w:rStyle w:val="VerbatimChar"/>
        </w:rPr>
        <w:t xml:space="preserve">--cnv_segment_method</w:t>
      </w:r>
      <w:r>
        <w:t xml:space="preserve"> </w:t>
      </w:r>
      <w:r>
        <w:t xml:space="preserve">(a different CNV</w:t>
      </w:r>
      <w:r>
        <w:t xml:space="preserve"> </w:t>
      </w:r>
      <w:r>
        <w:rPr>
          <w:i/>
          <w:iCs/>
        </w:rPr>
        <w:t xml:space="preserve">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gatk_gcnv</w:t>
      </w:r>
      <w:r>
        <w:t xml:space="preserve">, is documented but not yet wired — same as the pipeline);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/</w:t>
      </w:r>
      <w:r>
        <w:rPr>
          <w:rStyle w:val="VerbatimChar"/>
        </w:rPr>
        <w:t xml:space="preserve">--species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</w:t>
      </w:r>
      <w:r>
        <w:t xml:space="preserve"> </w:t>
      </w:r>
      <w:r>
        <w:rPr>
          <w:rStyle w:val="VerbatimChar"/>
        </w:rPr>
        <w:t xml:space="preserve">--burden_engine</w:t>
      </w:r>
      <w:r>
        <w:t xml:space="preserve">/</w:t>
      </w:r>
      <w:r>
        <w:rPr>
          <w:rStyle w:val="VerbatimChar"/>
        </w:rPr>
        <w:t xml:space="preserve">--burden_af_max</w:t>
      </w:r>
      <w:r>
        <w:t xml:space="preserve">/</w:t>
      </w:r>
      <w:r>
        <w:rPr>
          <w:rStyle w:val="VerbatimChar"/>
        </w:rPr>
        <w:t xml:space="preserve">--burden_csq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--cohort_qc_json</w:t>
      </w:r>
      <w:r>
        <w:t xml:space="preserve"> </w:t>
      </w:r>
      <w:r>
        <w:t xml:space="preserve">(ancestry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run). The CaptureForge</w:t>
      </w:r>
      <w:r>
        <w:t xml:space="preserve"> </w:t>
      </w:r>
      <w:r>
        <w:t xml:space="preserve">metadata (callability, STR catalog, paralog regions, burden groups) is rebuilt from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--cf_metrics_json</w:t>
      </w:r>
      <w:r>
        <w:t xml:space="preserve">/</w:t>
      </w:r>
      <w:r>
        <w:rPr>
          <w:rStyle w:val="VerbatimChar"/>
        </w:rPr>
        <w:t xml:space="preserve">--captureforge_dir</w:t>
      </w:r>
      <w:r>
        <w:t xml:space="preserve"> </w:t>
      </w:r>
      <w:r>
        <w:t xml:space="preserve">exactly as in-pipeline, so those</w:t>
      </w:r>
      <w:r>
        <w:t xml:space="preserve"> </w:t>
      </w:r>
      <w:r>
        <w:t xml:space="preserve">labels appear on standalone outputs too.</w:t>
      </w:r>
      <w:r>
        <w:t xml:space="preserve"> </w:t>
      </w:r>
      <w:r>
        <w:rPr>
          <w:rStyle w:val="VerbatimChar"/>
        </w:rPr>
        <w:t xml:space="preserve">paralog</w:t>
      </w:r>
      <w:r>
        <w:t xml:space="preserve"> </w:t>
      </w:r>
      <w:r>
        <w:t xml:space="preserve">uses the VCF’s own</w:t>
      </w:r>
      <w:r>
        <w:t xml:space="preserve"> </w:t>
      </w:r>
      <w:r>
        <w:rPr>
          <w:rStyle w:val="VerbatimChar"/>
        </w:rPr>
        <w:t xml:space="preserve">MQ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 BAMs);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BAMs (somalier/sex) and the joint VCF (missingness/PCA).</w:t>
      </w:r>
    </w:p>
    <w:bookmarkStart w:id="44" w:name="worked-examples"/>
    <w:p>
      <w:pPr>
        <w:pStyle w:val="Heading3"/>
      </w:pPr>
      <w:r>
        <w:t xml:space="preserve">Worked examples</w:t>
      </w:r>
    </w:p>
    <w:p>
      <w:pPr>
        <w:pStyle w:val="FirstParagraph"/>
      </w:pPr>
      <w:r>
        <w:rPr>
          <w:b/>
          <w:bCs/>
        </w:rPr>
        <w:t xml:space="preserve">1 — Re-annotate after an annotation-database update</w:t>
      </w:r>
      <w:r>
        <w:t xml:space="preserve"> </w:t>
      </w:r>
      <w:r>
        <w:t xml:space="preserve">(e.g. a new ClinVar release). Point</w:t>
      </w:r>
      <w:r>
        <w:t xml:space="preserve"> </w:t>
      </w:r>
      <w:r>
        <w:t xml:space="preserve">discovery at the updated database directory and re-run only Stage 11 on the existing</w:t>
      </w:r>
      <w:r>
        <w:t xml:space="preserve"> </w:t>
      </w:r>
      <w:r>
        <w:t xml:space="preserve">paralog-flagged callset: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anno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results/stage10_paralog/paralog.annotated.vcf.gz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--resource_dirs</w:t>
      </w:r>
      <w:r>
        <w:rPr>
          <w:rStyle w:val="NormalTok"/>
        </w:rPr>
        <w:t xml:space="preserve"> /refs/annotation_db_2025_06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results/standalone/anno_&lt;timestamp&gt;/stage11_annotation/annotated.vcf.gz</w:t>
      </w:r>
      <w:r>
        <w:br/>
      </w:r>
      <w:r>
        <w:rPr>
          <w:rStyle w:val="CommentTok"/>
        </w:rPr>
        <w:t xml:space="preserve">#    + variants.flat.tsv, anno_report.md, anno_provenance.json</w:t>
      </w:r>
    </w:p>
    <w:p>
      <w:pPr>
        <w:pStyle w:val="FirstParagraph"/>
      </w:pPr>
      <w:r>
        <w:rPr>
          <w:b/>
          <w:bCs/>
        </w:rPr>
        <w:t xml:space="preserve">2 — Re-run burden with a new AF cutoff, consequence set, and engine.</w:t>
      </w:r>
      <w:r>
        <w:t xml:space="preserve"> </w:t>
      </w:r>
      <w:r>
        <w:t xml:space="preserve">Reuse the annotated</w:t>
      </w:r>
      <w:r>
        <w:t xml:space="preserve"> </w:t>
      </w:r>
      <w:r>
        <w:t xml:space="preserve">callset; change only the thresholds/engine. Optionally reuse 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burden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results/stage11_annotation/annotated.vcf.gz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sample_sheet.csv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--burden_csq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'frameshift_variant,stop_gained,splice_acceptor_variant,splice_donor_variant'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--cohort_qc_json</w:t>
      </w:r>
      <w:r>
        <w:rPr>
          <w:rStyle w:val="NormalTok"/>
        </w:rPr>
        <w:t xml:space="preserve"> results/stage12_cohortqc/cohort_qc.json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results/standalone/burden_&lt;timestamp&gt;/stage14_burden/burden_results.tsv</w:t>
      </w:r>
      <w:r>
        <w:br/>
      </w:r>
      <w:r>
        <w:rPr>
          <w:rStyle w:val="CommentTok"/>
        </w:rPr>
        <w:t xml:space="preserve">#    (engine column stamps the method) + burden_report.md, burden_provenance.json</w:t>
      </w:r>
    </w:p>
    <w:p>
      <w:pPr>
        <w:pStyle w:val="FirstParagraph"/>
      </w:pPr>
      <w:r>
        <w:rPr>
          <w:b/>
          <w:bCs/>
        </w:rPr>
        <w:t xml:space="preserve">3 — Re-call CNV with different segmentation.</w:t>
      </w:r>
      <w:r>
        <w:t xml:space="preserve"> </w:t>
      </w:r>
      <w:r>
        <w:t xml:space="preserve">Re-run Stage 8 on the same BAMs with a</w:t>
      </w:r>
      <w:r>
        <w:t xml:space="preserve"> </w:t>
      </w:r>
      <w:r>
        <w:t xml:space="preserve">different CNVkit method/segmenter (the calls stay CaptureForge-callability-labelled):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cnv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--input_bams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'results/standalone/align_*/stage4_postalign/*.analysis.bam'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--cf_metrics_json</w:t>
      </w:r>
      <w:r>
        <w:rPr>
          <w:rStyle w:val="NormalTok"/>
        </w:rPr>
        <w:t xml:space="preserve"> /captureforge/results/full_run/stage9_qc/metrics.json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--cnv_method</w:t>
      </w:r>
      <w:r>
        <w:rPr>
          <w:rStyle w:val="NormalTok"/>
        </w:rPr>
        <w:t xml:space="preserve"> hybrid </w:t>
      </w:r>
      <w:r>
        <w:rPr>
          <w:rStyle w:val="AttributeTok"/>
        </w:rPr>
        <w:t xml:space="preserve">--cnv_segment_method</w:t>
      </w:r>
      <w:r>
        <w:rPr>
          <w:rStyle w:val="NormalTok"/>
        </w:rPr>
        <w:t xml:space="preserve"> cbs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results/standalone/cnv_&lt;timestamp&gt;/stage8_cnv/cnv_calls.tsv</w:t>
      </w:r>
      <w:r>
        <w:br/>
      </w:r>
      <w:r>
        <w:rPr>
          <w:rStyle w:val="CommentTok"/>
        </w:rPr>
        <w:t xml:space="preserve">#    (each call labelled callable | breakpoint_blind_low_confidence) + cnv_report.md</w:t>
      </w:r>
    </w:p>
    <w:p>
      <w:pPr>
        <w:pStyle w:val="FirstParagraph"/>
      </w:pPr>
      <w:r>
        <w:t xml:space="preserve">(The alternative SNV caller is available the same way:</w:t>
      </w:r>
      <w:r>
        <w:t xml:space="preserve"> </w:t>
      </w:r>
      <w:r>
        <w:rPr>
          <w:rStyle w:val="VerbatimChar"/>
        </w:rPr>
        <w:t xml:space="preserve">callforge call --caller deepvariant …</w:t>
      </w:r>
      <w:r>
        <w:t xml:space="preserve"> </w:t>
      </w:r>
      <w:r>
        <w:t xml:space="preserve">runs DeepVariant + GLnexus instead of GATK; see §8.8.)</w:t>
      </w:r>
    </w:p>
    <w:bookmarkEnd w:id="44"/>
    <w:bookmarkEnd w:id="45"/>
    <w:bookmarkEnd w:id="46"/>
    <w:bookmarkStart w:id="80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65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8" name="Picture"/>
            <a:graphic>
              <a:graphicData uri="http://schemas.openxmlformats.org/drawingml/2006/picture">
                <pic:pic>
                  <pic:nvPicPr>
                    <pic:cNvPr descr="figures/mapping_rat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51" name="Picture"/>
            <a:graphic>
              <a:graphicData uri="http://schemas.openxmlformats.org/drawingml/2006/picture">
                <pic:pic>
                  <pic:nvPicPr>
                    <pic:cNvPr descr="figures/on_target_enrichment_ontarge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54" name="Picture"/>
            <a:graphic>
              <a:graphicData uri="http://schemas.openxmlformats.org/drawingml/2006/picture">
                <pic:pic>
                  <pic:nvPicPr>
                    <pic:cNvPr descr="figures/on_target_enrichment_fol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7" name="Picture"/>
            <a:graphic>
              <a:graphicData uri="http://schemas.openxmlformats.org/drawingml/2006/picture">
                <pic:pic>
                  <pic:nvPicPr>
                    <pic:cNvPr descr="figures/coverage_uniformit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60" name="Picture"/>
            <a:graphic>
              <a:graphicData uri="http://schemas.openxmlformats.org/drawingml/2006/picture">
                <pic:pic>
                  <pic:nvPicPr>
                    <pic:cNvPr descr="figures/per_gene_dep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63" name="Picture"/>
            <a:graphic>
              <a:graphicData uri="http://schemas.openxmlformats.org/drawingml/2006/picture">
                <pic:pic>
                  <pic:nvPicPr>
                    <pic:cNvPr descr="figures/coverage_cumulati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65"/>
    <w:bookmarkStart w:id="78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7" name="Picture"/>
            <a:graphic>
              <a:graphicData uri="http://schemas.openxmlformats.org/drawingml/2006/picture">
                <pic:pic>
                  <pic:nvPicPr>
                    <pic:cNvPr descr="figures/qc_scorecar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70" name="Picture"/>
            <a:graphic>
              <a:graphicData uri="http://schemas.openxmlformats.org/drawingml/2006/picture">
                <pic:pic>
                  <pic:nvPicPr>
                    <pic:cNvPr descr="figures/cohort_coverage_di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73" name="Picture"/>
            <a:graphic>
              <a:graphicData uri="http://schemas.openxmlformats.org/drawingml/2006/picture">
                <pic:pic>
                  <pic:nvPicPr>
                    <pic:cNvPr descr="figures/contamina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76" name="Picture"/>
            <a:graphic>
              <a:graphicData uri="http://schemas.openxmlformats.org/drawingml/2006/picture">
                <pic:pic>
                  <pic:nvPicPr>
                    <pic:cNvPr descr="figures/sex_check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8"/>
    <w:bookmarkStart w:id="79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9"/>
    <w:bookmarkEnd w:id="80"/>
    <w:bookmarkStart w:id="156" w:name="stage-details-their-plots"/>
    <w:p>
      <w:pPr>
        <w:pStyle w:val="Heading1"/>
      </w:pPr>
      <w:r>
        <w:t xml:space="preserve">10. Stage details &amp; their plots</w:t>
      </w:r>
    </w:p>
    <w:bookmarkStart w:id="99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82" name="Picture"/>
            <a:graphic>
              <a:graphicData uri="http://schemas.openxmlformats.org/drawingml/2006/picture">
                <pic:pic>
                  <pic:nvPicPr>
                    <pic:cNvPr descr="figures/variants_per_sampl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85" name="Picture"/>
            <a:graphic>
              <a:graphicData uri="http://schemas.openxmlformats.org/drawingml/2006/picture">
                <pic:pic>
                  <pic:nvPicPr>
                    <pic:cNvPr descr="figures/titv_per_sampl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8" name="Picture"/>
            <a:graphic>
              <a:graphicData uri="http://schemas.openxmlformats.org/drawingml/2006/picture">
                <pic:pic>
                  <pic:nvPicPr>
                    <pic:cNvPr descr="figures/het_hom_per_sampl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91" name="Picture"/>
            <a:graphic>
              <a:graphicData uri="http://schemas.openxmlformats.org/drawingml/2006/picture">
                <pic:pic>
                  <pic:nvPicPr>
                    <pic:cNvPr descr="figures/filter_before_after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94" name="Picture"/>
            <a:graphic>
              <a:graphicData uri="http://schemas.openxmlformats.org/drawingml/2006/picture">
                <pic:pic>
                  <pic:nvPicPr>
                    <pic:cNvPr descr="figures/filter_pass_ra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7" name="Picture"/>
            <a:graphic>
              <a:graphicData uri="http://schemas.openxmlformats.org/drawingml/2006/picture">
                <pic:pic>
                  <pic:nvPicPr>
                    <pic:cNvPr descr="figures/filter_reaso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9"/>
    <w:bookmarkStart w:id="112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101" name="Picture"/>
            <a:graphic>
              <a:graphicData uri="http://schemas.openxmlformats.org/drawingml/2006/picture">
                <pic:pic>
                  <pic:nvPicPr>
                    <pic:cNvPr descr="figures/cnv_callabil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104" name="Picture"/>
            <a:graphic>
              <a:graphicData uri="http://schemas.openxmlformats.org/drawingml/2006/picture">
                <pic:pic>
                  <pic:nvPicPr>
                    <pic:cNvPr descr="figures/cnv_copyratio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7" name="Picture"/>
            <a:graphic>
              <a:graphicData uri="http://schemas.openxmlformats.org/drawingml/2006/picture">
                <pic:pic>
                  <pic:nvPicPr>
                    <pic:cNvPr descr="figures/str_allele_siz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10" name="Picture"/>
            <a:graphic>
              <a:graphicData uri="http://schemas.openxmlformats.org/drawingml/2006/picture">
                <pic:pic>
                  <pic:nvPicPr>
                    <pic:cNvPr descr="figures/paralog_confidenc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12"/>
    <w:bookmarkStart w:id="128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14" name="Picture"/>
            <a:graphic>
              <a:graphicData uri="http://schemas.openxmlformats.org/drawingml/2006/picture">
                <pic:pic>
                  <pic:nvPicPr>
                    <pic:cNvPr descr="figures/annotation_landin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7" name="Picture"/>
            <a:graphic>
              <a:graphicData uri="http://schemas.openxmlformats.org/drawingml/2006/picture">
                <pic:pic>
                  <pic:nvPicPr>
                    <pic:cNvPr descr="figures/consequence_dis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20" name="Picture"/>
            <a:graphic>
              <a:graphicData uri="http://schemas.openxmlformats.org/drawingml/2006/picture">
                <pic:pic>
                  <pic:nvPicPr>
                    <pic:cNvPr descr="figures/novel_vs_known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23" name="Picture"/>
            <a:graphic>
              <a:graphicData uri="http://schemas.openxmlformats.org/drawingml/2006/picture">
                <pic:pic>
                  <pic:nvPicPr>
                    <pic:cNvPr descr="figures/gnomad_afr_af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26" name="Picture"/>
            <a:graphic>
              <a:graphicData uri="http://schemas.openxmlformats.org/drawingml/2006/picture">
                <pic:pic>
                  <pic:nvPicPr>
                    <pic:cNvPr descr="figures/phylop_dist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8"/>
    <w:bookmarkStart w:id="141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30" name="Picture"/>
            <a:graphic>
              <a:graphicData uri="http://schemas.openxmlformats.org/drawingml/2006/picture">
                <pic:pic>
                  <pic:nvPicPr>
                    <pic:cNvPr descr="figures/relatedness_heatma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33" name="Picture"/>
            <a:graphic>
              <a:graphicData uri="http://schemas.openxmlformats.org/drawingml/2006/picture">
                <pic:pic>
                  <pic:nvPicPr>
                    <pic:cNvPr descr="figures/ancestry_p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36" name="Picture"/>
            <a:graphic>
              <a:graphicData uri="http://schemas.openxmlformats.org/drawingml/2006/picture">
                <pic:pic>
                  <pic:nvPicPr>
                    <pic:cNvPr descr="figures/cohort_sex_check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9" name="Picture"/>
            <a:graphic>
              <a:graphicData uri="http://schemas.openxmlformats.org/drawingml/2006/picture">
                <pic:pic>
                  <pic:nvPicPr>
                    <pic:cNvPr descr="figures/missingnes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41"/>
    <w:bookmarkStart w:id="148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43" name="Picture"/>
            <a:graphic>
              <a:graphicData uri="http://schemas.openxmlformats.org/drawingml/2006/picture">
                <pic:pic>
                  <pic:nvPicPr>
                    <pic:cNvPr descr="figures/giab_precision_recall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46" name="Picture"/>
            <a:graphic>
              <a:graphicData uri="http://schemas.openxmlformats.org/drawingml/2006/picture">
                <pic:pic>
                  <pic:nvPicPr>
                    <pic:cNvPr descr="figures/giab_f1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8"/>
    <w:bookmarkStart w:id="155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50" name="Picture"/>
            <a:graphic>
              <a:graphicData uri="http://schemas.openxmlformats.org/drawingml/2006/picture">
                <pic:pic>
                  <pic:nvPicPr>
                    <pic:cNvPr descr="figures/burden_qq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53" name="Picture"/>
            <a:graphic>
              <a:graphicData uri="http://schemas.openxmlformats.org/drawingml/2006/picture">
                <pic:pic>
                  <pic:nvPicPr>
                    <pic:cNvPr descr="figures/burden_manhatta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55"/>
    <w:bookmarkEnd w:id="156"/>
    <w:bookmarkStart w:id="157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7"/>
    <w:bookmarkStart w:id="158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8"/>
    <w:bookmarkStart w:id="159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11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13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8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9"/>
        </w:numPr>
      </w:pPr>
      <w:r>
        <w:t xml:space="preserve">Revisit GATK hard-filter thresholds for targeted data.</w:t>
      </w:r>
    </w:p>
    <w:bookmarkEnd w:id="159"/>
    <w:bookmarkStart w:id="160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60"/>
    <w:bookmarkStart w:id="161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61"/>
    <w:bookmarkStart w:id="162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62"/>
    <w:bookmarkStart w:id="163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63"/>
    <w:bookmarkStart w:id="164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2" Target="media/rId132.png" /><Relationship Type="http://schemas.openxmlformats.org/officeDocument/2006/relationships/image" Id="rId113" Target="media/rId113.png" /><Relationship Type="http://schemas.openxmlformats.org/officeDocument/2006/relationships/image" Id="rId152" Target="media/rId152.png" /><Relationship Type="http://schemas.openxmlformats.org/officeDocument/2006/relationships/image" Id="rId149" Target="media/rId149.png" /><Relationship Type="http://schemas.openxmlformats.org/officeDocument/2006/relationships/image" Id="rId11" Target="media/rId11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image" Id="rId135" Target="media/rId135.png" /><Relationship Type="http://schemas.openxmlformats.org/officeDocument/2006/relationships/image" Id="rId116" Target="media/rId116.png" /><Relationship Type="http://schemas.openxmlformats.org/officeDocument/2006/relationships/image" Id="rId72" Target="media/rId72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122" Target="media/rId122.png" /><Relationship Type="http://schemas.openxmlformats.org/officeDocument/2006/relationships/image" Id="rId87" Target="media/rId87.png" /><Relationship Type="http://schemas.openxmlformats.org/officeDocument/2006/relationships/image" Id="rId47" Target="media/rId47.png" /><Relationship Type="http://schemas.openxmlformats.org/officeDocument/2006/relationships/image" Id="rId138" Target="media/rId138.png" /><Relationship Type="http://schemas.openxmlformats.org/officeDocument/2006/relationships/image" Id="rId119" Target="media/rId119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125" Target="media/rId125.png" /><Relationship Type="http://schemas.openxmlformats.org/officeDocument/2006/relationships/image" Id="rId66" Target="media/rId66.png" /><Relationship Type="http://schemas.openxmlformats.org/officeDocument/2006/relationships/image" Id="rId129" Target="media/rId129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84" Target="media/rId84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2026-06-15T09:44:41Z</dcterms:created>
  <dcterms:modified xsi:type="dcterms:W3CDTF">2026-06-15T09:44:41Z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