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8.png" ContentType="image/png"/>
  <Override PartName="/word/media/rId109.png" ContentType="image/png"/>
  <Override PartName="/word/media/rId148.png" ContentType="image/png"/>
  <Override PartName="/word/media/rId145.png" ContentType="image/png"/>
  <Override PartName="/word/media/rId11.png" ContentType="image/png"/>
  <Override PartName="/word/media/rId96.png" ContentType="image/png"/>
  <Override PartName="/word/media/rId99.png" ContentType="image/png"/>
  <Override PartName="/word/media/rId65.png" ContentType="image/png"/>
  <Override PartName="/word/media/rId131.png" ContentType="image/png"/>
  <Override PartName="/word/media/rId112.png" ContentType="image/png"/>
  <Override PartName="/word/media/rId68.png" ContentType="image/png"/>
  <Override PartName="/word/media/rId58.png" ContentType="image/png"/>
  <Override PartName="/word/media/rId52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141.png" ContentType="image/png"/>
  <Override PartName="/word/media/rId138.png" ContentType="image/png"/>
  <Override PartName="/word/media/rId118.png" ContentType="image/png"/>
  <Override PartName="/word/media/rId83.png" ContentType="image/png"/>
  <Override PartName="/word/media/rId43.png" ContentType="image/png"/>
  <Override PartName="/word/media/rId134.png" ContentType="image/png"/>
  <Override PartName="/word/media/rId115.png" ContentType="image/png"/>
  <Override PartName="/word/media/rId49.png" ContentType="image/png"/>
  <Override PartName="/word/media/rId46.png" ContentType="image/png"/>
  <Override PartName="/word/media/rId105.png" ContentType="image/png"/>
  <Override PartName="/word/media/rId55.png" ContentType="image/png"/>
  <Override PartName="/word/media/rId121.png" ContentType="image/png"/>
  <Override PartName="/word/media/rId62.png" ContentType="image/png"/>
  <Override PartName="/word/media/rId125.png" ContentType="image/png"/>
  <Override PartName="/word/media/rId71.png" ContentType="image/png"/>
  <Override PartName="/word/media/rId102.png" ContentType="image/png"/>
  <Override PartName="/word/media/rId8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356404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9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Start w:id="17" w:name="the-callforge-command-unified-cli"/>
    <w:p>
      <w:pPr>
        <w:pStyle w:val="Heading2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command (unified CLI)</w:t>
      </w:r>
    </w:p>
    <w:p>
      <w:pPr>
        <w:pStyle w:val="FirstParagraph"/>
      </w:pPr>
      <w:r>
        <w:t xml:space="preserve">CallForge ships a small console command,</w:t>
      </w:r>
      <w:r>
        <w:t xml:space="preserve"> </w:t>
      </w:r>
      <w:r>
        <w:rPr>
          <w:rStyle w:val="VerbatimChar"/>
          <w:b/>
          <w:bCs/>
        </w:rPr>
        <w:t xml:space="preserve">callforge</w:t>
      </w:r>
      <w:r>
        <w:t xml:space="preserve">, that is a friendly front door to</w:t>
      </w:r>
      <w:r>
        <w:t xml:space="preserve"> </w:t>
      </w:r>
      <w:r>
        <w:t xml:space="preserve">the existing entry points. Install it from the repo with an editable pip install (it is</w:t>
      </w:r>
      <w:r>
        <w:t xml:space="preserve"> </w:t>
      </w:r>
      <w:r>
        <w:t xml:space="preserve">stdlib-only — no heavy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CommentTok"/>
        </w:rPr>
        <w:t xml:space="preserve"># registers `callforge` on PATH (in the active environment's bin/)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subcommands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0.1.0</w:t>
      </w:r>
    </w:p>
    <w:p>
      <w:pPr>
        <w:pStyle w:val="FirstParagraph"/>
      </w:pPr>
      <w:r>
        <w:t xml:space="preserve">Subcommands: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run …</w:t>
      </w:r>
      <w:r>
        <w:t xml:space="preserve"> </w:t>
      </w:r>
      <w:r>
        <w:t xml:space="preserve">— run the full pipeline (thin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§8.0).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samplesheet …</w:t>
      </w:r>
      <w:r>
        <w:t xml:space="preserve"> </w:t>
      </w:r>
      <w:r>
        <w:t xml:space="preserve">— scaffold/assemble a sample sheet (§5.1).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resources …</w:t>
      </w:r>
      <w:r>
        <w:t xml:space="preserve"> </w:t>
      </w:r>
      <w:r>
        <w:t xml:space="preserve">— resource discovery / genomic-scope checks (</w:t>
      </w:r>
      <w:r>
        <w:rPr>
          <w:rStyle w:val="VerbatimChar"/>
        </w:rPr>
        <w:t xml:space="preserve">discover_resources.py</w:t>
      </w:r>
      <w:r>
        <w:t xml:space="preserve">).</w:t>
      </w:r>
    </w:p>
    <w:p>
      <w:pPr>
        <w:pStyle w:val="FirstParagraph"/>
      </w:pPr>
      <w:r>
        <w:t xml:space="preserve">The CLI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the raw forms keep working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bin/init_sample_sheet.py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nextflow run main.nf …</w:t>
      </w:r>
      <w:r>
        <w:t xml:space="preserve">). On the cluster, the</w:t>
      </w:r>
      <w:r>
        <w:t xml:space="preserve"> </w:t>
      </w:r>
      <w:r>
        <w:t xml:space="preserve">shared conda env under</w:t>
      </w:r>
      <w:r>
        <w:t xml:space="preserve"> </w:t>
      </w:r>
      <w:r>
        <w:rPr>
          <w:rStyle w:val="VerbatimChar"/>
        </w:rPr>
        <w:t xml:space="preserve">/hpc/opt/conda/envs/</w:t>
      </w:r>
      <w:r>
        <w:t xml:space="preserve"> </w:t>
      </w:r>
      <w:r>
        <w:t xml:space="preserve">plus the Lmod module/wrapper (§4.2) put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cluster-wide, so users run</w:t>
      </w:r>
      <w:r>
        <w:t xml:space="preserve"> </w:t>
      </w:r>
      <w:r>
        <w:rPr>
          <w:rStyle w:val="VerbatimChar"/>
        </w:rPr>
        <w:t xml:space="preserve">callforge run …</w:t>
      </w:r>
      <w:r>
        <w:t xml:space="preserve"> </w:t>
      </w:r>
      <w:r>
        <w:t xml:space="preserve">without a manual install.</w:t>
      </w:r>
    </w:p>
    <w:p>
      <w:pPr>
        <w:pStyle w:val="BlockText"/>
      </w:pPr>
      <w:r>
        <w:t xml:space="preserve">Stage-level subcommands (e.g. </w:t>
      </w:r>
      <w:r>
        <w:rPr>
          <w:rStyle w:val="VerbatimChar"/>
        </w:rPr>
        <w:t xml:space="preserve">callforge 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 anno</w:t>
      </w:r>
      <w:r>
        <w:t xml:space="preserve">) are a planned</w:t>
      </w:r>
      <w:r>
        <w:t xml:space="preserve"> </w:t>
      </w:r>
      <w:r>
        <w:t xml:space="preserve">enhancement — they would map to Nextflow</w:t>
      </w:r>
      <w:r>
        <w:t xml:space="preserve"> </w:t>
      </w:r>
      <w:r>
        <w:rPr>
          <w:rStyle w:val="VerbatimChar"/>
        </w:rPr>
        <w:t xml:space="preserve">-entry &lt;subworkflow&gt;</w:t>
      </w:r>
      <w:r>
        <w:t xml:space="preserve"> </w:t>
      </w:r>
      <w:r>
        <w:t xml:space="preserve">to run/resume a single</w:t>
      </w:r>
      <w:r>
        <w:t xml:space="preserve"> </w:t>
      </w:r>
      <w:r>
        <w:t xml:space="preserve">stage.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yet.</w:t>
      </w:r>
    </w:p>
    <w:bookmarkEnd w:id="17"/>
    <w:bookmarkStart w:id="18" w:name="how-callforge-uses-conda-environments"/>
    <w:p>
      <w:pPr>
        <w:pStyle w:val="Heading2"/>
      </w:pPr>
      <w:r>
        <w:t xml:space="preserve">4.4 How CallForge uses conda environments</w:t>
      </w:r>
    </w:p>
    <w:p>
      <w:pPr>
        <w:pStyle w:val="FirstParagraph"/>
      </w:pPr>
      <w:r>
        <w:t xml:space="preserve">CallForge deliberately uses</w:t>
      </w:r>
      <w:r>
        <w:t xml:space="preserve"> </w:t>
      </w:r>
      <w:r>
        <w:rPr>
          <w:b/>
          <w:bCs/>
        </w:rPr>
        <w:t xml:space="preserve">several small, isolated per-stage conda environments</w:t>
      </w:r>
      <w:r>
        <w:t xml:space="preserve"> </w:t>
      </w:r>
      <w:r>
        <w:t xml:space="preserve">rather</w:t>
      </w:r>
      <w:r>
        <w:t xml:space="preserve"> </w:t>
      </w:r>
      <w:r>
        <w:t xml:space="preserve">than one big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callforge</w:t>
      </w:r>
      <w:r>
        <w:t xml:space="preserve"> </w:t>
      </w:r>
      <w:r>
        <w:t xml:space="preserve">(core: alignment/QC/calling/filter),</w:t>
      </w:r>
      <w:r>
        <w:t xml:space="preserve"> </w:t>
      </w:r>
      <w:r>
        <w:rPr>
          <w:rStyle w:val="VerbatimChar"/>
        </w:rPr>
        <w:t xml:space="preserve">callforge-cnv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callforge-str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callforge-annotate</w:t>
      </w:r>
      <w:r>
        <w:t xml:space="preserve"> </w:t>
      </w:r>
      <w:r>
        <w:t xml:space="preserve">(VEP/vcfanno),</w:t>
      </w:r>
      <w:r>
        <w:t xml:space="preserve"> </w:t>
      </w:r>
      <w:r>
        <w:rPr>
          <w:rStyle w:val="VerbatimChar"/>
        </w:rPr>
        <w:t xml:space="preserve">callforge-cohortqc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callforge-burden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callforge-deepvariant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.</w:t>
      </w:r>
    </w:p>
    <w:p>
      <w:pPr>
        <w:pStyle w:val="FirstParagraph"/>
      </w:pPr>
      <w:r>
        <w:t xml:space="preserve">Different stages need</w:t>
      </w:r>
      <w:r>
        <w:t xml:space="preserve"> </w:t>
      </w:r>
      <w:r>
        <w:rPr>
          <w:b/>
          <w:bCs/>
        </w:rPr>
        <w:t xml:space="preserve">conflicting toolchains</w:t>
      </w:r>
      <w:r>
        <w:t xml:space="preserve"> </w:t>
      </w:r>
      <w:r>
        <w:t xml:space="preserve">(CNV vs STR vs VEP/Perl vs GATK/Java), and</w:t>
      </w:r>
      <w:r>
        <w:t xml:space="preserve"> </w:t>
      </w:r>
      <w:r>
        <w:t xml:space="preserve">isolating them avoids dependency clashes — co-installing the CNV and STR tools into one</w:t>
      </w:r>
      <w:r>
        <w:t xml:space="preserve"> </w:t>
      </w:r>
      <w:r>
        <w:t xml:space="preserve">shared environment corrupted it during development. This is the same pattern nf-core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never activate these by hand.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),</w:t>
      </w:r>
      <w:r>
        <w:t xml:space="preserve"> </w:t>
      </w:r>
      <w:r>
        <w:rPr>
          <w:b/>
          <w:bCs/>
        </w:rPr>
        <w:t xml:space="preserve">Nextflow</w:t>
      </w:r>
      <w:r>
        <w:rPr>
          <w:b/>
          <w:bCs/>
        </w:rPr>
        <w:t xml:space="preserve"> </w:t>
      </w:r>
      <w:r>
        <w:rPr>
          <w:b/>
          <w:bCs/>
        </w:rPr>
        <w:t xml:space="preserve">activates the correct environment/container for each process automatically</w:t>
      </w:r>
      <w:r>
        <w:t xml:space="preserve">; you run one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callforge run …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vs dev-only.</w:t>
      </w:r>
      <w:r>
        <w:t xml:space="preserve"> </w:t>
      </w:r>
      <w:r>
        <w:t xml:space="preserve">The envs above are the</w:t>
      </w:r>
      <w:r>
        <w:t xml:space="preserve"> </w:t>
      </w:r>
      <w:r>
        <w:rPr>
          <w:i/>
          <w:iCs/>
        </w:rPr>
        <w:t xml:space="preserve">runtime contract</w:t>
      </w:r>
      <w:r>
        <w:t xml:space="preserve"> </w:t>
      </w:r>
      <w:r>
        <w:t xml:space="preserve">— they are declared by</w:t>
      </w:r>
      <w:r>
        <w:t xml:space="preserve"> </w:t>
      </w:r>
      <w:r>
        <w:t xml:space="preserve">the pipeline stages and ship with it. A couple of environments are</w:t>
      </w:r>
      <w:r>
        <w:t xml:space="preserve"> </w:t>
      </w:r>
      <w:r>
        <w:rPr>
          <w:b/>
          <w:bCs/>
        </w:rPr>
        <w:t xml:space="preserve">dev-only byproducts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that contract: the graphviz env used only to render this manual’s</w:t>
      </w:r>
      <w:r>
        <w:t xml:space="preserve"> </w:t>
      </w:r>
      <w:r>
        <w:t xml:space="preserve">DAG, and Nextflow’s own runtime env.</w:t>
      </w:r>
    </w:p>
    <w:p>
      <w:pPr>
        <w:pStyle w:val="Compact"/>
        <w:numPr>
          <w:ilvl w:val="0"/>
          <w:numId w:val="1004"/>
        </w:numPr>
      </w:pPr>
      <w:r>
        <w:t xml:space="preserve">The unified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CLI is just a friendly front door — these isolated per-stage envs</w:t>
      </w:r>
      <w:r>
        <w:t xml:space="preserve"> </w:t>
      </w:r>
      <w:r>
        <w:t xml:space="preserve">continue to work underneath it, invisibly.</w:t>
      </w:r>
    </w:p>
    <w:bookmarkEnd w:id="18"/>
    <w:bookmarkEnd w:id="19"/>
    <w:bookmarkStart w:id="23" w:name="inputs"/>
    <w:p>
      <w:pPr>
        <w:pStyle w:val="Heading1"/>
      </w:pPr>
      <w:r>
        <w:t xml:space="preserve">5. Inputs</w:t>
      </w:r>
    </w:p>
    <w:bookmarkStart w:id="20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  <w:r>
        <w:t xml:space="preserve"> </w:t>
      </w:r>
      <w:r>
        <w:t xml:space="preserve">The commands below use the unified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callforge samplesheet …</w:t>
      </w:r>
      <w:r>
        <w:t xml:space="preserve">); the raw form</w:t>
      </w:r>
      <w:r>
        <w:t xml:space="preserve"> </w:t>
      </w:r>
      <w:r>
        <w:rPr>
          <w:rStyle w:val="VerbatimChar"/>
        </w:rPr>
        <w:t xml:space="preserve">python3 bin/init_sample_sheet.py …</w:t>
      </w:r>
      <w:r>
        <w:t xml:space="preserve"> </w:t>
      </w:r>
      <w:r>
        <w:t xml:space="preserve">works</w:t>
      </w:r>
      <w:r>
        <w:t xml:space="preserve"> </w:t>
      </w:r>
      <w:r>
        <w:t xml:space="preserve">identically.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(Mode A). Pairs R1/R2 by the usual Illumina</w:t>
      </w:r>
      <w:r>
        <w:t xml:space="preserve"> </w:t>
      </w:r>
      <w:r>
        <w:t xml:space="preserve">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 columns blank</w:t>
      </w:r>
      <w:r>
        <w:t xml:space="preserve"> </w:t>
      </w:r>
      <w:r>
        <w:t xml:space="preserve">for you to complete: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Worked examples (input → produced sheet → checks).</w:t>
      </w:r>
      <w:r>
        <w:t xml:space="preserve"> </w:t>
      </w:r>
      <w:r>
        <w:t xml:space="preserve">A FASTQ directory with four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S2</w:t>
      </w:r>
      <w:r>
        <w:t xml:space="preserve">) is the input for Modes A and B below.</w:t>
      </w:r>
    </w:p>
    <w:p>
      <w:pPr>
        <w:pStyle w:val="BodyText"/>
      </w:pPr>
      <w:r>
        <w:rPr>
          <w:i/>
          <w:iCs/>
        </w:rPr>
        <w:t xml:space="preserve">Mode A</w:t>
      </w:r>
      <w:r>
        <w:t xml:space="preserve"> </w:t>
      </w:r>
      <w:r>
        <w:t xml:space="preserve">— only the sequencing columns are filled;</w:t>
      </w:r>
      <w:r>
        <w:t xml:space="preserve"> </w:t>
      </w:r>
      <w:r>
        <w:rPr>
          <w:rStyle w:val="VerbatimChar"/>
        </w:rPr>
        <w:t xml:space="preserve">sex, phenotype, batch</w:t>
      </w:r>
      <w:r>
        <w:t xml:space="preserve"> </w:t>
      </w:r>
      <w:r>
        <w:t xml:space="preserve">are present but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for you to complete (add</w:t>
      </w:r>
      <w:r>
        <w:t xml:space="preserve"> </w:t>
      </w:r>
      <w:r>
        <w:rPr>
          <w:rStyle w:val="VerbatimChar"/>
        </w:rPr>
        <w:t xml:space="preserve">covariate_*</w:t>
      </w:r>
      <w:r>
        <w:t xml:space="preserve"> </w:t>
      </w:r>
      <w:r>
        <w:t xml:space="preserve">columns by hand or via a Mode-B join):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CTRL,/data/fq/CTRL_R1.fastq.gz,/data/fq/CTRL_R2.fastq.gz,,,</w:t>
      </w:r>
      <w:r>
        <w:br/>
      </w:r>
      <w:r>
        <w:rPr>
          <w:rStyle w:val="VerbatimChar"/>
        </w:rPr>
        <w:t xml:space="preserve">LOWQC,/data/fq/LOWQC_R1.fastq.gz,/data/fq/LOWQC_R2.fastq.gz,,,</w:t>
      </w:r>
      <w:r>
        <w:br/>
      </w:r>
      <w:r>
        <w:rPr>
          <w:rStyle w:val="VerbatimChar"/>
        </w:rPr>
        <w:t xml:space="preserve">S1,/data/fq/S1_R1.fastq.gz,/data/fq/S1_R2.fastq.gz,,,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rPr>
          <w:i/>
          <w:iCs/>
        </w:rPr>
        <w:t xml:space="preserve">Mode B</w:t>
      </w:r>
      <w:r>
        <w:t xml:space="preserve"> </w:t>
      </w:r>
      <w:r>
        <w:t xml:space="preserve">— given this clinical CSV (note: no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row, and a stray</w:t>
      </w:r>
      <w:r>
        <w:t xml:space="preserve"> </w:t>
      </w:r>
      <w:r>
        <w:rPr>
          <w:rStyle w:val="VerbatimChar"/>
        </w:rPr>
        <w:t xml:space="preserve">S07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CTRL,F,control,30,b1</w:t>
      </w:r>
      <w:r>
        <w:br/>
      </w:r>
      <w:r>
        <w:rPr>
          <w:rStyle w:val="VerbatimChar"/>
        </w:rPr>
        <w:t xml:space="preserve">S1,M,case,45,b1</w:t>
      </w:r>
      <w:r>
        <w:br/>
      </w:r>
      <w:r>
        <w:rPr>
          <w:rStyle w:val="VerbatimChar"/>
        </w:rPr>
        <w:t xml:space="preserve">S2,F,control,52,b2</w:t>
      </w:r>
      <w:r>
        <w:br/>
      </w:r>
      <w:r>
        <w:rPr>
          <w:rStyle w:val="VerbatimChar"/>
        </w:rPr>
        <w:t xml:space="preserve">S07,F,case,41,b2</w:t>
      </w:r>
    </w:p>
    <w:p>
      <w:pPr>
        <w:pStyle w:val="FirstParagraph"/>
      </w:pPr>
      <w:r>
        <w:t xml:space="preserve">the produced sheet joins the metadata in (the</w:t>
      </w:r>
      <w:r>
        <w:t xml:space="preserve"> </w:t>
      </w:r>
      <w:r>
        <w:rPr>
          <w:rStyle w:val="VerbatimChar"/>
        </w:rPr>
        <w:t xml:space="preserve">covariate_age</w:t>
      </w:r>
      <w:r>
        <w:t xml:space="preserve"> </w:t>
      </w:r>
      <w:r>
        <w:t xml:space="preserve">column is carried through);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stays blank because it had no clinical row:</w:t>
      </w:r>
    </w:p>
    <w:p>
      <w:pPr>
        <w:pStyle w:val="SourceCode"/>
      </w:pPr>
      <w:r>
        <w:rPr>
          <w:rStyle w:val="VerbatimChar"/>
        </w:rPr>
        <w:t xml:space="preserve">sample_id,fastq_1,fastq_2,sex,phenotype,batch,covariate_age</w:t>
      </w:r>
      <w:r>
        <w:br/>
      </w:r>
      <w:r>
        <w:rPr>
          <w:rStyle w:val="VerbatimChar"/>
        </w:rPr>
        <w:t xml:space="preserve">CTRL,/data/fq/CTRL_R1.fastq.gz,/data/fq/CTRL_R2.fastq.gz,F,control,b1,30</w:t>
      </w:r>
      <w:r>
        <w:br/>
      </w:r>
      <w:r>
        <w:rPr>
          <w:rStyle w:val="VerbatimChar"/>
        </w:rPr>
        <w:t xml:space="preserve">LOWQC,/data/fq/LOWQC_R1.fastq.gz,/data/fq/LOWQC_R2.fastq.gz,,,,</w:t>
      </w:r>
      <w:r>
        <w:br/>
      </w:r>
      <w:r>
        <w:rPr>
          <w:rStyle w:val="VerbatimChar"/>
        </w:rPr>
        <w:t xml:space="preserve">S1,/data/fq/S1_R1.fastq.gz,/data/fq/S1_R2.fastq.gz,M,case,b1,45</w:t>
      </w:r>
      <w:r>
        <w:br/>
      </w:r>
      <w:r>
        <w:rPr>
          <w:rStyle w:val="VerbatimChar"/>
        </w:rPr>
        <w:t xml:space="preserve">S2,/data/fq/S2_R1.fastq.gz,/data/fq/S2_R2.fastq.gz,F,control,b2,52</w:t>
      </w:r>
    </w:p>
    <w:p>
      <w:pPr>
        <w:pStyle w:val="FirstParagraph"/>
      </w:pPr>
      <w:r>
        <w:rPr>
          <w:i/>
          <w:iCs/>
        </w:rPr>
        <w:t xml:space="preserve">Mode C</w:t>
      </w:r>
      <w:r>
        <w:t xml:space="preserve"> </w:t>
      </w:r>
      <w:r>
        <w:t xml:space="preserve">— given a LIMS manifest (</w:t>
      </w:r>
      <w:r>
        <w:rPr>
          <w:rStyle w:val="VerbatimChar"/>
        </w:rPr>
        <w:t xml:space="preserve">lims_manifest.csv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sample_id,fastq_1,fastq_2</w:t>
      </w:r>
      <w:r>
        <w:br/>
      </w:r>
      <w:r>
        <w:rPr>
          <w:rStyle w:val="VerbatimChar"/>
        </w:rPr>
        <w:t xml:space="preserve">S1,/data/fq/S1_R1.fastq.gz,/data/fq/S1_R2.fastq.gz</w:t>
      </w:r>
      <w:r>
        <w:br/>
      </w:r>
      <w:r>
        <w:rPr>
          <w:rStyle w:val="VerbatimChar"/>
        </w:rPr>
        <w:t xml:space="preserve">S2,/data/fq/S2_R1.fastq.gz,/data/fq/S2_R2.fastq.gz</w:t>
      </w:r>
    </w:p>
    <w:p>
      <w:pPr>
        <w:pStyle w:val="FirstParagraph"/>
      </w:pPr>
      <w:r>
        <w:t xml:space="preserve">and a clinical CSV whose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is a typo for</w:t>
      </w:r>
      <w:r>
        <w:t xml:space="preserve"> </w:t>
      </w:r>
      <w:r>
        <w:rPr>
          <w:rStyle w:val="VerbatimChar"/>
        </w:rPr>
        <w:t xml:space="preserve">S2</w:t>
      </w:r>
      <w:r>
        <w:t xml:space="preserve">, the join produces: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S1,/data/fq/S1_R1.fastq.gz,/data/fq/S1_R2.fastq.gz,M,case,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left blank and the report flags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as metadata-without-sequence with the</w:t>
      </w:r>
      <w:r>
        <w:t xml:space="preserve"> </w:t>
      </w:r>
      <w:r>
        <w:t xml:space="preserve">near-miss hint</w:t>
      </w:r>
      <w:r>
        <w:t xml:space="preserve"> </w:t>
      </w:r>
      <w:r>
        <w:rPr>
          <w:rStyle w:val="VerbatimChar"/>
        </w:rPr>
        <w:t xml:space="preserve">[closest FASTQ id: S2]</w:t>
      </w:r>
      <w:r>
        <w:t xml:space="preserve"> </w:t>
      </w:r>
      <w:r>
        <w:t xml:space="preserve">(re-run with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/</w:t>
      </w:r>
      <w:r>
        <w:rPr>
          <w:rStyle w:val="VerbatimChar"/>
        </w:rPr>
        <w:t xml:space="preserve">--lowercase-ids</w:t>
      </w:r>
      <w:r>
        <w:t xml:space="preserve">,</w:t>
      </w:r>
      <w:r>
        <w:t xml:space="preserve"> </w:t>
      </w:r>
      <w:r>
        <w:t xml:space="preserve">or fix the typo, to make it join).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20"/>
    <w:bookmarkStart w:id="21" w:name="Xaad4569b5b308374a847db0a05c4bbedbf13bac"/>
    <w:p>
      <w:pPr>
        <w:pStyle w:val="Heading2"/>
      </w:pPr>
      <w:r>
        <w:t xml:space="preserve">5.2 CaptureForge handoff —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(+ metadata)</w:t>
      </w:r>
    </w:p>
    <w:p>
      <w:pPr>
        <w:pStyle w:val="FirstParagraph"/>
      </w:pPr>
      <w:r>
        <w:t xml:space="preserve">Point CallForge at CaptureForge’s as-built outputs:</w:t>
      </w:r>
    </w:p>
    <w:p>
      <w:pPr>
        <w:pStyle w:val="SourceCode"/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names 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).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supplies CNV callability;</w:t>
      </w:r>
      <w:r>
        <w:t xml:space="preserve"> </w:t>
      </w:r>
      <w:r>
        <w:rPr>
          <w:rStyle w:val="VerbatimChar"/>
        </w:rPr>
        <w:t xml:space="preserve">baits.csv</w:t>
      </w:r>
      <w:r>
        <w:t xml:space="preserve"> </w:t>
      </w:r>
      <w:r>
        <w:t xml:space="preserve">an off-target signal.</w:t>
      </w:r>
      <w:r>
        <w:t xml:space="preserve"> </w:t>
      </w:r>
      <w:r>
        <w:t xml:space="preserve">If CaptureForge outputs are absent, supply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(a per-gene TSV),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gene, classes, …, is_cnv_target, cnv_callable, cnv_callable_reason, is_str_target, str_loci, is_paralog, off_target_frac, low_coverage, burden_group</w:t>
      </w:r>
      <w:r>
        <w:t xml:space="preserve">.</w:t>
      </w:r>
    </w:p>
    <w:bookmarkEnd w:id="21"/>
    <w:bookmarkStart w:id="22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2"/>
    <w:bookmarkEnd w:id="23"/>
    <w:bookmarkStart w:id="30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4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4"/>
    <w:bookmarkStart w:id="25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5"/>
    <w:bookmarkStart w:id="26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6"/>
    <w:bookmarkStart w:id="27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7"/>
    <w:bookmarkStart w:id="28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8"/>
    <w:bookmarkStart w:id="29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9"/>
    <w:bookmarkEnd w:id="30"/>
    <w:bookmarkStart w:id="31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mac_local</w:t>
      </w:r>
      <w:r>
        <w:t xml:space="preserve"> </w:t>
      </w:r>
      <w:r>
        <w:t xml:space="preserve">(full, one machine),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End w:id="31"/>
    <w:bookmarkStart w:id="42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2" w:name="X31f36e5fd51f61d898b60caf8db34ba3c2ea46d"/>
    <w:p>
      <w:pPr>
        <w:pStyle w:val="Heading2"/>
      </w:pPr>
      <w:r>
        <w:t xml:space="preserve">8.0 How to invoke CallForge (command hierarchy)</w:t>
      </w:r>
    </w:p>
    <w:p>
      <w:pPr>
        <w:pStyle w:val="FirstParagraph"/>
      </w:pPr>
      <w:r>
        <w:t xml:space="preserve">There are three equivalent ways to launch CallForge — all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pipeline. Lead</w:t>
      </w:r>
      <w:r>
        <w:t xml:space="preserve"> </w:t>
      </w:r>
      <w:r>
        <w:t xml:space="preserve">with the named command; drop to the raw forms only when you have not installed the CLI.</w:t>
      </w:r>
    </w:p>
    <w:p>
      <w:pPr>
        <w:pStyle w:val="BodyText"/>
      </w:pPr>
      <w:r>
        <w:rPr>
          <w:b/>
          <w:bCs/>
        </w:rPr>
        <w:t xml:space="preserve">Tier 1 — the named command (recommended,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pip install -e .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every flag after it is passed straight to Nextflow.</w:t>
      </w:r>
    </w:p>
    <w:p>
      <w:pPr>
        <w:pStyle w:val="SourceCode"/>
      </w:pPr>
      <w:r>
        <w:rPr>
          <w:rStyle w:val="CommentTok"/>
        </w:rPr>
        <w:t xml:space="preserve"># runs the full CallForge pipeline (FASTQ -&gt; annotated joint callset -&gt; burden)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SourceCode"/>
      </w:pPr>
      <w:r>
        <w:rPr>
          <w:rStyle w:val="CommentTok"/>
        </w:rPr>
        <w:t xml:space="preserve"># the same on an HPC cluster (SLURM + 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b/>
          <w:bCs/>
        </w:rPr>
        <w:t xml:space="preserve">Tier 2 — from GitHub without cloning</w:t>
      </w:r>
      <w:r>
        <w:t xml:space="preserve"> </w:t>
      </w:r>
      <w:r>
        <w:t xml:space="preserve">(Nextflow pulls the repo for you):</w:t>
      </w:r>
    </w:p>
    <w:p>
      <w:pPr>
        <w:pStyle w:val="SourceCode"/>
      </w:pPr>
      <w:r>
        <w:rPr>
          <w:rStyle w:val="CommentTok"/>
        </w:rPr>
        <w:t xml:space="preserve"># runs CallForge straight from GitHub; version-pin with -r &lt;tag/branch&gt;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aduton1000/callforge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v0.1.0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t xml:space="preserve">The GitHub account is</w:t>
      </w:r>
      <w:r>
        <w:t xml:space="preserve"> </w:t>
      </w:r>
      <w:r>
        <w:rPr>
          <w:b/>
          <w:bCs/>
        </w:rPr>
        <w:t xml:space="preserve">aduton1000</w:t>
      </w:r>
      <w:r>
        <w:t xml:space="preserve">. The repo is</w:t>
      </w:r>
      <w:r>
        <w:t xml:space="preserve"> </w:t>
      </w:r>
      <w:r>
        <w:rPr>
          <w:b/>
          <w:bCs/>
        </w:rPr>
        <w:t xml:space="preserve">currently private</w:t>
      </w:r>
      <w:r>
        <w:t xml:space="preserve">, so this form</w:t>
      </w:r>
      <w:r>
        <w:t xml:space="preserve"> </w:t>
      </w:r>
      <w:r>
        <w:t xml:space="preserve">works only for users with repo access until it is made public; always pin a version with</w:t>
      </w:r>
      <w:r>
        <w:t xml:space="preserve"> </w:t>
      </w:r>
      <w:r>
        <w:rPr>
          <w:rStyle w:val="VerbatimChar"/>
        </w:rPr>
        <w:t xml:space="preserve">-r &lt;tag/branch&gt;</w:t>
      </w:r>
      <w:r>
        <w:t xml:space="preserve"> </w:t>
      </w:r>
      <w:r>
        <w:t xml:space="preserve">for reproducibility.</w:t>
      </w:r>
    </w:p>
    <w:p>
      <w:pPr>
        <w:pStyle w:val="BodyText"/>
      </w:pPr>
      <w:r>
        <w:rPr>
          <w:b/>
          <w:bCs/>
        </w:rPr>
        <w:t xml:space="preserve">Tier 3 — from a cloned repo (developers):</w:t>
      </w:r>
    </w:p>
    <w:p>
      <w:pPr>
        <w:pStyle w:val="SourceCode"/>
      </w:pPr>
      <w:r>
        <w:rPr>
          <w:rStyle w:val="CommentTok"/>
        </w:rPr>
        <w:t xml:space="preserve"># runs CallForge from inside the clone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CallForge’s entry script — it imports the subworkflows and wires the DAG,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runs the whole pipeline, but only from inside the repo directory.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(Tier 1) simply locates this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for you and runs it from anywhere.</w:t>
      </w:r>
    </w:p>
    <w:p>
      <w:pPr>
        <w:pStyle w:val="BodyText"/>
      </w:pPr>
      <w:r>
        <w:t xml:space="preserve">In every tier,</w:t>
      </w:r>
      <w:r>
        <w:t xml:space="preserve"> </w:t>
      </w:r>
      <w:r>
        <w:rPr>
          <w:rStyle w:val="VerbatimChar"/>
        </w:rPr>
        <w:t xml:space="preserve">params.full.yaml</w:t>
      </w:r>
      <w:r>
        <w:t xml:space="preserve"> </w:t>
      </w:r>
      <w:r>
        <w:t xml:space="preserve">supplies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genome_fasta</w:t>
      </w:r>
      <w:r>
        <w:t xml:space="preserve">), the</w:t>
      </w:r>
      <w:r>
        <w:t xml:space="preserve"> </w:t>
      </w:r>
      <w:r>
        <w:rPr>
          <w:b/>
          <w:bCs/>
        </w:rPr>
        <w:t xml:space="preserve">target BED + CaptureForge 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target_bed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captureforge_dir</w:t>
      </w:r>
      <w:r>
        <w:t xml:space="preserve">), the</w:t>
      </w:r>
      <w:r>
        <w:t xml:space="preserve"> </w:t>
      </w:r>
      <w:r>
        <w:rPr>
          <w:b/>
          <w:bCs/>
        </w:rPr>
        <w:t xml:space="preserve">annotation resources</w:t>
      </w:r>
      <w:r>
        <w:t xml:space="preserve"> </w:t>
      </w:r>
      <w:r>
        <w:t xml:space="preserve">(resource directories), and the</w:t>
      </w:r>
      <w:r>
        <w:t xml:space="preserve"> </w:t>
      </w:r>
      <w:r>
        <w:rPr>
          <w:b/>
          <w:bCs/>
        </w:rPr>
        <w:t xml:space="preserve">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</w:t>
      </w:r>
      <w:r>
        <w:t xml:space="preserve">).</w:t>
      </w:r>
    </w:p>
    <w:bookmarkEnd w:id="32"/>
    <w:bookmarkStart w:id="33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CommentTok"/>
        </w:rPr>
        <w:t xml:space="preserve"># build a tiny fixture, then run all 16 stages of CallForge in minutes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         </w:t>
      </w:r>
      <w:r>
        <w:rPr>
          <w:rStyle w:val="CommentTok"/>
        </w:rPr>
        <w:t xml:space="preserve"># or: nextflow run main.nf -profile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3"/>
    <w:bookmarkStart w:id="34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CallForge (authoring machine); raw form: nextflow run main.nf …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4"/>
    <w:bookmarkStart w:id="35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5"/>
    <w:bookmarkStart w:id="36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6"/>
    <w:bookmarkStart w:id="37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7"/>
    <w:bookmarkStart w:id="38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38"/>
    <w:bookmarkStart w:id="39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39"/>
    <w:bookmarkStart w:id="40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40"/>
    <w:bookmarkStart w:id="41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41"/>
    <w:bookmarkEnd w:id="42"/>
    <w:bookmarkStart w:id="76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61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4" name="Picture"/>
            <a:graphic>
              <a:graphicData uri="http://schemas.openxmlformats.org/drawingml/2006/picture">
                <pic:pic>
                  <pic:nvPicPr>
                    <pic:cNvPr descr="figures/mapping_rat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47" name="Picture"/>
            <a:graphic>
              <a:graphicData uri="http://schemas.openxmlformats.org/drawingml/2006/picture">
                <pic:pic>
                  <pic:nvPicPr>
                    <pic:cNvPr descr="figures/on_target_enrichment_ontarge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50" name="Picture"/>
            <a:graphic>
              <a:graphicData uri="http://schemas.openxmlformats.org/drawingml/2006/picture">
                <pic:pic>
                  <pic:nvPicPr>
                    <pic:cNvPr descr="figures/on_target_enrichment_fol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3" name="Picture"/>
            <a:graphic>
              <a:graphicData uri="http://schemas.openxmlformats.org/drawingml/2006/picture">
                <pic:pic>
                  <pic:nvPicPr>
                    <pic:cNvPr descr="figures/coverage_uniform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56" name="Picture"/>
            <a:graphic>
              <a:graphicData uri="http://schemas.openxmlformats.org/drawingml/2006/picture">
                <pic:pic>
                  <pic:nvPicPr>
                    <pic:cNvPr descr="figures/per_gene_depth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59" name="Picture"/>
            <a:graphic>
              <a:graphicData uri="http://schemas.openxmlformats.org/drawingml/2006/picture">
                <pic:pic>
                  <pic:nvPicPr>
                    <pic:cNvPr descr="figures/coverage_cumulativ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61"/>
    <w:bookmarkStart w:id="74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3" name="Picture"/>
            <a:graphic>
              <a:graphicData uri="http://schemas.openxmlformats.org/drawingml/2006/picture">
                <pic:pic>
                  <pic:nvPicPr>
                    <pic:cNvPr descr="figures/qc_scorec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66" name="Picture"/>
            <a:graphic>
              <a:graphicData uri="http://schemas.openxmlformats.org/drawingml/2006/picture">
                <pic:pic>
                  <pic:nvPicPr>
                    <pic:cNvPr descr="figures/cohort_coverage_di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69" name="Picture"/>
            <a:graphic>
              <a:graphicData uri="http://schemas.openxmlformats.org/drawingml/2006/picture">
                <pic:pic>
                  <pic:nvPicPr>
                    <pic:cNvPr descr="figures/contamin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72" name="Picture"/>
            <a:graphic>
              <a:graphicData uri="http://schemas.openxmlformats.org/drawingml/2006/picture">
                <pic:pic>
                  <pic:nvPicPr>
                    <pic:cNvPr descr="figures/sex_chec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4"/>
    <w:bookmarkStart w:id="75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5"/>
    <w:bookmarkEnd w:id="76"/>
    <w:bookmarkStart w:id="152" w:name="stage-details-their-plots"/>
    <w:p>
      <w:pPr>
        <w:pStyle w:val="Heading1"/>
      </w:pPr>
      <w:r>
        <w:t xml:space="preserve">10. Stage details &amp; their plots</w:t>
      </w:r>
    </w:p>
    <w:bookmarkStart w:id="95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78" name="Picture"/>
            <a:graphic>
              <a:graphicData uri="http://schemas.openxmlformats.org/drawingml/2006/picture">
                <pic:pic>
                  <pic:nvPicPr>
                    <pic:cNvPr descr="figures/variants_per_samp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81" name="Picture"/>
            <a:graphic>
              <a:graphicData uri="http://schemas.openxmlformats.org/drawingml/2006/picture">
                <pic:pic>
                  <pic:nvPicPr>
                    <pic:cNvPr descr="figures/titv_per_s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4" name="Picture"/>
            <a:graphic>
              <a:graphicData uri="http://schemas.openxmlformats.org/drawingml/2006/picture">
                <pic:pic>
                  <pic:nvPicPr>
                    <pic:cNvPr descr="figures/het_hom_per_sampl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87" name="Picture"/>
            <a:graphic>
              <a:graphicData uri="http://schemas.openxmlformats.org/drawingml/2006/picture">
                <pic:pic>
                  <pic:nvPicPr>
                    <pic:cNvPr descr="figures/filter_before_aft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90" name="Picture"/>
            <a:graphic>
              <a:graphicData uri="http://schemas.openxmlformats.org/drawingml/2006/picture">
                <pic:pic>
                  <pic:nvPicPr>
                    <pic:cNvPr descr="figures/filter_pass_rat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3" name="Picture"/>
            <a:graphic>
              <a:graphicData uri="http://schemas.openxmlformats.org/drawingml/2006/picture">
                <pic:pic>
                  <pic:nvPicPr>
                    <pic:cNvPr descr="figures/filter_reason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5"/>
    <w:bookmarkStart w:id="108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97" name="Picture"/>
            <a:graphic>
              <a:graphicData uri="http://schemas.openxmlformats.org/drawingml/2006/picture">
                <pic:pic>
                  <pic:nvPicPr>
                    <pic:cNvPr descr="figures/cnv_callability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100" name="Picture"/>
            <a:graphic>
              <a:graphicData uri="http://schemas.openxmlformats.org/drawingml/2006/picture">
                <pic:pic>
                  <pic:nvPicPr>
                    <pic:cNvPr descr="figures/cnv_copyratio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3" name="Picture"/>
            <a:graphic>
              <a:graphicData uri="http://schemas.openxmlformats.org/drawingml/2006/picture">
                <pic:pic>
                  <pic:nvPicPr>
                    <pic:cNvPr descr="figures/str_allele_size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06" name="Picture"/>
            <a:graphic>
              <a:graphicData uri="http://schemas.openxmlformats.org/drawingml/2006/picture">
                <pic:pic>
                  <pic:nvPicPr>
                    <pic:cNvPr descr="figures/paralog_confidenc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08"/>
    <w:bookmarkStart w:id="124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10" name="Picture"/>
            <a:graphic>
              <a:graphicData uri="http://schemas.openxmlformats.org/drawingml/2006/picture">
                <pic:pic>
                  <pic:nvPicPr>
                    <pic:cNvPr descr="figures/annotation_landing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3" name="Picture"/>
            <a:graphic>
              <a:graphicData uri="http://schemas.openxmlformats.org/drawingml/2006/picture">
                <pic:pic>
                  <pic:nvPicPr>
                    <pic:cNvPr descr="figures/consequence_dis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16" name="Picture"/>
            <a:graphic>
              <a:graphicData uri="http://schemas.openxmlformats.org/drawingml/2006/picture">
                <pic:pic>
                  <pic:nvPicPr>
                    <pic:cNvPr descr="figures/novel_vs_known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19" name="Picture"/>
            <a:graphic>
              <a:graphicData uri="http://schemas.openxmlformats.org/drawingml/2006/picture">
                <pic:pic>
                  <pic:nvPicPr>
                    <pic:cNvPr descr="figures/gnomad_afr_af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22" name="Picture"/>
            <a:graphic>
              <a:graphicData uri="http://schemas.openxmlformats.org/drawingml/2006/picture">
                <pic:pic>
                  <pic:nvPicPr>
                    <pic:cNvPr descr="figures/phylop_dis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4"/>
    <w:bookmarkStart w:id="137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26" name="Picture"/>
            <a:graphic>
              <a:graphicData uri="http://schemas.openxmlformats.org/drawingml/2006/picture">
                <pic:pic>
                  <pic:nvPicPr>
                    <pic:cNvPr descr="figures/relatedness_heatmap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29" name="Picture"/>
            <a:graphic>
              <a:graphicData uri="http://schemas.openxmlformats.org/drawingml/2006/picture">
                <pic:pic>
                  <pic:nvPicPr>
                    <pic:cNvPr descr="figures/ancestry_pca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32" name="Picture"/>
            <a:graphic>
              <a:graphicData uri="http://schemas.openxmlformats.org/drawingml/2006/picture">
                <pic:pic>
                  <pic:nvPicPr>
                    <pic:cNvPr descr="figures/cohort_sex_check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5" name="Picture"/>
            <a:graphic>
              <a:graphicData uri="http://schemas.openxmlformats.org/drawingml/2006/picture">
                <pic:pic>
                  <pic:nvPicPr>
                    <pic:cNvPr descr="figures/missingnes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37"/>
    <w:bookmarkStart w:id="144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39" name="Picture"/>
            <a:graphic>
              <a:graphicData uri="http://schemas.openxmlformats.org/drawingml/2006/picture">
                <pic:pic>
                  <pic:nvPicPr>
                    <pic:cNvPr descr="figures/giab_precision_recal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42" name="Picture"/>
            <a:graphic>
              <a:graphicData uri="http://schemas.openxmlformats.org/drawingml/2006/picture">
                <pic:pic>
                  <pic:nvPicPr>
                    <pic:cNvPr descr="figures/giab_f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4"/>
    <w:bookmarkStart w:id="151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46" name="Picture"/>
            <a:graphic>
              <a:graphicData uri="http://schemas.openxmlformats.org/drawingml/2006/picture">
                <pic:pic>
                  <pic:nvPicPr>
                    <pic:cNvPr descr="figures/burden_qq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49" name="Picture"/>
            <a:graphic>
              <a:graphicData uri="http://schemas.openxmlformats.org/drawingml/2006/picture">
                <pic:pic>
                  <pic:nvPicPr>
                    <pic:cNvPr descr="figures/burden_manhattan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51"/>
    <w:bookmarkEnd w:id="152"/>
    <w:bookmarkStart w:id="153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3"/>
    <w:bookmarkStart w:id="154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4"/>
    <w:bookmarkStart w:id="155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08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10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5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6"/>
        </w:numPr>
      </w:pPr>
      <w:r>
        <w:t xml:space="preserve">Revisit GATK hard-filter thresholds for targeted data.</w:t>
      </w:r>
    </w:p>
    <w:bookmarkEnd w:id="155"/>
    <w:bookmarkStart w:id="156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56"/>
    <w:bookmarkStart w:id="157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57"/>
    <w:bookmarkStart w:id="158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58"/>
    <w:bookmarkStart w:id="159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59"/>
    <w:bookmarkStart w:id="160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8" Target="media/rId128.png" /><Relationship Type="http://schemas.openxmlformats.org/officeDocument/2006/relationships/image" Id="rId109" Target="media/rId109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11" Target="media/rId11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65" Target="media/rId65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141" Target="media/rId141.png" /><Relationship Type="http://schemas.openxmlformats.org/officeDocument/2006/relationships/image" Id="rId138" Target="media/rId138.png" /><Relationship Type="http://schemas.openxmlformats.org/officeDocument/2006/relationships/image" Id="rId118" Target="media/rId118.png" /><Relationship Type="http://schemas.openxmlformats.org/officeDocument/2006/relationships/image" Id="rId83" Target="media/rId83.png" /><Relationship Type="http://schemas.openxmlformats.org/officeDocument/2006/relationships/image" Id="rId43" Target="media/rId43.png" /><Relationship Type="http://schemas.openxmlformats.org/officeDocument/2006/relationships/image" Id="rId134" Target="media/rId134.png" /><Relationship Type="http://schemas.openxmlformats.org/officeDocument/2006/relationships/image" Id="rId115" Target="media/rId115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105" Target="media/rId105.png" /><Relationship Type="http://schemas.openxmlformats.org/officeDocument/2006/relationships/image" Id="rId55" Target="media/rId55.png" /><Relationship Type="http://schemas.openxmlformats.org/officeDocument/2006/relationships/image" Id="rId121" Target="media/rId121.png" /><Relationship Type="http://schemas.openxmlformats.org/officeDocument/2006/relationships/image" Id="rId62" Target="media/rId62.png" /><Relationship Type="http://schemas.openxmlformats.org/officeDocument/2006/relationships/image" Id="rId125" Target="media/rId125.png" /><Relationship Type="http://schemas.openxmlformats.org/officeDocument/2006/relationships/image" Id="rId71" Target="media/rId71.png" /><Relationship Type="http://schemas.openxmlformats.org/officeDocument/2006/relationships/image" Id="rId102" Target="media/rId102.png" /><Relationship Type="http://schemas.openxmlformats.org/officeDocument/2006/relationships/image" Id="rId80" Target="media/rId8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2026-06-15T00:35:43Z</dcterms:created>
  <dcterms:modified xsi:type="dcterms:W3CDTF">2026-06-15T00:35:43Z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