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111.png" ContentType="image/png"/>
  <Override PartName="/word/media/rId150.png" ContentType="image/png"/>
  <Override PartName="/word/media/rId147.png" ContentType="image/png"/>
  <Override PartName="/word/media/rId11.png" ContentType="image/png"/>
  <Override PartName="/word/media/rId98.png" ContentType="image/png"/>
  <Override PartName="/word/media/rId101.png" ContentType="image/png"/>
  <Override PartName="/word/media/rId67.png" ContentType="image/png"/>
  <Override PartName="/word/media/rId133.png" ContentType="image/png"/>
  <Override PartName="/word/media/rId114.png" ContentType="image/png"/>
  <Override PartName="/word/media/rId70.png" ContentType="image/png"/>
  <Override PartName="/word/media/rId60.png" ContentType="image/png"/>
  <Override PartName="/word/media/rId54.png" ContentType="image/png"/>
  <Override PartName="/word/media/rId88.png" ContentType="image/png"/>
  <Override PartName="/word/media/rId91.png" ContentType="image/png"/>
  <Override PartName="/word/media/rId94.png" ContentType="image/png"/>
  <Override PartName="/word/media/rId143.png" ContentType="image/png"/>
  <Override PartName="/word/media/rId140.png" ContentType="image/png"/>
  <Override PartName="/word/media/rId120.png" ContentType="image/png"/>
  <Override PartName="/word/media/rId85.png" ContentType="image/png"/>
  <Override PartName="/word/media/rId45.png" ContentType="image/png"/>
  <Override PartName="/word/media/rId136.png" ContentType="image/png"/>
  <Override PartName="/word/media/rId117.png" ContentType="image/png"/>
  <Override PartName="/word/media/rId51.png" ContentType="image/png"/>
  <Override PartName="/word/media/rId48.png" ContentType="image/png"/>
  <Override PartName="/word/media/rId107.png" ContentType="image/png"/>
  <Override PartName="/word/media/rId57.png" ContentType="image/png"/>
  <Override PartName="/word/media/rId123.png" ContentType="image/png"/>
  <Override PartName="/word/media/rId64.png" ContentType="image/png"/>
  <Override PartName="/word/media/rId127.png" ContentType="image/png"/>
  <Override PartName="/word/media/rId73.png" ContentType="image/png"/>
  <Override PartName="/word/media/rId10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597729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7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9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Start w:id="17" w:name="the-callforge-command-unified-cli"/>
    <w:p>
      <w:pPr>
        <w:pStyle w:val="Heading2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command (unified CLI)</w:t>
      </w:r>
    </w:p>
    <w:p>
      <w:pPr>
        <w:pStyle w:val="FirstParagraph"/>
      </w:pPr>
      <w:r>
        <w:t xml:space="preserve">CallForge ships a small console command,</w:t>
      </w:r>
      <w:r>
        <w:t xml:space="preserve"> </w:t>
      </w:r>
      <w:r>
        <w:rPr>
          <w:rStyle w:val="VerbatimChar"/>
          <w:b/>
          <w:bCs/>
        </w:rPr>
        <w:t xml:space="preserve">callforge</w:t>
      </w:r>
      <w:r>
        <w:t xml:space="preserve">, that is a friendly front door to</w:t>
      </w:r>
      <w:r>
        <w:t xml:space="preserve"> </w:t>
      </w:r>
      <w:r>
        <w:t xml:space="preserve">the existing entry points. Install it from the repo with an editable pip install (it is</w:t>
      </w:r>
      <w:r>
        <w:t xml:space="preserve"> </w:t>
      </w:r>
      <w:r>
        <w:t xml:space="preserve">stdlib-only — no heavy dependencies):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CommentTok"/>
        </w:rPr>
        <w:t xml:space="preserve"># registers `callforge` on PATH (in the active environment's bin/)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subcommands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0.1.0</w:t>
      </w:r>
    </w:p>
    <w:p>
      <w:pPr>
        <w:pStyle w:val="FirstParagraph"/>
      </w:pPr>
      <w:r>
        <w:t xml:space="preserve">Subcommands: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run …</w:t>
      </w:r>
      <w:r>
        <w:t xml:space="preserve"> </w:t>
      </w:r>
      <w:r>
        <w:t xml:space="preserve">— run the full pipeline (thin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§8.0).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samplesheet …</w:t>
      </w:r>
      <w:r>
        <w:t xml:space="preserve"> </w:t>
      </w:r>
      <w:r>
        <w:t xml:space="preserve">— scaffold/assemble a sample sheet (§5.1).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resources …</w:t>
      </w:r>
      <w:r>
        <w:t xml:space="preserve"> </w:t>
      </w:r>
      <w:r>
        <w:t xml:space="preserve">— resource discovery / genomic-scope checks (</w:t>
      </w:r>
      <w:r>
        <w:rPr>
          <w:rStyle w:val="VerbatimChar"/>
        </w:rPr>
        <w:t xml:space="preserve">discover_resources.py</w:t>
      </w:r>
      <w:r>
        <w:t xml:space="preserve">).</w:t>
      </w:r>
    </w:p>
    <w:p>
      <w:pPr>
        <w:pStyle w:val="FirstParagraph"/>
      </w:pPr>
      <w:r>
        <w:t xml:space="preserve">The CLI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: the raw forms keep working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bin/init_sample_sheet.py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nextflow run main.nf …</w:t>
      </w:r>
      <w:r>
        <w:t xml:space="preserve">). On the cluster, the</w:t>
      </w:r>
      <w:r>
        <w:t xml:space="preserve"> </w:t>
      </w:r>
      <w:r>
        <w:t xml:space="preserve">shared conda env under</w:t>
      </w:r>
      <w:r>
        <w:t xml:space="preserve"> </w:t>
      </w:r>
      <w:r>
        <w:rPr>
          <w:rStyle w:val="VerbatimChar"/>
        </w:rPr>
        <w:t xml:space="preserve">/hpc/opt/conda/envs/</w:t>
      </w:r>
      <w:r>
        <w:t xml:space="preserve"> </w:t>
      </w:r>
      <w:r>
        <w:t xml:space="preserve">plus the Lmod module/wrapper (§4.2) put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cluster-wide, so users run</w:t>
      </w:r>
      <w:r>
        <w:t xml:space="preserve"> </w:t>
      </w:r>
      <w:r>
        <w:rPr>
          <w:rStyle w:val="VerbatimChar"/>
        </w:rPr>
        <w:t xml:space="preserve">callforge run …</w:t>
      </w:r>
      <w:r>
        <w:t xml:space="preserve"> </w:t>
      </w:r>
      <w:r>
        <w:t xml:space="preserve">without a manual install.</w:t>
      </w:r>
    </w:p>
    <w:p>
      <w:pPr>
        <w:pStyle w:val="BlockText"/>
      </w:pPr>
      <w:r>
        <w:t xml:space="preserve">Stage-level subcommands (e.g. </w:t>
      </w:r>
      <w:r>
        <w:rPr>
          <w:rStyle w:val="VerbatimChar"/>
        </w:rPr>
        <w:t xml:space="preserve">callforge 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 anno</w:t>
      </w:r>
      <w:r>
        <w:t xml:space="preserve">) are a planned</w:t>
      </w:r>
      <w:r>
        <w:t xml:space="preserve"> </w:t>
      </w:r>
      <w:r>
        <w:t xml:space="preserve">enhancement — they would map to Nextflow</w:t>
      </w:r>
      <w:r>
        <w:t xml:space="preserve"> </w:t>
      </w:r>
      <w:r>
        <w:rPr>
          <w:rStyle w:val="VerbatimChar"/>
        </w:rPr>
        <w:t xml:space="preserve">-entry &lt;subworkflow&gt;</w:t>
      </w:r>
      <w:r>
        <w:t xml:space="preserve"> </w:t>
      </w:r>
      <w:r>
        <w:t xml:space="preserve">to run/resume a single</w:t>
      </w:r>
      <w:r>
        <w:t xml:space="preserve"> </w:t>
      </w:r>
      <w:r>
        <w:t xml:space="preserve">stage.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yet.</w:t>
      </w:r>
    </w:p>
    <w:bookmarkEnd w:id="17"/>
    <w:bookmarkStart w:id="18" w:name="how-callforge-uses-conda-environments"/>
    <w:p>
      <w:pPr>
        <w:pStyle w:val="Heading2"/>
      </w:pPr>
      <w:r>
        <w:t xml:space="preserve">4.4 How CallForge uses conda environments</w:t>
      </w:r>
    </w:p>
    <w:p>
      <w:pPr>
        <w:pStyle w:val="FirstParagraph"/>
      </w:pPr>
      <w:r>
        <w:t xml:space="preserve">CallForge deliberately uses</w:t>
      </w:r>
      <w:r>
        <w:t xml:space="preserve"> </w:t>
      </w:r>
      <w:r>
        <w:rPr>
          <w:b/>
          <w:bCs/>
        </w:rPr>
        <w:t xml:space="preserve">several small, isolated per-stage conda environments</w:t>
      </w:r>
      <w:r>
        <w:t xml:space="preserve"> </w:t>
      </w:r>
      <w:r>
        <w:t xml:space="preserve">rather</w:t>
      </w:r>
      <w:r>
        <w:t xml:space="preserve"> </w:t>
      </w:r>
      <w:r>
        <w:t xml:space="preserve">than one big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callforge</w:t>
      </w:r>
      <w:r>
        <w:t xml:space="preserve"> </w:t>
      </w:r>
      <w:r>
        <w:t xml:space="preserve">(core: alignment/QC/calling/filter),</w:t>
      </w:r>
      <w:r>
        <w:t xml:space="preserve"> </w:t>
      </w:r>
      <w:r>
        <w:rPr>
          <w:rStyle w:val="VerbatimChar"/>
        </w:rPr>
        <w:t xml:space="preserve">callforge-cnv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callforge-str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callforge-annotate</w:t>
      </w:r>
      <w:r>
        <w:t xml:space="preserve"> </w:t>
      </w:r>
      <w:r>
        <w:t xml:space="preserve">(VEP/vcfanno),</w:t>
      </w:r>
      <w:r>
        <w:t xml:space="preserve"> </w:t>
      </w:r>
      <w:r>
        <w:rPr>
          <w:rStyle w:val="VerbatimChar"/>
        </w:rPr>
        <w:t xml:space="preserve">callforge-cohortqc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callforge-burden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callforge-deepvariant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.</w:t>
      </w:r>
    </w:p>
    <w:p>
      <w:pPr>
        <w:pStyle w:val="FirstParagraph"/>
      </w:pPr>
      <w:r>
        <w:t xml:space="preserve">Different stages need</w:t>
      </w:r>
      <w:r>
        <w:t xml:space="preserve"> </w:t>
      </w:r>
      <w:r>
        <w:rPr>
          <w:b/>
          <w:bCs/>
        </w:rPr>
        <w:t xml:space="preserve">conflicting toolchains</w:t>
      </w:r>
      <w:r>
        <w:t xml:space="preserve"> </w:t>
      </w:r>
      <w:r>
        <w:t xml:space="preserve">(CNV vs STR vs VEP/Perl vs GATK/Java), and</w:t>
      </w:r>
      <w:r>
        <w:t xml:space="preserve"> </w:t>
      </w:r>
      <w:r>
        <w:t xml:space="preserve">isolating them avoids dependency clashes — co-installing the CNV and STR tools into one</w:t>
      </w:r>
      <w:r>
        <w:t xml:space="preserve"> </w:t>
      </w:r>
      <w:r>
        <w:t xml:space="preserve">shared environment corrupted it during development. This is the same pattern nf-core 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never activate these by hand.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),</w:t>
      </w:r>
      <w:r>
        <w:t xml:space="preserve"> </w:t>
      </w:r>
      <w:r>
        <w:rPr>
          <w:b/>
          <w:bCs/>
        </w:rPr>
        <w:t xml:space="preserve">Nextflow</w:t>
      </w:r>
      <w:r>
        <w:rPr>
          <w:b/>
          <w:bCs/>
        </w:rPr>
        <w:t xml:space="preserve"> </w:t>
      </w:r>
      <w:r>
        <w:rPr>
          <w:b/>
          <w:bCs/>
        </w:rPr>
        <w:t xml:space="preserve">activates the correct environment/container for each process automatically</w:t>
      </w:r>
      <w:r>
        <w:t xml:space="preserve">; you run one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callforge run …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vs dev-only.</w:t>
      </w:r>
      <w:r>
        <w:t xml:space="preserve"> </w:t>
      </w:r>
      <w:r>
        <w:t xml:space="preserve">The envs above are the</w:t>
      </w:r>
      <w:r>
        <w:t xml:space="preserve"> </w:t>
      </w:r>
      <w:r>
        <w:rPr>
          <w:i/>
          <w:iCs/>
        </w:rPr>
        <w:t xml:space="preserve">runtime contract</w:t>
      </w:r>
      <w:r>
        <w:t xml:space="preserve"> </w:t>
      </w:r>
      <w:r>
        <w:t xml:space="preserve">— they are declared by</w:t>
      </w:r>
      <w:r>
        <w:t xml:space="preserve"> </w:t>
      </w:r>
      <w:r>
        <w:t xml:space="preserve">the pipeline stages and ship with it. A couple of environments are</w:t>
      </w:r>
      <w:r>
        <w:t xml:space="preserve"> </w:t>
      </w:r>
      <w:r>
        <w:rPr>
          <w:b/>
          <w:bCs/>
        </w:rPr>
        <w:t xml:space="preserve">dev-only byproducts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that contract: the graphviz env used only to render this manual’s</w:t>
      </w:r>
      <w:r>
        <w:t xml:space="preserve"> </w:t>
      </w:r>
      <w:r>
        <w:t xml:space="preserve">DAG, and Nextflow’s own runtime env.</w:t>
      </w:r>
    </w:p>
    <w:p>
      <w:pPr>
        <w:pStyle w:val="Compact"/>
        <w:numPr>
          <w:ilvl w:val="0"/>
          <w:numId w:val="1004"/>
        </w:numPr>
      </w:pPr>
      <w:r>
        <w:t xml:space="preserve">The unified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CLI is just a friendly front door — these isolated per-stage envs</w:t>
      </w:r>
      <w:r>
        <w:t xml:space="preserve"> </w:t>
      </w:r>
      <w:r>
        <w:t xml:space="preserve">continue to work underneath it, invisibly.</w:t>
      </w:r>
    </w:p>
    <w:bookmarkEnd w:id="18"/>
    <w:bookmarkEnd w:id="19"/>
    <w:bookmarkStart w:id="23" w:name="inputs"/>
    <w:p>
      <w:pPr>
        <w:pStyle w:val="Heading1"/>
      </w:pPr>
      <w:r>
        <w:t xml:space="preserve">5. Inputs</w:t>
      </w:r>
    </w:p>
    <w:bookmarkStart w:id="20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</w:t>
      </w:r>
      <w:r>
        <w:t xml:space="preserve"> </w:t>
      </w:r>
      <w:r>
        <w:t xml:space="preserve">(validated to exist and 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Where the sample sheet comes from.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CaptureForge output — the design</w:t>
      </w:r>
      <w:r>
        <w:t xml:space="preserve"> </w:t>
      </w:r>
      <w:r>
        <w:t xml:space="preserve">pipeline never saw your samples or their phenotypes. The two halves of the sheet have two</w:t>
      </w:r>
      <w:r>
        <w:t xml:space="preserve"> </w:t>
      </w:r>
      <w:r>
        <w:t xml:space="preserve">different origins: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sample_id, fastq_1, fastq_2</w:t>
      </w:r>
      <w:r>
        <w:t xml:space="preserve"> </w:t>
      </w:r>
      <w:r>
        <w:t xml:space="preserve">come from your</w:t>
      </w:r>
      <w:r>
        <w:t xml:space="preserve"> </w:t>
      </w:r>
      <w:r>
        <w:rPr>
          <w:b/>
          <w:bCs/>
        </w:rPr>
        <w:t xml:space="preserve">sequencing core’s demultiplexing</w:t>
      </w:r>
      <w:r>
        <w:t xml:space="preserve"> </w:t>
      </w:r>
      <w:r>
        <w:t xml:space="preserve">(the FASTQ files and their names).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sex, phenotype, covariate_*, batch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your study / clinical metadata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phenotype is irreducibly yours</w:t>
      </w:r>
      <w:r>
        <w:t xml:space="preserve">: CallForge never invents, guesses, or defaults it.</w:t>
      </w:r>
      <w:r>
        <w:t xml:space="preserve"> </w:t>
      </w:r>
      <w:r>
        <w:t xml:space="preserve">The helper below only</w:t>
      </w:r>
      <w:r>
        <w:t xml:space="preserve"> </w:t>
      </w:r>
      <w:r>
        <w:rPr>
          <w:i/>
          <w:iCs/>
        </w:rPr>
        <w:t xml:space="preserve">pairs FASTQs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joins metadata you supply</w:t>
      </w:r>
      <w:r>
        <w:t xml:space="preserve">; anything it cannot</w:t>
      </w:r>
      <w:r>
        <w:t xml:space="preserve"> </w:t>
      </w:r>
      <w:r>
        <w:t xml:space="preserve">resolve it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rather than fills.</w:t>
      </w:r>
    </w:p>
    <w:p>
      <w:pPr>
        <w:pStyle w:val="BodyText"/>
      </w:pPr>
      <w:r>
        <w:rPr>
          <w:b/>
          <w:bCs/>
        </w:rPr>
        <w:t xml:space="preserve">Three ways to build one.</w:t>
      </w:r>
      <w:r>
        <w:t xml:space="preserve"> </w:t>
      </w:r>
      <w:r>
        <w:t xml:space="preserve">The commands below use the unified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callforge samplesheet …</w:t>
      </w:r>
      <w:r>
        <w:t xml:space="preserve">); the raw form</w:t>
      </w:r>
      <w:r>
        <w:t xml:space="preserve"> </w:t>
      </w:r>
      <w:r>
        <w:rPr>
          <w:rStyle w:val="VerbatimChar"/>
        </w:rPr>
        <w:t xml:space="preserve">python3 bin/init_sample_sheet.py …</w:t>
      </w:r>
      <w:r>
        <w:t xml:space="preserve"> </w:t>
      </w:r>
      <w:r>
        <w:t xml:space="preserve">works</w:t>
      </w:r>
      <w:r>
        <w:t xml:space="preserve"> </w:t>
      </w:r>
      <w:r>
        <w:t xml:space="preserve">identically.</w:t>
      </w:r>
    </w:p>
    <w:p>
      <w:pPr>
        <w:pStyle w:val="BodyText"/>
      </w:pPr>
      <w:r>
        <w:rPr>
          <w:i/>
          <w:iCs/>
        </w:rPr>
        <w:t xml:space="preserve">1 — Hand-author the CSV.</w:t>
      </w:r>
      <w:r>
        <w:t xml:space="preserve"> </w:t>
      </w:r>
      <w:r>
        <w:t xml:space="preserve">Write the schema above directly (absolute FASTQ paths). Fine</w:t>
      </w:r>
      <w:r>
        <w:t xml:space="preserve"> </w:t>
      </w:r>
      <w:r>
        <w:t xml:space="preserve">for a handful of samples.</w:t>
      </w:r>
    </w:p>
    <w:p>
      <w:pPr>
        <w:pStyle w:val="BodyText"/>
      </w:pPr>
      <w:r>
        <w:rPr>
          <w:i/>
          <w:iCs/>
        </w:rPr>
        <w:t xml:space="preserve">2 — Scaffold from a FASTQ directory</w:t>
      </w:r>
      <w:r>
        <w:t xml:space="preserve"> </w:t>
      </w:r>
      <w:r>
        <w:t xml:space="preserve">(Mode A). Pairs R1/R2 by the usual Illumina</w:t>
      </w:r>
      <w:r>
        <w:t xml:space="preserve"> </w:t>
      </w:r>
      <w:r>
        <w:t xml:space="preserve">conventions and infers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from the filename, leaving the metadata columns blank</w:t>
      </w:r>
      <w:r>
        <w:t xml:space="preserve"> </w:t>
      </w:r>
      <w:r>
        <w:t xml:space="preserve">for you to complete: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  <w:r>
        <w:br/>
      </w:r>
      <w:r>
        <w:rPr>
          <w:rStyle w:val="CommentTok"/>
        </w:rPr>
        <w:t xml:space="preserve"># then open sample_sheet.csv and fill sex / phenotype / covariate_* / batch</w:t>
      </w:r>
    </w:p>
    <w:p>
      <w:pPr>
        <w:pStyle w:val="FirstParagraph"/>
      </w:pPr>
      <w:r>
        <w:rPr>
          <w:i/>
          <w:iCs/>
        </w:rPr>
        <w:t xml:space="preserve">3 — Scaffold FASTQs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join a metadata CSV</w:t>
      </w:r>
      <w:r>
        <w:t xml:space="preserve"> </w:t>
      </w:r>
      <w:r>
        <w:t xml:space="preserve">(Mode B) — the complete sheet in one</w:t>
      </w:r>
      <w:r>
        <w:t xml:space="preserve"> </w:t>
      </w:r>
      <w:r>
        <w:t xml:space="preserve">step. Provide a clinical CSV keyed on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--metadata-id-col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--metadata-id-col</w:t>
      </w:r>
      <w:r>
        <w:rPr>
          <w:rStyle w:val="NormalTok"/>
        </w:rPr>
        <w:t xml:space="preserve"> sample_id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--keep-extra-cols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rPr>
          <w:i/>
          <w:iCs/>
        </w:rPr>
        <w:t xml:space="preserve">Mode C — map your core’s manifest.</w:t>
      </w:r>
      <w:r>
        <w:t xml:space="preserve"> </w:t>
      </w:r>
      <w:r>
        <w:t xml:space="preserve">If the core already gave you a</w:t>
      </w:r>
      <w:r>
        <w:t xml:space="preserve"> </w:t>
      </w:r>
      <w:r>
        <w:rPr>
          <w:rStyle w:val="VerbatimChar"/>
        </w:rPr>
        <w:t xml:space="preserve">sample_id,fastq_1,fastq_2</w:t>
      </w:r>
      <w:r>
        <w:t xml:space="preserve"> </w:t>
      </w:r>
      <w:r>
        <w:t xml:space="preserve">export (a LIMS manifest), join metadata straight onto it</w:t>
      </w:r>
      <w:r>
        <w:t xml:space="preserve"> </w:t>
      </w:r>
      <w:r>
        <w:t xml:space="preserve">without re-scanning a directory: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--fastq-csv</w:t>
      </w:r>
      <w:r>
        <w:rPr>
          <w:rStyle w:val="NormalTok"/>
        </w:rPr>
        <w:t xml:space="preserve"> lims_manifest.csv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(walk sub-directories),</w:t>
      </w:r>
      <w:r>
        <w:t xml:space="preserve"> </w:t>
      </w:r>
      <w:r>
        <w:rPr>
          <w:rStyle w:val="VerbatimChar"/>
        </w:rPr>
        <w:t xml:space="preserve">--r1-pattern</w:t>
      </w:r>
      <w:r>
        <w:t xml:space="preserve">/</w:t>
      </w:r>
      <w:r>
        <w:rPr>
          <w:rStyle w:val="VerbatimChar"/>
        </w:rPr>
        <w:t xml:space="preserve">--r2-pattern</w:t>
      </w:r>
      <w:r>
        <w:t xml:space="preserve"> </w:t>
      </w:r>
      <w:r>
        <w:t xml:space="preserve">(custom</w:t>
      </w:r>
      <w:r>
        <w:t xml:space="preserve"> </w:t>
      </w:r>
      <w:r>
        <w:t xml:space="preserve">read markers),</w:t>
      </w:r>
      <w:r>
        <w:t xml:space="preserve"> </w:t>
      </w:r>
      <w:r>
        <w:rPr>
          <w:rStyle w:val="VerbatimChar"/>
        </w:rPr>
        <w:t xml:space="preserve">--id-regex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extraction),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--lowercase-ids</w:t>
      </w:r>
      <w:r>
        <w:t xml:space="preserve"> </w:t>
      </w:r>
      <w:r>
        <w:t xml:space="preserve">(reconcile minor ID naming differences), and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The helper</w:t>
      </w:r>
      <w:r>
        <w:t xml:space="preserve"> </w:t>
      </w:r>
      <w:r>
        <w:rPr>
          <w:b/>
          <w:bCs/>
        </w:rPr>
        <w:t xml:space="preserve">only reads</w:t>
      </w:r>
      <w:r>
        <w:t xml:space="preserve"> </w:t>
      </w:r>
      <w:r>
        <w:t xml:space="preserve">the FASTQ/metadata files — it never moves or modifies them.</w:t>
      </w:r>
    </w:p>
    <w:p>
      <w:pPr>
        <w:pStyle w:val="BodyText"/>
      </w:pPr>
      <w:r>
        <w:rPr>
          <w:b/>
          <w:bCs/>
        </w:rPr>
        <w:t xml:space="preserve">Worked examples (input → produced sheet → checks).</w:t>
      </w:r>
      <w:r>
        <w:t xml:space="preserve"> </w:t>
      </w:r>
      <w:r>
        <w:t xml:space="preserve">A FASTQ directory with four pairs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S2</w:t>
      </w:r>
      <w:r>
        <w:t xml:space="preserve">) is the input for Modes A and B below.</w:t>
      </w:r>
    </w:p>
    <w:p>
      <w:pPr>
        <w:pStyle w:val="BodyText"/>
      </w:pPr>
      <w:r>
        <w:rPr>
          <w:i/>
          <w:iCs/>
        </w:rPr>
        <w:t xml:space="preserve">Mode A</w:t>
      </w:r>
      <w:r>
        <w:t xml:space="preserve"> </w:t>
      </w:r>
      <w:r>
        <w:t xml:space="preserve">— only the sequencing columns are filled;</w:t>
      </w:r>
      <w:r>
        <w:t xml:space="preserve"> </w:t>
      </w:r>
      <w:r>
        <w:rPr>
          <w:rStyle w:val="VerbatimChar"/>
        </w:rPr>
        <w:t xml:space="preserve">sex, phenotype, batch</w:t>
      </w:r>
      <w:r>
        <w:t xml:space="preserve"> </w:t>
      </w:r>
      <w:r>
        <w:t xml:space="preserve">are present but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for you to complete (add</w:t>
      </w:r>
      <w:r>
        <w:t xml:space="preserve"> </w:t>
      </w:r>
      <w:r>
        <w:rPr>
          <w:rStyle w:val="VerbatimChar"/>
        </w:rPr>
        <w:t xml:space="preserve">covariate_*</w:t>
      </w:r>
      <w:r>
        <w:t xml:space="preserve"> </w:t>
      </w:r>
      <w:r>
        <w:t xml:space="preserve">columns by hand or via a Mode-B join):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CTRL,/data/fq/CTRL_R1.fastq.gz,/data/fq/CTRL_R2.fastq.gz,,,</w:t>
      </w:r>
      <w:r>
        <w:br/>
      </w:r>
      <w:r>
        <w:rPr>
          <w:rStyle w:val="VerbatimChar"/>
        </w:rPr>
        <w:t xml:space="preserve">LOWQC,/data/fq/LOWQC_R1.fastq.gz,/data/fq/LOWQC_R2.fastq.gz,,,</w:t>
      </w:r>
      <w:r>
        <w:br/>
      </w:r>
      <w:r>
        <w:rPr>
          <w:rStyle w:val="VerbatimChar"/>
        </w:rPr>
        <w:t xml:space="preserve">S1,/data/fq/S1_R1.fastq.gz,/data/fq/S1_R2.fastq.gz,,,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rPr>
          <w:i/>
          <w:iCs/>
        </w:rPr>
        <w:t xml:space="preserve">Mode B</w:t>
      </w:r>
      <w:r>
        <w:t xml:space="preserve"> </w:t>
      </w:r>
      <w:r>
        <w:t xml:space="preserve">— given this clinical CSV (note: no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row, and a stray</w:t>
      </w:r>
      <w:r>
        <w:t xml:space="preserve"> </w:t>
      </w:r>
      <w:r>
        <w:rPr>
          <w:rStyle w:val="VerbatimChar"/>
        </w:rPr>
        <w:t xml:space="preserve">S07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sample_id,sex,phenotype,covariate_age,batch</w:t>
      </w:r>
      <w:r>
        <w:br/>
      </w:r>
      <w:r>
        <w:rPr>
          <w:rStyle w:val="VerbatimChar"/>
        </w:rPr>
        <w:t xml:space="preserve">CTRL,F,control,30,b1</w:t>
      </w:r>
      <w:r>
        <w:br/>
      </w:r>
      <w:r>
        <w:rPr>
          <w:rStyle w:val="VerbatimChar"/>
        </w:rPr>
        <w:t xml:space="preserve">S1,M,case,45,b1</w:t>
      </w:r>
      <w:r>
        <w:br/>
      </w:r>
      <w:r>
        <w:rPr>
          <w:rStyle w:val="VerbatimChar"/>
        </w:rPr>
        <w:t xml:space="preserve">S2,F,control,52,b2</w:t>
      </w:r>
      <w:r>
        <w:br/>
      </w:r>
      <w:r>
        <w:rPr>
          <w:rStyle w:val="VerbatimChar"/>
        </w:rPr>
        <w:t xml:space="preserve">S07,F,case,41,b2</w:t>
      </w:r>
    </w:p>
    <w:p>
      <w:pPr>
        <w:pStyle w:val="FirstParagraph"/>
      </w:pPr>
      <w:r>
        <w:t xml:space="preserve">the produced sheet joins the metadata in (the</w:t>
      </w:r>
      <w:r>
        <w:t xml:space="preserve"> </w:t>
      </w:r>
      <w:r>
        <w:rPr>
          <w:rStyle w:val="VerbatimChar"/>
        </w:rPr>
        <w:t xml:space="preserve">covariate_age</w:t>
      </w:r>
      <w:r>
        <w:t xml:space="preserve"> </w:t>
      </w:r>
      <w:r>
        <w:t xml:space="preserve">column is carried through);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stays blank because it had no clinical row:</w:t>
      </w:r>
    </w:p>
    <w:p>
      <w:pPr>
        <w:pStyle w:val="SourceCode"/>
      </w:pPr>
      <w:r>
        <w:rPr>
          <w:rStyle w:val="VerbatimChar"/>
        </w:rPr>
        <w:t xml:space="preserve">sample_id,fastq_1,fastq_2,sex,phenotype,batch,covariate_age</w:t>
      </w:r>
      <w:r>
        <w:br/>
      </w:r>
      <w:r>
        <w:rPr>
          <w:rStyle w:val="VerbatimChar"/>
        </w:rPr>
        <w:t xml:space="preserve">CTRL,/data/fq/CTRL_R1.fastq.gz,/data/fq/CTRL_R2.fastq.gz,F,control,b1,30</w:t>
      </w:r>
      <w:r>
        <w:br/>
      </w:r>
      <w:r>
        <w:rPr>
          <w:rStyle w:val="VerbatimChar"/>
        </w:rPr>
        <w:t xml:space="preserve">LOWQC,/data/fq/LOWQC_R1.fastq.gz,/data/fq/LOWQC_R2.fastq.gz,,,,</w:t>
      </w:r>
      <w:r>
        <w:br/>
      </w:r>
      <w:r>
        <w:rPr>
          <w:rStyle w:val="VerbatimChar"/>
        </w:rPr>
        <w:t xml:space="preserve">S1,/data/fq/S1_R1.fastq.gz,/data/fq/S1_R2.fastq.gz,M,case,b1,45</w:t>
      </w:r>
      <w:r>
        <w:br/>
      </w:r>
      <w:r>
        <w:rPr>
          <w:rStyle w:val="VerbatimChar"/>
        </w:rPr>
        <w:t xml:space="preserve">S2,/data/fq/S2_R1.fastq.gz,/data/fq/S2_R2.fastq.gz,F,control,b2,52</w:t>
      </w:r>
    </w:p>
    <w:p>
      <w:pPr>
        <w:pStyle w:val="FirstParagraph"/>
      </w:pPr>
      <w:r>
        <w:rPr>
          <w:i/>
          <w:iCs/>
        </w:rPr>
        <w:t xml:space="preserve">Mode C</w:t>
      </w:r>
      <w:r>
        <w:t xml:space="preserve"> </w:t>
      </w:r>
      <w:r>
        <w:t xml:space="preserve">— given a LIMS manifest (</w:t>
      </w:r>
      <w:r>
        <w:rPr>
          <w:rStyle w:val="VerbatimChar"/>
        </w:rPr>
        <w:t xml:space="preserve">lims_manifest.csv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sample_id,fastq_1,fastq_2</w:t>
      </w:r>
      <w:r>
        <w:br/>
      </w:r>
      <w:r>
        <w:rPr>
          <w:rStyle w:val="VerbatimChar"/>
        </w:rPr>
        <w:t xml:space="preserve">S1,/data/fq/S1_R1.fastq.gz,/data/fq/S1_R2.fastq.gz</w:t>
      </w:r>
      <w:r>
        <w:br/>
      </w:r>
      <w:r>
        <w:rPr>
          <w:rStyle w:val="VerbatimChar"/>
        </w:rPr>
        <w:t xml:space="preserve">S2,/data/fq/S2_R1.fastq.gz,/data/fq/S2_R2.fastq.gz</w:t>
      </w:r>
    </w:p>
    <w:p>
      <w:pPr>
        <w:pStyle w:val="FirstParagraph"/>
      </w:pPr>
      <w:r>
        <w:t xml:space="preserve">and a clinical CSV whose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is a typo for</w:t>
      </w:r>
      <w:r>
        <w:t xml:space="preserve"> </w:t>
      </w:r>
      <w:r>
        <w:rPr>
          <w:rStyle w:val="VerbatimChar"/>
        </w:rPr>
        <w:t xml:space="preserve">S2</w:t>
      </w:r>
      <w:r>
        <w:t xml:space="preserve">, the join produces: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S1,/data/fq/S1_R1.fastq.gz,/data/fq/S1_R2.fastq.gz,M,case,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left blank and the report flags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as metadata-without-sequence with the</w:t>
      </w:r>
      <w:r>
        <w:t xml:space="preserve"> </w:t>
      </w:r>
      <w:r>
        <w:t xml:space="preserve">near-miss hint</w:t>
      </w:r>
      <w:r>
        <w:t xml:space="preserve"> </w:t>
      </w:r>
      <w:r>
        <w:rPr>
          <w:rStyle w:val="VerbatimChar"/>
        </w:rPr>
        <w:t xml:space="preserve">[closest FASTQ id: S2]</w:t>
      </w:r>
      <w:r>
        <w:t xml:space="preserve"> </w:t>
      </w:r>
      <w:r>
        <w:t xml:space="preserve">(re-run with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/</w:t>
      </w:r>
      <w:r>
        <w:rPr>
          <w:rStyle w:val="VerbatimChar"/>
        </w:rPr>
        <w:t xml:space="preserve">--lowercase-ids</w:t>
      </w:r>
      <w:r>
        <w:t xml:space="preserve">,</w:t>
      </w:r>
      <w:r>
        <w:t xml:space="preserve"> </w:t>
      </w:r>
      <w:r>
        <w:t xml:space="preserve">or fix the typo, to make it join).</w:t>
      </w:r>
    </w:p>
    <w:p>
      <w:pPr>
        <w:pStyle w:val="BodyText"/>
      </w:pPr>
      <w:r>
        <w:rPr>
          <w:b/>
          <w:bCs/>
        </w:rPr>
        <w:t xml:space="preserve">The reconciliation report.</w:t>
      </w:r>
      <w:r>
        <w:t xml:space="preserve"> </w:t>
      </w:r>
      <w:r>
        <w:t xml:space="preserve">Alongside the CSV the helper writes</w:t>
      </w:r>
      <w:r>
        <w:t xml:space="preserve"> </w:t>
      </w:r>
      <w:r>
        <w:rPr>
          <w:rStyle w:val="VerbatimChar"/>
        </w:rPr>
        <w:t xml:space="preserve">&lt;out&gt;_report.txt</w:t>
      </w:r>
      <w:r>
        <w:t xml:space="preserve"> </w:t>
      </w:r>
      <w:r>
        <w:t xml:space="preserve">and prints it. It explicitly lists every join discrepancy so a broken</w:t>
      </w:r>
      <w:r>
        <w:t xml:space="preserve"> </w:t>
      </w:r>
      <w:r>
        <w:t xml:space="preserve">sheet cannot slip through silently: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orphan FASTQs</w:t>
      </w:r>
      <w:r>
        <w:t xml:space="preserve"> </w:t>
      </w:r>
      <w:r>
        <w:t xml:space="preserve">— an R1 or R2 with no mate (or no read marker at all);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sequence without metadata</w:t>
      </w:r>
      <w:r>
        <w:t xml:space="preserve"> </w:t>
      </w:r>
      <w:r>
        <w:t xml:space="preserve">— FASTQ paired but no clinical row;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 without sequence</w:t>
      </w:r>
      <w:r>
        <w:t xml:space="preserve"> </w:t>
      </w:r>
      <w:r>
        <w:t xml:space="preserve">— a clinical row with no FASTQ,</w:t>
      </w:r>
      <w:r>
        <w:t xml:space="preserve"> </w:t>
      </w:r>
      <w:r>
        <w:rPr>
          <w:i/>
          <w:iCs/>
        </w:rPr>
        <w:t xml:space="preserve">with the closest FASTQ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sample_id</w:t>
      </w:r>
      <w:r>
        <w:rPr>
          <w:i/>
          <w:iCs/>
        </w:rPr>
        <w:t xml:space="preserve"> </w:t>
      </w:r>
      <w:r>
        <w:rPr>
          <w:i/>
          <w:iCs/>
        </w:rPr>
        <w:t xml:space="preserve">as a near-miss hint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S02 [closest FASTQ id: S2]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duplicate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</w:t>
      </w:r>
      <w:r>
        <w:t xml:space="preserve"> </w:t>
      </w:r>
      <w:r>
        <w:t xml:space="preserve">(in the FASTQs or the metadata);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rows missing a required field</w:t>
      </w:r>
      <w:r>
        <w:t xml:space="preserve"> </w:t>
      </w:r>
      <w:r>
        <w:t xml:space="preserve">after assembly;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blank phenotype</w:t>
      </w:r>
      <w:r>
        <w:t xml:space="preserve"> </w:t>
      </w:r>
      <w:r>
        <w:t xml:space="preserve">— warned (burden needs it) but</w:t>
      </w:r>
      <w:r>
        <w:t xml:space="preserve"> </w:t>
      </w:r>
      <w:r>
        <w:rPr>
          <w:b/>
          <w:bCs/>
        </w:rPr>
        <w:t xml:space="preserve">never auto-filled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 one-line summary:</w:t>
      </w:r>
      <w:r>
        <w:t xml:space="preserve"> </w:t>
      </w:r>
      <w:r>
        <w:rPr>
          <w:i/>
          <w:iCs/>
        </w:rPr>
        <w:t xml:space="preserve">N written, N fully-joined, N sequence-only, N metadata-only,</w:t>
      </w:r>
      <w:r>
        <w:rPr>
          <w:i/>
          <w:iCs/>
        </w:rPr>
        <w:t xml:space="preserve"> </w:t>
      </w:r>
      <w:r>
        <w:rPr>
          <w:i/>
          <w:iCs/>
        </w:rPr>
        <w:t xml:space="preserve">N orphan FASTQs</w:t>
      </w:r>
      <w:r>
        <w:t xml:space="preserve">.</w:t>
      </w:r>
    </w:p>
    <w:p>
      <w:pPr>
        <w:pStyle w:val="FirstParagraph"/>
      </w:pPr>
      <w:r>
        <w:t xml:space="preserve">The helper</w:t>
      </w:r>
      <w:r>
        <w:t xml:space="preserve"> </w:t>
      </w:r>
      <w:r>
        <w:rPr>
          <w:b/>
          <w:bCs/>
        </w:rPr>
        <w:t xml:space="preserve">exits non-zero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problem — a duplicate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a row missing</w:t>
      </w:r>
      <w:r>
        <w:t xml:space="preserve"> </w:t>
      </w:r>
      <w:r>
        <w:t xml:space="preserve">a required field, or</w:t>
      </w:r>
      <w:r>
        <w:t xml:space="preserve"> </w:t>
      </w:r>
      <w:r>
        <w:rPr>
          <w:rStyle w:val="VerbatimChar"/>
        </w:rPr>
        <w:t xml:space="preserve">fastq_1 == fastq_2</w:t>
      </w:r>
      <w:r>
        <w:t xml:space="preserve"> </w:t>
      </w:r>
      <w:r>
        <w:t xml:space="preserve">— and in that case writes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sheet. Soft</w:t>
      </w:r>
      <w:r>
        <w:t xml:space="preserve"> </w:t>
      </w:r>
      <w:r>
        <w:t xml:space="preserve">problems (orphans, unmatched IDs, blank phenotype) print as warnings but do not fail, so</w:t>
      </w:r>
      <w:r>
        <w:t xml:space="preserve"> </w:t>
      </w:r>
      <w:r>
        <w:t xml:space="preserve">you still get a sheet to finish by hand. Example report:</w:t>
      </w:r>
    </w:p>
    <w:p>
      <w:pPr>
        <w:pStyle w:val="SourceCode"/>
      </w:pPr>
      <w:r>
        <w:rPr>
          <w:rStyle w:val="VerbatimChar"/>
        </w:rPr>
        <w:t xml:space="preserve">CallForge sample-sheet reconciliation report (mode B)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summary: 4 sample(s) written, 3 fully-joined, 1 sequence-only,</w:t>
      </w:r>
      <w:r>
        <w:br/>
      </w:r>
      <w:r>
        <w:rPr>
          <w:rStyle w:val="VerbatimChar"/>
        </w:rPr>
        <w:t xml:space="preserve">         1 metadata-only, 0 orphan FASTQ(s)</w:t>
      </w:r>
      <w:r>
        <w:br/>
      </w:r>
      <w:r>
        <w:br/>
      </w:r>
      <w:r>
        <w:rPr>
          <w:rStyle w:val="VerbatimChar"/>
        </w:rPr>
        <w:t xml:space="preserve">[SEQUENCE WITHOUT METADATA (FASTQ paired, no clinical row)] (1)</w:t>
      </w:r>
      <w:r>
        <w:br/>
      </w:r>
      <w:r>
        <w:rPr>
          <w:rStyle w:val="VerbatimChar"/>
        </w:rPr>
        <w:t xml:space="preserve">  - LOWQC</w:t>
      </w:r>
      <w:r>
        <w:br/>
      </w:r>
      <w:r>
        <w:rPr>
          <w:rStyle w:val="VerbatimChar"/>
        </w:rPr>
        <w:t xml:space="preserve">[METADATA WITHOUT SEQUENCE (clinical row, no FASTQ)] (1)</w:t>
      </w:r>
      <w:r>
        <w:br/>
      </w:r>
      <w:r>
        <w:rPr>
          <w:rStyle w:val="VerbatimChar"/>
        </w:rPr>
        <w:t xml:space="preserve">  - S07  [closest FASTQ id: S2]</w:t>
      </w:r>
      <w:r>
        <w:br/>
      </w:r>
      <w:r>
        <w:rPr>
          <w:rStyle w:val="VerbatimChar"/>
        </w:rPr>
        <w:t xml:space="preserve">[BLANK PHENOTYPE (burden needs it — fill manually, never auto-filled)] (1)</w:t>
      </w:r>
      <w:r>
        <w:br/>
      </w:r>
      <w:r>
        <w:rPr>
          <w:rStyle w:val="VerbatimChar"/>
        </w:rPr>
        <w:t xml:space="preserve">  - LOWQC</w:t>
      </w:r>
    </w:p>
    <w:p>
      <w:pPr>
        <w:pStyle w:val="FirstParagraph"/>
      </w:pPr>
      <w:r>
        <w:t xml:space="preserve">Feed the result back through validation (</w:t>
      </w:r>
      <w:r>
        <w:rPr>
          <w:rStyle w:val="VerbatimChar"/>
        </w:rPr>
        <w:t xml:space="preserve">validate_samplesheet.py</w:t>
      </w:r>
      <w:r>
        <w:t xml:space="preserve">, run automatically by</w:t>
      </w:r>
      <w:r>
        <w:t xml:space="preserve"> </w:t>
      </w:r>
      <w:r>
        <w:t xml:space="preserve">Stage 0) before a full run. Remember:</w:t>
      </w:r>
      <w:r>
        <w:t xml:space="preserve"> </w:t>
      </w:r>
      <w:r>
        <w:rPr>
          <w:b/>
          <w:bCs/>
        </w:rPr>
        <w:t xml:space="preserve">phenotype is required only for the burden stage</w:t>
      </w:r>
      <w:r>
        <w:t xml:space="preserve"> </w:t>
      </w:r>
      <w:r>
        <w:t xml:space="preserve">—</w:t>
      </w:r>
      <w:r>
        <w:t xml:space="preserve"> </w:t>
      </w:r>
      <w:r>
        <w:t xml:space="preserve">without it the pipeline still produces the annotated joint callset and simply skips burden.</w:t>
      </w:r>
    </w:p>
    <w:bookmarkEnd w:id="20"/>
    <w:bookmarkStart w:id="21" w:name="Xaad4569b5b308374a847db0a05c4bbedbf13bac"/>
    <w:p>
      <w:pPr>
        <w:pStyle w:val="Heading2"/>
      </w:pPr>
      <w:r>
        <w:t xml:space="preserve">5.2 CaptureForge handoff —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(+ metadata)</w:t>
      </w:r>
    </w:p>
    <w:p>
      <w:pPr>
        <w:pStyle w:val="FirstParagraph"/>
      </w:pPr>
      <w:r>
        <w:t xml:space="preserve">Point CallForge at CaptureForge’s as-built outputs:</w:t>
      </w:r>
    </w:p>
    <w:p>
      <w:pPr>
        <w:pStyle w:val="SourceCode"/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names 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).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supplies CNV callability;</w:t>
      </w:r>
      <w:r>
        <w:t xml:space="preserve"> </w:t>
      </w:r>
      <w:r>
        <w:rPr>
          <w:rStyle w:val="VerbatimChar"/>
        </w:rPr>
        <w:t xml:space="preserve">baits.csv</w:t>
      </w:r>
      <w:r>
        <w:t xml:space="preserve"> </w:t>
      </w:r>
      <w:r>
        <w:t xml:space="preserve">an off-target signal.</w:t>
      </w:r>
      <w:r>
        <w:t xml:space="preserve"> </w:t>
      </w:r>
      <w:r>
        <w:t xml:space="preserve">If CaptureForge outputs are absent, supply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(a per-gene TSV),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gene, classes, …, is_cnv_target, cnv_callable, cnv_callable_reason, is_str_target, str_loci, is_paralog, off_target_frac, low_coverage, burden_group</w:t>
      </w:r>
      <w:r>
        <w:t xml:space="preserve">.</w:t>
      </w:r>
    </w:p>
    <w:bookmarkEnd w:id="21"/>
    <w:bookmarkStart w:id="22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2"/>
    <w:bookmarkEnd w:id="23"/>
    <w:bookmarkStart w:id="30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4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4"/>
    <w:bookmarkStart w:id="25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5"/>
    <w:bookmarkStart w:id="26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6"/>
    <w:bookmarkStart w:id="27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7"/>
    <w:bookmarkStart w:id="28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8"/>
    <w:bookmarkStart w:id="29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9"/>
    <w:bookmarkEnd w:id="30"/>
    <w:bookmarkStart w:id="31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mac_local</w:t>
      </w:r>
      <w:r>
        <w:t xml:space="preserve"> </w:t>
      </w:r>
      <w:r>
        <w:t xml:space="preserve">(full, one machine),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End w:id="31"/>
    <w:bookmarkStart w:id="44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2" w:name="X31f36e5fd51f61d898b60caf8db34ba3c2ea46d"/>
    <w:p>
      <w:pPr>
        <w:pStyle w:val="Heading2"/>
      </w:pPr>
      <w:r>
        <w:t xml:space="preserve">8.0 How to invoke CallForge (command hierarchy)</w:t>
      </w:r>
    </w:p>
    <w:p>
      <w:pPr>
        <w:pStyle w:val="FirstParagraph"/>
      </w:pPr>
      <w:r>
        <w:t xml:space="preserve">There are three equivalent ways to launch CallForge — all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pipeline. Lead</w:t>
      </w:r>
      <w:r>
        <w:t xml:space="preserve"> </w:t>
      </w:r>
      <w:r>
        <w:t xml:space="preserve">with the named command; drop to the raw forms only when you have not installed the CLI.</w:t>
      </w:r>
    </w:p>
    <w:p>
      <w:pPr>
        <w:pStyle w:val="BodyText"/>
      </w:pPr>
      <w:r>
        <w:rPr>
          <w:b/>
          <w:bCs/>
        </w:rPr>
        <w:t xml:space="preserve">Tier 1 — the named command (recommended,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pip install -e .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every flag after it is passed straight to Nextflow.</w:t>
      </w:r>
    </w:p>
    <w:p>
      <w:pPr>
        <w:pStyle w:val="SourceCode"/>
      </w:pPr>
      <w:r>
        <w:rPr>
          <w:rStyle w:val="CommentTok"/>
        </w:rPr>
        <w:t xml:space="preserve"># runs the full CallForge pipeline (FASTQ -&gt; annotated joint callset -&gt; burden)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SourceCode"/>
      </w:pPr>
      <w:r>
        <w:rPr>
          <w:rStyle w:val="CommentTok"/>
        </w:rPr>
        <w:t xml:space="preserve"># the same on an HPC cluster (SLURM + Apptainer)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b/>
          <w:bCs/>
        </w:rPr>
        <w:t xml:space="preserve">Tier 2 — from GitHub without cloning</w:t>
      </w:r>
      <w:r>
        <w:t xml:space="preserve"> </w:t>
      </w:r>
      <w:r>
        <w:t xml:space="preserve">(Nextflow pulls the repo for you):</w:t>
      </w:r>
    </w:p>
    <w:p>
      <w:pPr>
        <w:pStyle w:val="SourceCode"/>
      </w:pPr>
      <w:r>
        <w:rPr>
          <w:rStyle w:val="CommentTok"/>
        </w:rPr>
        <w:t xml:space="preserve"># runs CallForge straight from GitHub; version-pin with -r &lt;tag/branch&gt;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aduton1000/callforge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v0.1.0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t xml:space="preserve">The GitHub account is</w:t>
      </w:r>
      <w:r>
        <w:t xml:space="preserve"> </w:t>
      </w:r>
      <w:r>
        <w:rPr>
          <w:b/>
          <w:bCs/>
        </w:rPr>
        <w:t xml:space="preserve">aduton1000</w:t>
      </w:r>
      <w:r>
        <w:t xml:space="preserve">. The repo is</w:t>
      </w:r>
      <w:r>
        <w:t xml:space="preserve"> </w:t>
      </w:r>
      <w:r>
        <w:rPr>
          <w:b/>
          <w:bCs/>
        </w:rPr>
        <w:t xml:space="preserve">currently private</w:t>
      </w:r>
      <w:r>
        <w:t xml:space="preserve">, so this form</w:t>
      </w:r>
      <w:r>
        <w:t xml:space="preserve"> </w:t>
      </w:r>
      <w:r>
        <w:t xml:space="preserve">works only for users with repo access until it is made public; always pin a version with</w:t>
      </w:r>
      <w:r>
        <w:t xml:space="preserve"> </w:t>
      </w:r>
      <w:r>
        <w:rPr>
          <w:rStyle w:val="VerbatimChar"/>
        </w:rPr>
        <w:t xml:space="preserve">-r &lt;tag/branch&gt;</w:t>
      </w:r>
      <w:r>
        <w:t xml:space="preserve"> </w:t>
      </w:r>
      <w:r>
        <w:t xml:space="preserve">for reproducibility.</w:t>
      </w:r>
    </w:p>
    <w:p>
      <w:pPr>
        <w:pStyle w:val="BodyText"/>
      </w:pPr>
      <w:r>
        <w:rPr>
          <w:b/>
          <w:bCs/>
        </w:rPr>
        <w:t xml:space="preserve">Tier 3 — from a cloned repo (developers):</w:t>
      </w:r>
    </w:p>
    <w:p>
      <w:pPr>
        <w:pStyle w:val="SourceCode"/>
      </w:pPr>
      <w:r>
        <w:rPr>
          <w:rStyle w:val="CommentTok"/>
        </w:rPr>
        <w:t xml:space="preserve"># runs CallForge from inside the clone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CallForge’s entry script — it imports the subworkflows and wires the DAG,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runs the whole pipeline, but only from inside the repo directory.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(Tier 1) simply locates this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for you and runs it from anywhere.</w:t>
      </w:r>
    </w:p>
    <w:p>
      <w:pPr>
        <w:pStyle w:val="BodyText"/>
      </w:pPr>
      <w:r>
        <w:t xml:space="preserve">In every tier,</w:t>
      </w:r>
      <w:r>
        <w:t xml:space="preserve"> </w:t>
      </w:r>
      <w:r>
        <w:rPr>
          <w:rStyle w:val="VerbatimChar"/>
        </w:rPr>
        <w:t xml:space="preserve">params.full.yaml</w:t>
      </w:r>
      <w:r>
        <w:t xml:space="preserve"> </w:t>
      </w:r>
      <w:r>
        <w:t xml:space="preserve">supplies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genome_fasta</w:t>
      </w:r>
      <w:r>
        <w:t xml:space="preserve">), the</w:t>
      </w:r>
      <w:r>
        <w:t xml:space="preserve"> </w:t>
      </w:r>
      <w:r>
        <w:rPr>
          <w:b/>
          <w:bCs/>
        </w:rPr>
        <w:t xml:space="preserve">target BED + CaptureForge handoff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target_bed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captureforge_dir</w:t>
      </w:r>
      <w:r>
        <w:t xml:space="preserve">), the</w:t>
      </w:r>
      <w:r>
        <w:t xml:space="preserve"> </w:t>
      </w:r>
      <w:r>
        <w:rPr>
          <w:b/>
          <w:bCs/>
        </w:rPr>
        <w:t xml:space="preserve">annotation resources</w:t>
      </w:r>
      <w:r>
        <w:t xml:space="preserve"> </w:t>
      </w:r>
      <w:r>
        <w:t xml:space="preserve">(resource directories), and the</w:t>
      </w:r>
      <w:r>
        <w:t xml:space="preserve"> </w:t>
      </w:r>
      <w:r>
        <w:rPr>
          <w:b/>
          <w:bCs/>
        </w:rPr>
        <w:t xml:space="preserve">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</w:t>
      </w:r>
      <w:r>
        <w:t xml:space="preserve">).</w:t>
      </w:r>
    </w:p>
    <w:bookmarkEnd w:id="32"/>
    <w:bookmarkStart w:id="33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CommentTok"/>
        </w:rPr>
        <w:t xml:space="preserve"># build a tiny fixture, then run all 16 stages of CallForge in minutes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         </w:t>
      </w:r>
      <w:r>
        <w:rPr>
          <w:rStyle w:val="CommentTok"/>
        </w:rPr>
        <w:t xml:space="preserve"># or: nextflow run main.nf -profile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3"/>
    <w:bookmarkStart w:id="34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CallForge (authoring machine); raw form: nextflow run main.nf …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4"/>
    <w:bookmarkStart w:id="35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5"/>
    <w:bookmarkStart w:id="36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6"/>
    <w:bookmarkStart w:id="37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7"/>
    <w:bookmarkStart w:id="38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38"/>
    <w:bookmarkStart w:id="39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39"/>
    <w:bookmarkStart w:id="40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40"/>
    <w:bookmarkStart w:id="41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41"/>
    <w:bookmarkStart w:id="43" w:name="X167e637decc32e3006546f1caffb618ce05f0a7"/>
    <w:p>
      <w:pPr>
        <w:pStyle w:val="Heading2"/>
      </w:pPr>
      <w:r>
        <w:t xml:space="preserve">8.10 Stage subcommands (run one stage standalone)</w:t>
      </w:r>
    </w:p>
    <w:p>
      <w:pPr>
        <w:pStyle w:val="FirstParagraph"/>
      </w:pPr>
      <w:r>
        <w:t xml:space="preserve">Sometimes you only want to re-run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stage on its own inputs — re-annotate after an</w:t>
      </w:r>
      <w:r>
        <w:t xml:space="preserve"> </w:t>
      </w:r>
      <w:r>
        <w:t xml:space="preserve">annotation-database update, re-run burden with new thresholds, re-call CNV — without</w:t>
      </w:r>
      <w:r>
        <w:t xml:space="preserve"> </w:t>
      </w:r>
      <w:r>
        <w:t xml:space="preserve">repeating the whole pipeline. Each analytical stage is exposed as</w:t>
      </w:r>
      <w:r>
        <w:t xml:space="preserve"> </w:t>
      </w:r>
      <w:r>
        <w:rPr>
          <w:rStyle w:val="VerbatimChar"/>
        </w:rPr>
        <w:t xml:space="preserve">callforge &lt;stage&gt;</w:t>
      </w:r>
      <w:r>
        <w:t xml:space="preserve">,</w:t>
      </w:r>
      <w:r>
        <w:t xml:space="preserve"> </w:t>
      </w:r>
      <w:r>
        <w:t xml:space="preserve">which runs</w:t>
      </w:r>
      <w:r>
        <w:t xml:space="preserve"> </w:t>
      </w:r>
      <w:r>
        <w:rPr>
          <w:rStyle w:val="VerbatimChar"/>
        </w:rPr>
        <w:t xml:space="preserve">nextflow run main.nf --stage &lt;stage&gt; 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param, not</w:t>
      </w:r>
      <w:r>
        <w:t xml:space="preserve"> </w:t>
      </w:r>
      <w:r>
        <w:rPr>
          <w:rStyle w:val="VerbatimChar"/>
        </w:rPr>
        <w:t xml:space="preserve">-entry</w:t>
      </w:r>
      <w:r>
        <w:t xml:space="preserve">:</w:t>
      </w:r>
      <w:r>
        <w:t xml:space="preserve"> </w:t>
      </w:r>
      <w:r>
        <w:t xml:space="preserve">portable across Nextflow versions).</w:t>
      </w:r>
      <w:r>
        <w:t xml:space="preserve"> </w:t>
      </w:r>
      <w:r>
        <w:rPr>
          <w:b/>
          <w:bCs/>
        </w:rPr>
        <w:t xml:space="preserve">Every stage subcommand invokes the exact same module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pipeline uses</w:t>
      </w:r>
      <w:r>
        <w:t xml:space="preserve"> </w:t>
      </w:r>
      <w:r>
        <w:t xml:space="preserve">— standalone and in-pipeline execution are the same code path, so</w:t>
      </w:r>
      <w:r>
        <w:t xml:space="preserve"> </w:t>
      </w:r>
      <w:r>
        <w:t xml:space="preserve">results never depend on how the stage was launched.</w:t>
      </w:r>
    </w:p>
    <w:p>
      <w:pPr>
        <w:pStyle w:val="BodyText"/>
      </w:pPr>
      <w:r>
        <w:t xml:space="preserve">Three things hold for every stage subcommand: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Non-destructive by default.</w:t>
      </w:r>
      <w:r>
        <w:t xml:space="preserve"> </w:t>
      </w:r>
      <w:r>
        <w:t xml:space="preserve">Output goes to a fresh</w:t>
      </w:r>
      <w:r>
        <w:t xml:space="preserve"> </w:t>
      </w:r>
      <w:r>
        <w:rPr>
          <w:rStyle w:val="VerbatimChar"/>
        </w:rPr>
        <w:t xml:space="preserve">results/standalone/&lt;stage&gt;_&lt;timestamp&gt;/</w:t>
      </w:r>
      <w:r>
        <w:t xml:space="preserve"> </w:t>
      </w:r>
      <w:r>
        <w:t xml:space="preserve">so a re-run never overwrites the pipeline’s</w:t>
      </w:r>
      <w:r>
        <w:t xml:space="preserve"> </w:t>
      </w:r>
      <w:r>
        <w:rPr>
          <w:rStyle w:val="VerbatimChar"/>
        </w:rPr>
        <w:t xml:space="preserve">results/stageXX_*</w:t>
      </w:r>
      <w:r>
        <w:t xml:space="preserve">. Override with</w:t>
      </w:r>
      <w:r>
        <w:t xml:space="preserve"> </w:t>
      </w:r>
      <w:r>
        <w:rPr>
          <w:rStyle w:val="VerbatimChar"/>
        </w:rPr>
        <w:t xml:space="preserve">--outdir &lt;dir&gt;</w:t>
      </w:r>
      <w:r>
        <w:t xml:space="preserve">,</w:t>
      </w:r>
      <w:r>
        <w:t xml:space="preserve"> </w:t>
      </w:r>
      <w:r>
        <w:t xml:space="preserve">or opt into updating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in place with</w:t>
      </w:r>
      <w:r>
        <w:t xml:space="preserve"> </w:t>
      </w:r>
      <w:r>
        <w:rPr>
          <w:rStyle w:val="VerbatimChar"/>
        </w:rPr>
        <w:t xml:space="preserve">--in-place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Each stage emits its own report + provenance</w:t>
      </w:r>
      <w:r>
        <w:t xml:space="preserve"> </w:t>
      </w:r>
      <w:r>
        <w:t xml:space="preserve">in its stage dir: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(key metrics + that stage’s QC plots with captions) and</w:t>
      </w:r>
      <w:r>
        <w:t xml:space="preserve"> </w:t>
      </w:r>
      <w:r>
        <w:rPr>
          <w:rStyle w:val="VerbatimChar"/>
        </w:rPr>
        <w:t xml:space="preserve">&lt;stage&gt;_provenance.json</w:t>
      </w:r>
      <w:r>
        <w:t xml:space="preserve"> </w:t>
      </w:r>
      <w:r>
        <w:t xml:space="preserve">(inputs + checksums, parameters, tool versions, git commit).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 are validated fail-loud</w:t>
      </w:r>
      <w:r>
        <w:t xml:space="preserve"> </w:t>
      </w:r>
      <w:r>
        <w:t xml:space="preserve">before the stage runs (index/contig agreement, the</w:t>
      </w:r>
      <w:r>
        <w:t xml:space="preserve"> </w:t>
      </w:r>
      <w:r>
        <w:t xml:space="preserve">reference invariant and DB scope gate where relevant, phenotype for burden), exiting</w:t>
      </w:r>
      <w:r>
        <w:t xml:space="preserve"> </w:t>
      </w:r>
      <w:r>
        <w:t xml:space="preserve">non-zero on a mismatch.</w:t>
      </w:r>
    </w:p>
    <w:p>
      <w:pPr>
        <w:pStyle w:val="FirstParagraph"/>
      </w:pPr>
      <w:r>
        <w:rPr>
          <w:rStyle w:val="VerbatimChar"/>
        </w:rPr>
        <w:t xml:space="preserve">callforge &lt;stage&gt; --help</w:t>
      </w:r>
      <w:r>
        <w:t xml:space="preserve"> </w:t>
      </w:r>
      <w:r>
        <w:t xml:space="preserve">prints that stage’s required + optional input files.</w:t>
      </w:r>
    </w:p>
    <w:p>
      <w:pPr>
        <w:pStyle w:val="BodyText"/>
      </w:pPr>
      <w:r>
        <w:t xml:space="preserve">Key-output filenames below are relative to the stage’s own output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stageXX_…/</w:t>
      </w:r>
      <w:r>
        <w:t xml:space="preserve">), e.g. 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stage4_postalign/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stage11_annotation/</w:t>
      </w:r>
      <w:r>
        <w:t xml:space="preserve">. Each stage also writes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_provenance.json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1793"/>
        <w:gridCol w:w="2839"/>
        <w:gridCol w:w="22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input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output(s)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align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--fastq_1/2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&lt;sample&gt;.analysis.bam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rate, insert size, dup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rPr>
                <w:i/>
                <w:iCs/>
              </w:rPr>
              <w:t xml:space="preserve">(per-sample → gate)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qc_scorecard.tsv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qc_pass.txt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on-target enrichment, coverage uniformity, per-gene depth, coverage cumulative, QC scorecard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</w:t>
            </w:r>
            <w:r>
              <w:t xml:space="preserve"> </w:t>
            </w:r>
            <w:r>
              <w:rPr>
                <w:i/>
                <w:iCs/>
              </w:rPr>
              <w:t xml:space="preserve">(joint)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 </w:t>
            </w:r>
            <w:r>
              <w:t xml:space="preserve">(QC-pass);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joint.filtered.vcf.gz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 per sample, Ti/Tv, het:hom, QUAL/DP, filter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cnv_calls.tsv</w:t>
            </w:r>
            <w:r>
              <w:t xml:space="preserve"> </w:t>
            </w:r>
            <w:r>
              <w:t xml:space="preserve">(callability-labelled)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ratio, calls per sample, callability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str_calls.tsv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allele sizes, call rate, read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</w:t>
            </w:r>
            <w:r>
              <w:t xml:space="preserve"> </w:t>
            </w:r>
            <w:r>
              <w:rPr>
                <w:i/>
                <w:iCs/>
              </w:rPr>
              <w:t xml:space="preserve">(joint 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paralog.annotated.vcf.gz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</w:t>
            </w:r>
            <w:r>
              <w:t xml:space="preserve"> </w:t>
            </w:r>
            <w:r>
              <w:rPr>
                <w:i/>
                <w:iCs/>
              </w:rPr>
              <w:t xml:space="preserve">(VCF)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annotated.vcf.gz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variants.flat.tsv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 landing, consequence dist., novel vs known, gnomAD-AFR AF, PhyloP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cohortqc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--somalier_sites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cohort_qc.json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relatedness heatmap, ancestry PCA, sex check, missingness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giab</w:t>
            </w:r>
            <w:r>
              <w:t xml:space="preserve"> </w:t>
            </w:r>
            <w:r>
              <w:rPr>
                <w:i/>
                <w:iCs/>
              </w:rPr>
              <w:t xml:space="preserve">(control)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--giab_control_id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--giab_truth_vcf</w:t>
            </w:r>
            <w:r>
              <w:t xml:space="preserve">/</w:t>
            </w:r>
            <w:r>
              <w:rPr>
                <w:rStyle w:val="VerbatimChar"/>
              </w:rPr>
              <w:t xml:space="preserve">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happy.summary.csv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happy.runinfo.json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precision/recall,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(phenotype);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burden_results.tsv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Q–Q, Manhattan</w:t>
            </w:r>
          </w:p>
        </w:tc>
      </w:tr>
    </w:tbl>
    <w:p>
      <w:pPr>
        <w:pStyle w:val="BodyText"/>
      </w:pPr>
      <w:r>
        <w:t xml:space="preserve">Notable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inputs: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;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rPr>
          <w:rStyle w:val="VerbatimChar"/>
        </w:rPr>
        <w:t xml:space="preserve">--caller deepvariant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--joint_method</w:t>
      </w:r>
      <w:r>
        <w:t xml:space="preserve">;</w:t>
      </w:r>
      <w:r>
        <w:t xml:space="preserve"> </w:t>
      </w:r>
      <w:r>
        <w:rPr>
          <w:rStyle w:val="VerbatimChar"/>
        </w:rPr>
        <w:t xml:space="preserve">cnv</w:t>
      </w:r>
      <w:r>
        <w:t xml:space="preserve"> </w:t>
      </w:r>
      <w:r>
        <w:rPr>
          <w:rStyle w:val="VerbatimChar"/>
        </w:rPr>
        <w:t xml:space="preserve">--cnv_method</w:t>
      </w:r>
      <w:r>
        <w:t xml:space="preserve">/</w:t>
      </w:r>
      <w:r>
        <w:rPr>
          <w:rStyle w:val="VerbatimChar"/>
        </w:rPr>
        <w:t xml:space="preserve">--cnv_segment_method</w:t>
      </w:r>
      <w:r>
        <w:t xml:space="preserve"> </w:t>
      </w:r>
      <w:r>
        <w:t xml:space="preserve">(a different CNV</w:t>
      </w:r>
      <w:r>
        <w:t xml:space="preserve"> </w:t>
      </w:r>
      <w:r>
        <w:rPr>
          <w:i/>
          <w:iCs/>
        </w:rPr>
        <w:t xml:space="preserve">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gatk_gcnv</w:t>
      </w:r>
      <w:r>
        <w:t xml:space="preserve">, is documented but not yet wired — same as the pipeline);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;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/</w:t>
      </w:r>
      <w:r>
        <w:rPr>
          <w:rStyle w:val="VerbatimChar"/>
        </w:rPr>
        <w:t xml:space="preserve">--species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</w:t>
      </w:r>
      <w:r>
        <w:t xml:space="preserve"> </w:t>
      </w:r>
      <w:r>
        <w:rPr>
          <w:rStyle w:val="VerbatimChar"/>
        </w:rPr>
        <w:t xml:space="preserve">--burden_engine</w:t>
      </w:r>
      <w:r>
        <w:t xml:space="preserve">/</w:t>
      </w:r>
      <w:r>
        <w:rPr>
          <w:rStyle w:val="VerbatimChar"/>
        </w:rPr>
        <w:t xml:space="preserve">--burden_af_max</w:t>
      </w:r>
      <w:r>
        <w:t xml:space="preserve">/</w:t>
      </w:r>
      <w:r>
        <w:rPr>
          <w:rStyle w:val="VerbatimChar"/>
        </w:rPr>
        <w:t xml:space="preserve">--burden_csq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--cohort_qc_json</w:t>
      </w:r>
      <w:r>
        <w:t xml:space="preserve"> </w:t>
      </w:r>
      <w:r>
        <w:t xml:space="preserve">(ancestry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run). The CaptureForge</w:t>
      </w:r>
      <w:r>
        <w:t xml:space="preserve"> </w:t>
      </w:r>
      <w:r>
        <w:t xml:space="preserve">metadata (callability, STR catalog, paralog regions, burden groups) is rebuilt from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--cf_metrics_json</w:t>
      </w:r>
      <w:r>
        <w:t xml:space="preserve">/</w:t>
      </w:r>
      <w:r>
        <w:rPr>
          <w:rStyle w:val="VerbatimChar"/>
        </w:rPr>
        <w:t xml:space="preserve">--captureforge_dir</w:t>
      </w:r>
      <w:r>
        <w:t xml:space="preserve"> </w:t>
      </w:r>
      <w:r>
        <w:t xml:space="preserve">exactly as in-pipeline, so those</w:t>
      </w:r>
      <w:r>
        <w:t xml:space="preserve"> </w:t>
      </w:r>
      <w:r>
        <w:t xml:space="preserve">labels appear on standalone outputs too.</w:t>
      </w:r>
      <w:r>
        <w:t xml:space="preserve"> </w:t>
      </w:r>
      <w:r>
        <w:rPr>
          <w:rStyle w:val="VerbatimChar"/>
        </w:rPr>
        <w:t xml:space="preserve">paralog</w:t>
      </w:r>
      <w:r>
        <w:t xml:space="preserve"> </w:t>
      </w:r>
      <w:r>
        <w:t xml:space="preserve">uses the VCF’s own</w:t>
      </w:r>
      <w:r>
        <w:t xml:space="preserve"> </w:t>
      </w:r>
      <w:r>
        <w:rPr>
          <w:rStyle w:val="VerbatimChar"/>
        </w:rPr>
        <w:t xml:space="preserve">MQ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 BAMs);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BAMs (somalier/sex) and the joint VCF (missingness/PCA).</w:t>
      </w:r>
    </w:p>
    <w:bookmarkStart w:id="42" w:name="worked-examples"/>
    <w:p>
      <w:pPr>
        <w:pStyle w:val="Heading3"/>
      </w:pPr>
      <w:r>
        <w:t xml:space="preserve">Worked examples</w:t>
      </w:r>
    </w:p>
    <w:p>
      <w:pPr>
        <w:pStyle w:val="FirstParagraph"/>
      </w:pPr>
      <w:r>
        <w:rPr>
          <w:b/>
          <w:bCs/>
        </w:rPr>
        <w:t xml:space="preserve">1 — Re-annotate after an annotation-database update</w:t>
      </w:r>
      <w:r>
        <w:t xml:space="preserve"> </w:t>
      </w:r>
      <w:r>
        <w:t xml:space="preserve">(e.g. a new ClinVar release). Point</w:t>
      </w:r>
      <w:r>
        <w:t xml:space="preserve"> </w:t>
      </w:r>
      <w:r>
        <w:t xml:space="preserve">discovery at the updated database directory and re-run only Stage 11 on the existing</w:t>
      </w:r>
      <w:r>
        <w:t xml:space="preserve"> </w:t>
      </w:r>
      <w:r>
        <w:t xml:space="preserve">paralog-flagged callset: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anno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results/stage10_paralog/paralog.annotated.vcf.gz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--resource_dirs</w:t>
      </w:r>
      <w:r>
        <w:rPr>
          <w:rStyle w:val="NormalTok"/>
        </w:rPr>
        <w:t xml:space="preserve"> /refs/annotation_db_2025_06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</w:t>
      </w:r>
      <w:r>
        <w:br/>
      </w:r>
      <w:r>
        <w:rPr>
          <w:rStyle w:val="CommentTok"/>
        </w:rPr>
        <w:t xml:space="preserve"># -&gt; results/standalone/anno_&lt;timestamp&gt;/stage11_annotation/annotated.vcf.gz</w:t>
      </w:r>
      <w:r>
        <w:br/>
      </w:r>
      <w:r>
        <w:rPr>
          <w:rStyle w:val="CommentTok"/>
        </w:rPr>
        <w:t xml:space="preserve">#    + variants.flat.tsv, anno_report.md, anno_provenance.json</w:t>
      </w:r>
    </w:p>
    <w:p>
      <w:pPr>
        <w:pStyle w:val="FirstParagraph"/>
      </w:pPr>
      <w:r>
        <w:rPr>
          <w:b/>
          <w:bCs/>
        </w:rPr>
        <w:t xml:space="preserve">2 — Re-run burden with a new AF cutoff, consequence set, and engine.</w:t>
      </w:r>
      <w:r>
        <w:t xml:space="preserve"> </w:t>
      </w:r>
      <w:r>
        <w:t xml:space="preserve">Reuse the annotated</w:t>
      </w:r>
      <w:r>
        <w:t xml:space="preserve"> </w:t>
      </w:r>
      <w:r>
        <w:t xml:space="preserve">callset; change only the thresholds/engine. Optionally reuse 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burden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results/stage11_annotation/annotated.vcf.gz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sample_sheet.csv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--burden_csq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'frameshift_variant,stop_gained,splice_acceptor_variant,splice_donor_variant'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--cohort_qc_json</w:t>
      </w:r>
      <w:r>
        <w:rPr>
          <w:rStyle w:val="NormalTok"/>
        </w:rPr>
        <w:t xml:space="preserve"> results/stage12_cohortqc/cohort_qc.json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</w:t>
      </w:r>
      <w:r>
        <w:br/>
      </w:r>
      <w:r>
        <w:rPr>
          <w:rStyle w:val="CommentTok"/>
        </w:rPr>
        <w:t xml:space="preserve"># -&gt; results/standalone/burden_&lt;timestamp&gt;/stage14_burden/burden_results.tsv</w:t>
      </w:r>
      <w:r>
        <w:br/>
      </w:r>
      <w:r>
        <w:rPr>
          <w:rStyle w:val="CommentTok"/>
        </w:rPr>
        <w:t xml:space="preserve">#    (engine column stamps the method) + burden_report.md, burden_provenance.json</w:t>
      </w:r>
    </w:p>
    <w:p>
      <w:pPr>
        <w:pStyle w:val="FirstParagraph"/>
      </w:pPr>
      <w:r>
        <w:rPr>
          <w:b/>
          <w:bCs/>
        </w:rPr>
        <w:t xml:space="preserve">3 — Re-call CNV with different segmentation.</w:t>
      </w:r>
      <w:r>
        <w:t xml:space="preserve"> </w:t>
      </w:r>
      <w:r>
        <w:t xml:space="preserve">Re-run Stage 8 on the same BAMs with a</w:t>
      </w:r>
      <w:r>
        <w:t xml:space="preserve"> </w:t>
      </w:r>
      <w:r>
        <w:t xml:space="preserve">different CNVkit method/segmenter (the calls stay CaptureForge-callability-labelled):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cnv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--input_bams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'results/standalone/align_*/stage4_postalign/*.analysis.bam'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--cf_metrics_json</w:t>
      </w:r>
      <w:r>
        <w:rPr>
          <w:rStyle w:val="NormalTok"/>
        </w:rPr>
        <w:t xml:space="preserve"> /captureforge/results/full_run/stage9_qc/metrics.json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--cnv_method</w:t>
      </w:r>
      <w:r>
        <w:rPr>
          <w:rStyle w:val="NormalTok"/>
        </w:rPr>
        <w:t xml:space="preserve"> hybrid </w:t>
      </w:r>
      <w:r>
        <w:rPr>
          <w:rStyle w:val="AttributeTok"/>
        </w:rPr>
        <w:t xml:space="preserve">--cnv_segment_method</w:t>
      </w:r>
      <w:r>
        <w:rPr>
          <w:rStyle w:val="NormalTok"/>
        </w:rPr>
        <w:t xml:space="preserve"> cbs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</w:t>
      </w:r>
      <w:r>
        <w:br/>
      </w:r>
      <w:r>
        <w:rPr>
          <w:rStyle w:val="CommentTok"/>
        </w:rPr>
        <w:t xml:space="preserve"># -&gt; results/standalone/cnv_&lt;timestamp&gt;/stage8_cnv/cnv_calls.tsv</w:t>
      </w:r>
      <w:r>
        <w:br/>
      </w:r>
      <w:r>
        <w:rPr>
          <w:rStyle w:val="CommentTok"/>
        </w:rPr>
        <w:t xml:space="preserve">#    (each call labelled callable | breakpoint_blind_low_confidence) + cnv_report.md</w:t>
      </w:r>
    </w:p>
    <w:p>
      <w:pPr>
        <w:pStyle w:val="FirstParagraph"/>
      </w:pPr>
      <w:r>
        <w:t xml:space="preserve">(The alternative SNV caller is available the same way:</w:t>
      </w:r>
      <w:r>
        <w:t xml:space="preserve"> </w:t>
      </w:r>
      <w:r>
        <w:rPr>
          <w:rStyle w:val="VerbatimChar"/>
        </w:rPr>
        <w:t xml:space="preserve">callforge call --caller deepvariant …</w:t>
      </w:r>
      <w:r>
        <w:t xml:space="preserve"> </w:t>
      </w:r>
      <w:r>
        <w:t xml:space="preserve">runs DeepVariant + GLnexus instead of GATK; see §8.8.)</w:t>
      </w:r>
    </w:p>
    <w:bookmarkEnd w:id="42"/>
    <w:bookmarkEnd w:id="43"/>
    <w:bookmarkEnd w:id="44"/>
    <w:bookmarkStart w:id="78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63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46" name="Picture"/>
            <a:graphic>
              <a:graphicData uri="http://schemas.openxmlformats.org/drawingml/2006/picture">
                <pic:pic>
                  <pic:nvPicPr>
                    <pic:cNvPr descr="figures/mapping_rat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49" name="Picture"/>
            <a:graphic>
              <a:graphicData uri="http://schemas.openxmlformats.org/drawingml/2006/picture">
                <pic:pic>
                  <pic:nvPicPr>
                    <pic:cNvPr descr="figures/on_target_enrichment_ontarge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52" name="Picture"/>
            <a:graphic>
              <a:graphicData uri="http://schemas.openxmlformats.org/drawingml/2006/picture">
                <pic:pic>
                  <pic:nvPicPr>
                    <pic:cNvPr descr="figures/on_target_enrichment_fol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5" name="Picture"/>
            <a:graphic>
              <a:graphicData uri="http://schemas.openxmlformats.org/drawingml/2006/picture">
                <pic:pic>
                  <pic:nvPicPr>
                    <pic:cNvPr descr="figures/coverage_uniform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58" name="Picture"/>
            <a:graphic>
              <a:graphicData uri="http://schemas.openxmlformats.org/drawingml/2006/picture">
                <pic:pic>
                  <pic:nvPicPr>
                    <pic:cNvPr descr="figures/per_gene_depth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61" name="Picture"/>
            <a:graphic>
              <a:graphicData uri="http://schemas.openxmlformats.org/drawingml/2006/picture">
                <pic:pic>
                  <pic:nvPicPr>
                    <pic:cNvPr descr="figures/coverage_cumulativ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63"/>
    <w:bookmarkStart w:id="76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5" name="Picture"/>
            <a:graphic>
              <a:graphicData uri="http://schemas.openxmlformats.org/drawingml/2006/picture">
                <pic:pic>
                  <pic:nvPicPr>
                    <pic:cNvPr descr="figures/qc_scorecar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68" name="Picture"/>
            <a:graphic>
              <a:graphicData uri="http://schemas.openxmlformats.org/drawingml/2006/picture">
                <pic:pic>
                  <pic:nvPicPr>
                    <pic:cNvPr descr="figures/cohort_coverage_d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71" name="Picture"/>
            <a:graphic>
              <a:graphicData uri="http://schemas.openxmlformats.org/drawingml/2006/picture">
                <pic:pic>
                  <pic:nvPicPr>
                    <pic:cNvPr descr="figures/contaminat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74" name="Picture"/>
            <a:graphic>
              <a:graphicData uri="http://schemas.openxmlformats.org/drawingml/2006/picture">
                <pic:pic>
                  <pic:nvPicPr>
                    <pic:cNvPr descr="figures/sex_check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6"/>
    <w:bookmarkStart w:id="77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7"/>
    <w:bookmarkEnd w:id="78"/>
    <w:bookmarkStart w:id="154" w:name="stage-details-their-plots"/>
    <w:p>
      <w:pPr>
        <w:pStyle w:val="Heading1"/>
      </w:pPr>
      <w:r>
        <w:t xml:space="preserve">10. Stage details &amp; their plots</w:t>
      </w:r>
    </w:p>
    <w:bookmarkStart w:id="97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80" name="Picture"/>
            <a:graphic>
              <a:graphicData uri="http://schemas.openxmlformats.org/drawingml/2006/picture">
                <pic:pic>
                  <pic:nvPicPr>
                    <pic:cNvPr descr="figures/variants_per_sampl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83" name="Picture"/>
            <a:graphic>
              <a:graphicData uri="http://schemas.openxmlformats.org/drawingml/2006/picture">
                <pic:pic>
                  <pic:nvPicPr>
                    <pic:cNvPr descr="figures/titv_per_sampl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86" name="Picture"/>
            <a:graphic>
              <a:graphicData uri="http://schemas.openxmlformats.org/drawingml/2006/picture">
                <pic:pic>
                  <pic:nvPicPr>
                    <pic:cNvPr descr="figures/het_hom_per_sampl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89" name="Picture"/>
            <a:graphic>
              <a:graphicData uri="http://schemas.openxmlformats.org/drawingml/2006/picture">
                <pic:pic>
                  <pic:nvPicPr>
                    <pic:cNvPr descr="figures/filter_before_afte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92" name="Picture"/>
            <a:graphic>
              <a:graphicData uri="http://schemas.openxmlformats.org/drawingml/2006/picture">
                <pic:pic>
                  <pic:nvPicPr>
                    <pic:cNvPr descr="figures/filter_pass_rat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5" name="Picture"/>
            <a:graphic>
              <a:graphicData uri="http://schemas.openxmlformats.org/drawingml/2006/picture">
                <pic:pic>
                  <pic:nvPicPr>
                    <pic:cNvPr descr="figures/filter_reason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7"/>
    <w:bookmarkStart w:id="110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99" name="Picture"/>
            <a:graphic>
              <a:graphicData uri="http://schemas.openxmlformats.org/drawingml/2006/picture">
                <pic:pic>
                  <pic:nvPicPr>
                    <pic:cNvPr descr="figures/cnv_callability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102" name="Picture"/>
            <a:graphic>
              <a:graphicData uri="http://schemas.openxmlformats.org/drawingml/2006/picture">
                <pic:pic>
                  <pic:nvPicPr>
                    <pic:cNvPr descr="figures/cnv_copyratio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5" name="Picture"/>
            <a:graphic>
              <a:graphicData uri="http://schemas.openxmlformats.org/drawingml/2006/picture">
                <pic:pic>
                  <pic:nvPicPr>
                    <pic:cNvPr descr="figures/str_allele_size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08" name="Picture"/>
            <a:graphic>
              <a:graphicData uri="http://schemas.openxmlformats.org/drawingml/2006/picture">
                <pic:pic>
                  <pic:nvPicPr>
                    <pic:cNvPr descr="figures/paralog_confidenc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10"/>
    <w:bookmarkStart w:id="126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12" name="Picture"/>
            <a:graphic>
              <a:graphicData uri="http://schemas.openxmlformats.org/drawingml/2006/picture">
                <pic:pic>
                  <pic:nvPicPr>
                    <pic:cNvPr descr="figures/annotation_landing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5" name="Picture"/>
            <a:graphic>
              <a:graphicData uri="http://schemas.openxmlformats.org/drawingml/2006/picture">
                <pic:pic>
                  <pic:nvPicPr>
                    <pic:cNvPr descr="figures/consequence_dis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18" name="Picture"/>
            <a:graphic>
              <a:graphicData uri="http://schemas.openxmlformats.org/drawingml/2006/picture">
                <pic:pic>
                  <pic:nvPicPr>
                    <pic:cNvPr descr="figures/novel_vs_known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21" name="Picture"/>
            <a:graphic>
              <a:graphicData uri="http://schemas.openxmlformats.org/drawingml/2006/picture">
                <pic:pic>
                  <pic:nvPicPr>
                    <pic:cNvPr descr="figures/gnomad_afr_af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24" name="Picture"/>
            <a:graphic>
              <a:graphicData uri="http://schemas.openxmlformats.org/drawingml/2006/picture">
                <pic:pic>
                  <pic:nvPicPr>
                    <pic:cNvPr descr="figures/phylop_di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6"/>
    <w:bookmarkStart w:id="139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28" name="Picture"/>
            <a:graphic>
              <a:graphicData uri="http://schemas.openxmlformats.org/drawingml/2006/picture">
                <pic:pic>
                  <pic:nvPicPr>
                    <pic:cNvPr descr="figures/relatedness_heatmap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31" name="Picture"/>
            <a:graphic>
              <a:graphicData uri="http://schemas.openxmlformats.org/drawingml/2006/picture">
                <pic:pic>
                  <pic:nvPicPr>
                    <pic:cNvPr descr="figures/ancestry_pca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34" name="Picture"/>
            <a:graphic>
              <a:graphicData uri="http://schemas.openxmlformats.org/drawingml/2006/picture">
                <pic:pic>
                  <pic:nvPicPr>
                    <pic:cNvPr descr="figures/cohort_sex_check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37" name="Picture"/>
            <a:graphic>
              <a:graphicData uri="http://schemas.openxmlformats.org/drawingml/2006/picture">
                <pic:pic>
                  <pic:nvPicPr>
                    <pic:cNvPr descr="figures/missingnes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39"/>
    <w:bookmarkStart w:id="146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41" name="Picture"/>
            <a:graphic>
              <a:graphicData uri="http://schemas.openxmlformats.org/drawingml/2006/picture">
                <pic:pic>
                  <pic:nvPicPr>
                    <pic:cNvPr descr="figures/giab_precision_recal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44" name="Picture"/>
            <a:graphic>
              <a:graphicData uri="http://schemas.openxmlformats.org/drawingml/2006/picture">
                <pic:pic>
                  <pic:nvPicPr>
                    <pic:cNvPr descr="figures/giab_f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6"/>
    <w:bookmarkStart w:id="153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48" name="Picture"/>
            <a:graphic>
              <a:graphicData uri="http://schemas.openxmlformats.org/drawingml/2006/picture">
                <pic:pic>
                  <pic:nvPicPr>
                    <pic:cNvPr descr="figures/burden_qq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51" name="Picture"/>
            <a:graphic>
              <a:graphicData uri="http://schemas.openxmlformats.org/drawingml/2006/picture">
                <pic:pic>
                  <pic:nvPicPr>
                    <pic:cNvPr descr="figures/burden_manhattan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53"/>
    <w:bookmarkEnd w:id="154"/>
    <w:bookmarkStart w:id="155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5"/>
    <w:bookmarkStart w:id="156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6"/>
    <w:bookmarkStart w:id="157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09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11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6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7"/>
        </w:numPr>
      </w:pPr>
      <w:r>
        <w:t xml:space="preserve">Revisit GATK hard-filter thresholds for targeted data.</w:t>
      </w:r>
    </w:p>
    <w:bookmarkEnd w:id="157"/>
    <w:bookmarkStart w:id="158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58"/>
    <w:bookmarkStart w:id="159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59"/>
    <w:bookmarkStart w:id="160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60"/>
    <w:bookmarkStart w:id="161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61"/>
    <w:bookmarkStart w:id="162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111" Target="media/rId111.png" /><Relationship Type="http://schemas.openxmlformats.org/officeDocument/2006/relationships/image" Id="rId150" Target="media/rId150.png" /><Relationship Type="http://schemas.openxmlformats.org/officeDocument/2006/relationships/image" Id="rId147" Target="media/rId147.png" /><Relationship Type="http://schemas.openxmlformats.org/officeDocument/2006/relationships/image" Id="rId11" Target="media/rId11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67" Target="media/rId67.png" /><Relationship Type="http://schemas.openxmlformats.org/officeDocument/2006/relationships/image" Id="rId133" Target="media/rId133.png" /><Relationship Type="http://schemas.openxmlformats.org/officeDocument/2006/relationships/image" Id="rId114" Target="media/rId114.png" /><Relationship Type="http://schemas.openxmlformats.org/officeDocument/2006/relationships/image" Id="rId70" Target="media/rId70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143" Target="media/rId143.png" /><Relationship Type="http://schemas.openxmlformats.org/officeDocument/2006/relationships/image" Id="rId140" Target="media/rId140.png" /><Relationship Type="http://schemas.openxmlformats.org/officeDocument/2006/relationships/image" Id="rId120" Target="media/rId120.png" /><Relationship Type="http://schemas.openxmlformats.org/officeDocument/2006/relationships/image" Id="rId85" Target="media/rId85.png" /><Relationship Type="http://schemas.openxmlformats.org/officeDocument/2006/relationships/image" Id="rId45" Target="media/rId45.png" /><Relationship Type="http://schemas.openxmlformats.org/officeDocument/2006/relationships/image" Id="rId136" Target="media/rId136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107" Target="media/rId107.png" /><Relationship Type="http://schemas.openxmlformats.org/officeDocument/2006/relationships/image" Id="rId57" Target="media/rId57.png" /><Relationship Type="http://schemas.openxmlformats.org/officeDocument/2006/relationships/image" Id="rId123" Target="media/rId123.png" /><Relationship Type="http://schemas.openxmlformats.org/officeDocument/2006/relationships/image" Id="rId64" Target="media/rId64.png" /><Relationship Type="http://schemas.openxmlformats.org/officeDocument/2006/relationships/image" Id="rId127" Target="media/rId127.png" /><Relationship Type="http://schemas.openxmlformats.org/officeDocument/2006/relationships/image" Id="rId73" Target="media/rId73.png" /><Relationship Type="http://schemas.openxmlformats.org/officeDocument/2006/relationships/image" Id="rId104" Target="media/rId10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2026-06-15T02:53:01Z</dcterms:created>
  <dcterms:modified xsi:type="dcterms:W3CDTF">2026-06-15T02:53:01Z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