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106.png" ContentType="image/png"/>
  <Override PartName="/word/media/rId145.png" ContentType="image/png"/>
  <Override PartName="/word/media/rId142.png" ContentType="image/png"/>
  <Override PartName="/word/media/rId11.png" ContentType="image/png"/>
  <Override PartName="/word/media/rId93.png" ContentType="image/png"/>
  <Override PartName="/word/media/rId96.png" ContentType="image/png"/>
  <Override PartName="/word/media/rId62.png" ContentType="image/png"/>
  <Override PartName="/word/media/rId128.png" ContentType="image/png"/>
  <Override PartName="/word/media/rId109.png" ContentType="image/png"/>
  <Override PartName="/word/media/rId65.png" ContentType="image/png"/>
  <Override PartName="/word/media/rId55.png" ContentType="image/png"/>
  <Override PartName="/word/media/rId49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138.png" ContentType="image/png"/>
  <Override PartName="/word/media/rId135.png" ContentType="image/png"/>
  <Override PartName="/word/media/rId115.png" ContentType="image/png"/>
  <Override PartName="/word/media/rId80.png" ContentType="image/png"/>
  <Override PartName="/word/media/rId40.png" ContentType="image/png"/>
  <Override PartName="/word/media/rId131.png" ContentType="image/png"/>
  <Override PartName="/word/media/rId112.png" ContentType="image/png"/>
  <Override PartName="/word/media/rId46.png" ContentType="image/png"/>
  <Override PartName="/word/media/rId43.png" ContentType="image/png"/>
  <Override PartName="/word/media/rId102.png" ContentType="image/png"/>
  <Override PartName="/word/media/rId52.png" ContentType="image/png"/>
  <Override PartName="/word/media/rId118.png" ContentType="image/png"/>
  <Override PartName="/word/media/rId59.png" ContentType="image/png"/>
  <Override PartName="/word/media/rId122.png" ContentType="image/png"/>
  <Override PartName="/word/media/rId68.png" ContentType="image/png"/>
  <Override PartName="/word/media/rId99.png" ContentType="image/png"/>
  <Override PartName="/word/media/rId77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356404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Key tool(s)</w:t>
            </w:r>
          </w:p>
        </w:tc>
        <w:tc>
          <w:tcPr/>
          <w:p>
            <w:pPr>
              <w:pStyle w:val="Compact"/>
            </w:pPr>
            <w:r>
              <w:t xml:space="preserve">Main output(s) under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validate_samplesheet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discover_resources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check_reference_invariant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ingest_captureforge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stage0_inputs/</w:t>
            </w:r>
            <w:r>
              <w:t xml:space="preserve"> </w:t>
            </w:r>
            <w:r>
              <w:t xml:space="preserve">(manifest, invariant,</w:t>
            </w:r>
            <w:r>
              <w:t xml:space="preserve"> </w:t>
            </w:r>
            <w:r>
              <w:rPr>
                <w:rStyle w:val="VerbatimChar"/>
              </w:rPr>
              <w:t xml:space="preserve">gene_metadata.tsv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Raw-read QC</w:t>
            </w:r>
          </w:p>
        </w:tc>
        <w:tc>
          <w:tcPr/>
          <w:p>
            <w:pPr>
              <w:pStyle w:val="Compact"/>
            </w:pPr>
            <w:r>
              <w:t xml:space="preserve">FastQC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stage1_rawqc/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Trimming</w:t>
            </w:r>
          </w:p>
        </w:tc>
        <w:tc>
          <w:tcPr/>
          <w:p>
            <w:pPr>
              <w:pStyle w:val="Compact"/>
            </w:pPr>
            <w:r>
              <w:t xml:space="preserve">fastp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stage2_trim/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Alignment</w:t>
            </w:r>
          </w:p>
        </w:tc>
        <w:tc>
          <w:tcPr/>
          <w:p>
            <w:pPr>
              <w:pStyle w:val="Compact"/>
            </w:pPr>
            <w:r>
              <w:t xml:space="preserve">bwa-mem2 → samtools 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stage3_align/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stage4_postalign/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qc_gate.py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stage5_qc_gate/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qc_pass.txt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</w:pPr>
            <w:r>
              <w:t xml:space="preserve">GATK HaplotypeCaller → GenomicsDBImport → GenotypeGVCFs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stage6_calling/joint.vcf.gz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</w:pPr>
            <w:r>
              <w:t xml:space="preserve">GATK VariantFiltration → MergeVcfs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stage7_filter/joint.filtered.vcf.gz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stage8_cnv/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cnv_calls.tsv</w:t>
            </w:r>
            <w:r>
              <w:t xml:space="preserve">, callability)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stage9_str/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stage10_paralog/paralog.annotated.vcf.gz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VEP + vcfanno + PhyloP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stage11_annotation/annotated.vcf.gz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variants.flat.tsv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Cohort QC</w:t>
            </w:r>
          </w:p>
        </w:tc>
        <w:tc>
          <w:tcPr/>
          <w:p>
            <w:pPr>
              <w:pStyle w:val="Compact"/>
            </w:pPr>
            <w:r>
              <w:t xml:space="preserve">somalier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stage12_cohortqc/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</w:pPr>
            <w:r>
              <w:t xml:space="preserve">hap.py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stage13_giab/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stage14_burden/burden_results.tsv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MultiQC + dashboard + provenance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7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clone CallForge (it lives beside CaptureForge)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~/Documents/Claude/Projects/callforge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End w:id="17"/>
    <w:bookmarkStart w:id="21" w:name="inputs"/>
    <w:p>
      <w:pPr>
        <w:pStyle w:val="Heading1"/>
      </w:pPr>
      <w:r>
        <w:t xml:space="preserve">5. Inputs</w:t>
      </w:r>
    </w:p>
    <w:bookmarkStart w:id="18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 (validated to exist and</w:t>
      </w:r>
      <w:r>
        <w:t xml:space="preserve"> </w:t>
      </w:r>
      <w:r>
        <w:t xml:space="preserve">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bookmarkEnd w:id="18"/>
    <w:bookmarkStart w:id="19" w:name="Xaad4569b5b308374a847db0a05c4bbedbf13bac"/>
    <w:p>
      <w:pPr>
        <w:pStyle w:val="Heading2"/>
      </w:pPr>
      <w:r>
        <w:t xml:space="preserve">5.2 CaptureForge handoff —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(+ metadata)</w:t>
      </w:r>
    </w:p>
    <w:p>
      <w:pPr>
        <w:pStyle w:val="FirstParagraph"/>
      </w:pPr>
      <w:r>
        <w:t xml:space="preserve">Point CallForge at CaptureForge’s as-built outputs:</w:t>
      </w:r>
    </w:p>
    <w:p>
      <w:pPr>
        <w:pStyle w:val="SourceCode"/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names 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).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supplies CNV callability;</w:t>
      </w:r>
      <w:r>
        <w:t xml:space="preserve"> </w:t>
      </w:r>
      <w:r>
        <w:rPr>
          <w:rStyle w:val="VerbatimChar"/>
        </w:rPr>
        <w:t xml:space="preserve">baits.csv</w:t>
      </w:r>
      <w:r>
        <w:t xml:space="preserve"> </w:t>
      </w:r>
      <w:r>
        <w:t xml:space="preserve">an off-target signal.</w:t>
      </w:r>
      <w:r>
        <w:t xml:space="preserve"> </w:t>
      </w:r>
      <w:r>
        <w:t xml:space="preserve">If CaptureForge outputs are absent, supply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(a per-gene TSV),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gene, classes, …, is_cnv_target, cnv_callable, cnv_callable_reason, is_str_target, str_loci, is_paralog, off_target_frac, low_coverage, burden_group</w:t>
      </w:r>
      <w:r>
        <w:t xml:space="preserve">.</w:t>
      </w:r>
    </w:p>
    <w:bookmarkEnd w:id="19"/>
    <w:bookmarkStart w:id="20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0"/>
    <w:bookmarkEnd w:id="21"/>
    <w:bookmarkStart w:id="28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2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  <w:tc>
          <w:tcPr/>
          <w:p>
            <w:pPr>
              <w:pStyle w:val="Compact"/>
            </w:pPr>
            <w:r>
              <w:t xml:space="preserve">Stage(s)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Scope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gnomAD</w:t>
            </w:r>
            <w:r>
              <w:t xml:space="preserve"> </w:t>
            </w:r>
            <w:r>
              <w:t xml:space="preserve">(AFR)</w:t>
            </w:r>
          </w:p>
        </w:tc>
        <w:tc>
          <w:tcPr/>
          <w:p>
            <w:pPr>
              <w:pStyle w:val="Compact"/>
            </w:pPr>
            <w:r>
              <w:t xml:space="preserve">population allele frequencies, incl. African-ancestry</w:t>
            </w:r>
            <w:r>
              <w:t xml:space="preserve"> </w:t>
            </w:r>
            <w:r>
              <w:rPr>
                <w:rStyle w:val="VerbatimChar"/>
              </w:rPr>
              <w:t xml:space="preserve">AF_afr</w:t>
            </w:r>
          </w:p>
        </w:tc>
        <w:tc>
          <w:tcPr/>
          <w:p>
            <w:pPr>
              <w:pStyle w:val="Compact"/>
            </w:pPr>
            <w:r>
              <w:t xml:space="preserve">11 (vcfanno), 14 (rare filter)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--gnomad_vcf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--gnomad_af_field AF_afr</w:t>
            </w:r>
          </w:p>
        </w:tc>
        <w:tc>
          <w:tcPr/>
          <w:p>
            <w:pPr>
              <w:pStyle w:val="Compac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ClinVar</w:t>
            </w:r>
          </w:p>
        </w:tc>
        <w:tc>
          <w:tcPr/>
          <w:p>
            <w:pPr>
              <w:pStyle w:val="Compact"/>
            </w:pPr>
            <w:r>
              <w:t xml:space="preserve">clinical significance (</w:t>
            </w:r>
            <w:r>
              <w:rPr>
                <w:rStyle w:val="VerbatimChar"/>
              </w:rPr>
              <w:t xml:space="preserve">CLNSIG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CLNDN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CLNREVSTAT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--clinvar_vcf</w:t>
            </w:r>
          </w:p>
        </w:tc>
        <w:tc>
          <w:tcPr/>
          <w:p>
            <w:pPr>
              <w:pStyle w:val="Compac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dbSNP</w:t>
            </w:r>
          </w:p>
        </w:tc>
        <w:tc>
          <w:tcPr/>
          <w:p>
            <w:pPr>
              <w:pStyle w:val="Compac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</w:pPr>
            <w:r>
              <w:t xml:space="preserve">11 (rsID), 4 (BQSR known-site)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--dbsnp_vcf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VEP cache</w:t>
            </w:r>
          </w:p>
        </w:tc>
        <w:tc>
          <w:tcPr/>
          <w:p>
            <w:pPr>
              <w:pStyle w:val="Compac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--vep_release</w:t>
            </w:r>
          </w:p>
        </w:tc>
        <w:tc>
          <w:tcPr/>
          <w:p>
            <w:pPr>
              <w:pStyle w:val="Compac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PhyloP</w:t>
            </w:r>
          </w:p>
        </w:tc>
        <w:tc>
          <w:tcPr/>
          <w:p>
            <w:pPr>
              <w:pStyle w:val="Compac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--phylop_bw</w:t>
            </w:r>
          </w:p>
        </w:tc>
        <w:tc>
          <w:tcPr/>
          <w:p>
            <w:pPr>
              <w:pStyle w:val="Compac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2"/>
    <w:bookmarkStart w:id="23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3"/>
    <w:bookmarkStart w:id="24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4"/>
    <w:bookmarkStart w:id="25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5"/>
    <w:bookmarkStart w:id="26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6"/>
    <w:bookmarkStart w:id="27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7"/>
    <w:bookmarkEnd w:id="28"/>
    <w:bookmarkStart w:id="29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mac_local</w:t>
      </w:r>
      <w:r>
        <w:t xml:space="preserve"> </w:t>
      </w:r>
      <w:r>
        <w:t xml:space="preserve">(full, one machine),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End w:id="29"/>
    <w:bookmarkStart w:id="39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0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0"/>
    <w:bookmarkStart w:id="31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(authoring machine)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1"/>
    <w:bookmarkStart w:id="32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2"/>
    <w:bookmarkStart w:id="33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3"/>
    <w:bookmarkStart w:id="34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4"/>
    <w:bookmarkStart w:id="35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35"/>
    <w:bookmarkStart w:id="36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36"/>
    <w:bookmarkStart w:id="37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37"/>
    <w:bookmarkStart w:id="38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38"/>
    <w:bookmarkEnd w:id="39"/>
    <w:bookmarkStart w:id="73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58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688336"/>
            <wp:effectExtent b="0" l="0" r="0" t="0"/>
            <wp:docPr descr="Percent of reads mapped and properly paired per sample (alignment success)." title="" id="41" name="Picture"/>
            <a:graphic>
              <a:graphicData uri="http://schemas.openxmlformats.org/drawingml/2006/picture">
                <pic:pic>
                  <pic:nvPicPr>
                    <pic:cNvPr descr="figures/mapping_rat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619540"/>
            <wp:effectExtent b="0" l="0" r="0" t="0"/>
            <wp:docPr descr="Percent of bases on the capture target per sample (capture specificity)." title="" id="44" name="Picture"/>
            <a:graphic>
              <a:graphicData uri="http://schemas.openxmlformats.org/drawingml/2006/picture">
                <pic:pic>
                  <pic:nvPicPr>
                    <pic:cNvPr descr="figures/on_target_enrichment_ontarge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19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424792"/>
            <wp:effectExtent b="0" l="0" r="0" t="0"/>
            <wp:docPr descr="Fold-enrichment of on-target vs genome-average coverage (capture performance)." title="" id="47" name="Picture"/>
            <a:graphic>
              <a:graphicData uri="http://schemas.openxmlformats.org/drawingml/2006/picture">
                <pic:pic>
                  <pic:nvPicPr>
                    <pic:cNvPr descr="figures/on_target_enrichment_fol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424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294355"/>
            <wp:effectExtent b="0" l="0" r="0" t="0"/>
            <wp:docPr descr="FOLD_80_BASE_PENALTY: fold extra sequencing for 80% of targets to reach the mean (1.0 = perfectly uniform)." title="" id="50" name="Picture"/>
            <a:graphic>
              <a:graphicData uri="http://schemas.openxmlformats.org/drawingml/2006/picture">
                <pic:pic>
                  <pic:nvPicPr>
                    <pic:cNvPr descr="figures/coverage_uniformit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9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534677"/>
            <wp:effectExtent b="0" l="0" r="0" t="0"/>
            <wp:docPr descr="Mean coverage depth per target gene per sample; spot under-covered genes (e.g. CR1/CFH)." title="" id="53" name="Picture"/>
            <a:graphic>
              <a:graphicData uri="http://schemas.openxmlformats.org/drawingml/2006/picture">
                <pic:pic>
                  <pic:nvPicPr>
                    <pic:cNvPr descr="figures/per_gene_dept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534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074409"/>
            <wp:effectExtent b="0" l="0" r="0" t="0"/>
            <wp:docPr descr="Fraction of target bases covered at &gt;= each depth, per sample (sensitivity for calling)." title="" id="56" name="Picture"/>
            <a:graphic>
              <a:graphicData uri="http://schemas.openxmlformats.org/drawingml/2006/picture">
                <pic:pic>
                  <pic:nvPicPr>
                    <pic:cNvPr descr="figures/coverage_cumulati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74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58"/>
    <w:bookmarkStart w:id="71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092491"/>
            <wp:effectExtent b="0" l="0" r="0" t="0"/>
            <wp:docPr descr="Per-sample QC checks (green=pass, red=fail, grey=not assessed); sample label shows the gate decision. Quarantined samples are kept and reported, not dropped." title="" id="60" name="Picture"/>
            <a:graphic>
              <a:graphicData uri="http://schemas.openxmlformats.org/drawingml/2006/picture">
                <pic:pic>
                  <pic:nvPicPr>
                    <pic:cNvPr descr="figures/qc_scorec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92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098782"/>
            <wp:effectExtent b="0" l="0" r="0" t="0"/>
            <wp:docPr descr="Distribution of per-sample mean target depth across the cohort vs the gate threshold." title="" id="63" name="Picture"/>
            <a:graphic>
              <a:graphicData uri="http://schemas.openxmlformats.org/drawingml/2006/picture">
                <pic:pic>
                  <pic:nvPicPr>
                    <pic:cNvPr descr="figures/cohort_coverage_dis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98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238122"/>
            <wp:effectExtent b="0" l="0" r="0" t="0"/>
            <wp:docPr descr="VerifyBamID2 FREEMIX contamination estimate per sample vs threshold (grey note if no SVD panel available)." title="" id="66" name="Picture"/>
            <a:graphic>
              <a:graphicData uri="http://schemas.openxmlformats.org/drawingml/2006/picture">
                <pic:pic>
                  <pic:nvPicPr>
                    <pic:cNvPr descr="figures/contamin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8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036826"/>
            <wp:effectExtent b="0" l="0" r="0" t="0"/>
            <wp:docPr descr="Declared vs inferred sex per sample (grey note if the panel has no X/Y targets to infer from)." title="" id="69" name="Picture"/>
            <a:graphic>
              <a:graphicData uri="http://schemas.openxmlformats.org/drawingml/2006/picture">
                <pic:pic>
                  <pic:nvPicPr>
                    <pic:cNvPr descr="figures/sex_chec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36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1"/>
    <w:bookmarkStart w:id="72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2"/>
    <w:bookmarkEnd w:id="73"/>
    <w:bookmarkStart w:id="149" w:name="stage-details-their-plots"/>
    <w:p>
      <w:pPr>
        <w:pStyle w:val="Heading1"/>
      </w:pPr>
      <w:r>
        <w:t xml:space="preserve">10. Stage details &amp; their plots</w:t>
      </w:r>
    </w:p>
    <w:bookmarkStart w:id="92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366718"/>
            <wp:effectExtent b="0" l="0" r="0" t="0"/>
            <wp:docPr descr="Per-sample count of non-reference genotypes in the joint callset (calling yield)." title="" id="75" name="Picture"/>
            <a:graphic>
              <a:graphicData uri="http://schemas.openxmlformats.org/drawingml/2006/picture">
                <pic:pic>
                  <pic:nvPicPr>
                    <pic:cNvPr descr="figures/variants_per_sampl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66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190336"/>
            <wp:effectExtent b="0" l="0" r="0" t="0"/>
            <wp:docPr descr="Transition/transversion ratio per sample; whole-exome ~3.0, smaller panels vary (calling quality)." title="" id="78" name="Picture"/>
            <a:graphic>
              <a:graphicData uri="http://schemas.openxmlformats.org/drawingml/2006/picture">
                <pic:pic>
                  <pic:nvPicPr>
                    <pic:cNvPr descr="figures/titv_per_samp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90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214340"/>
            <wp:effectExtent b="0" l="0" r="0" t="0"/>
            <wp:docPr descr="Heterozygous-to-homozygous-alt ratio per sample; extreme values flag sample-quality issues." title="" id="81" name="Picture"/>
            <a:graphic>
              <a:graphicData uri="http://schemas.openxmlformats.org/drawingml/2006/picture">
                <pic:pic>
                  <pic:nvPicPr>
                    <pic:cNvPr descr="figures/het_hom_per_s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14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174141"/>
            <wp:effectExtent b="0" l="0" r="0" t="0"/>
            <wp:docPr descr="Variant counts before and after GATK hard-filtering, by type (sites retained)." title="" id="84" name="Picture"/>
            <a:graphic>
              <a:graphicData uri="http://schemas.openxmlformats.org/drawingml/2006/picture">
                <pic:pic>
                  <pic:nvPicPr>
                    <pic:cNvPr descr="figures/filter_before_aft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74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183905"/>
            <wp:effectExtent b="0" l="0" r="0" t="0"/>
            <wp:docPr descr="Fraction of called variants passing the GATK hard-filters, by type and overall." title="" id="87" name="Picture"/>
            <a:graphic>
              <a:graphicData uri="http://schemas.openxmlformats.org/drawingml/2006/picture">
                <pic:pic>
                  <pic:nvPicPr>
                    <pic:cNvPr descr="figures/filter_pass_rat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83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409510"/>
            <wp:effectExtent b="0" l="0" r="0" t="0"/>
            <wp:docPr descr="Number of sites rejected by each hard-filter criterion (which filter removed what)." title="" id="90" name="Picture"/>
            <a:graphic>
              <a:graphicData uri="http://schemas.openxmlformats.org/drawingml/2006/picture">
                <pic:pic>
                  <pic:nvPicPr>
                    <pic:cNvPr descr="figures/filter_reason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40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2"/>
    <w:bookmarkStart w:id="105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2646825"/>
            <wp:effectExtent b="0" l="0" r="0" t="0"/>
            <wp:docPr descr="CNV-target genes coloured by CaptureForge callability: green=depth-callable, red=breakpoint-blind (low-confidence, e.g. CR1/CFH)." title="" id="94" name="Picture"/>
            <a:graphic>
              <a:graphicData uri="http://schemas.openxmlformats.org/drawingml/2006/picture">
                <pic:pic>
                  <pic:nvPicPr>
                    <pic:cNvPr descr="figures/cnv_callability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4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1961766"/>
            <wp:effectExtent b="0" l="0" r="0" t="0"/>
            <wp:docPr descr="Per-target log2 copy ratio per sample; deviations from 0 indicate copy-number change." title="" id="97" name="Picture"/>
            <a:graphic>
              <a:graphicData uri="http://schemas.openxmlformats.org/drawingml/2006/picture">
                <pic:pic>
                  <pic:nvPicPr>
                    <pic:cNvPr descr="figures/cnv_copyratio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6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199271"/>
            <wp:effectExtent b="0" l="0" r="0" t="0"/>
            <wp:docPr descr="Distribution of genotyped repeat-unit counts (allele sizes) per STR locus." title="" id="100" name="Picture"/>
            <a:graphic>
              <a:graphicData uri="http://schemas.openxmlformats.org/drawingml/2006/picture">
                <pic:pic>
                  <pic:nvPicPr>
                    <pic:cNvPr descr="figures/str_allele_size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99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315645"/>
            <wp:effectExtent b="0" l="0" r="0" t="0"/>
            <wp:docPr descr="Variants in each paralog-ambiguous gene region, split into confident (uniquely callable, high MQ) vs flagged low-confidence (multimapping-ambiguous, low MQ)." title="" id="103" name="Picture"/>
            <a:graphic>
              <a:graphicData uri="http://schemas.openxmlformats.org/drawingml/2006/picture">
                <pic:pic>
                  <pic:nvPicPr>
                    <pic:cNvPr descr="figures/paralog_confidence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15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05"/>
    <w:bookmarkStart w:id="121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250678"/>
            <wp:effectExtent b="0" l="0" r="0" t="0"/>
            <wp:docPr descr="Fraction of callset variants that actually received each annotation (proof the annotation landed, not silently missed on a contig-name mismatch)." title="" id="107" name="Picture"/>
            <a:graphic>
              <a:graphicData uri="http://schemas.openxmlformats.org/drawingml/2006/picture">
                <pic:pic>
                  <pic:nvPicPr>
                    <pic:cNvPr descr="figures/annotation_landin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50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657674"/>
            <wp:effectExtent b="0" l="0" r="0" t="0"/>
            <wp:docPr descr="Most-severe VEP consequence per variant across the callset." title="" id="110" name="Picture"/>
            <a:graphic>
              <a:graphicData uri="http://schemas.openxmlformats.org/drawingml/2006/picture">
                <pic:pic>
                  <pic:nvPicPr>
                    <pic:cNvPr descr="figures/consequence_dis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657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14273"/>
            <wp:effectExtent b="0" l="0" r="0" t="0"/>
            <wp:docPr descr="Variants with a dbSNP rsID (known) vs without (novel) — novelty rate." title="" id="113" name="Picture"/>
            <a:graphic>
              <a:graphicData uri="http://schemas.openxmlformats.org/drawingml/2006/picture">
                <pic:pic>
                  <pic:nvPicPr>
                    <pic:cNvPr descr="figures/novel_vs_know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14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1895834"/>
            <wp:effectExtent b="0" l="0" r="0" t="0"/>
            <wp:docPr descr="Distribution of gnomAD African-ancestry allele frequencies; title shows the % of variants carrying an AFR AF (key for rare-variant filtering / burden)." title="" id="116" name="Picture"/>
            <a:graphic>
              <a:graphicData uri="http://schemas.openxmlformats.org/drawingml/2006/picture">
                <pic:pic>
                  <pic:nvPicPr>
                    <pic:cNvPr descr="figures/gnomad_afr_af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895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171493"/>
            <wp:effectExtent b="0" l="0" r="0" t="0"/>
            <wp:docPr descr="PhyloP conservation-score distribution; positive = conserved (likely functional)." title="" id="119" name="Picture"/>
            <a:graphic>
              <a:graphicData uri="http://schemas.openxmlformats.org/drawingml/2006/picture">
                <pic:pic>
                  <pic:nvPicPr>
                    <pic:cNvPr descr="figures/phylop_di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71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1"/>
    <w:bookmarkStart w:id="134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235854"/>
            <wp:effectExtent b="0" l="0" r="0" t="0"/>
            <wp:docPr descr="Pairwise somalier relatedness; synthetic test samples are near-identical so values run high (machinery proven) — a real cohort shows true relatedness structure." title="" id="123" name="Picture"/>
            <a:graphic>
              <a:graphicData uri="http://schemas.openxmlformats.org/drawingml/2006/picture">
                <pic:pic>
                  <pic:nvPicPr>
                    <pic:cNvPr descr="figures/relatedness_heatmap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35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170730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26" name="Picture"/>
            <a:graphic>
              <a:graphicData uri="http://schemas.openxmlformats.org/drawingml/2006/picture">
                <pic:pic>
                  <pic:nvPicPr>
                    <pic:cNvPr descr="figures/ancestry_pca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70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316309"/>
            <wp:effectExtent b="0" l="0" r="0" t="0"/>
            <wp:docPr descr="Declared vs somalier-inferred sex per sample (somalier infers from X/Y signal incl. off-target reads — the backstop for an autosomal panel with no X/Y targets)." title="" id="129" name="Picture"/>
            <a:graphic>
              <a:graphicData uri="http://schemas.openxmlformats.org/drawingml/2006/picture">
                <pic:pic>
                  <pic:nvPicPr>
                    <pic:cNvPr descr="figures/cohort_sex_chec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16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346108"/>
            <wp:effectExtent b="0" l="0" r="0" t="0"/>
            <wp:docPr descr="Per-sample fraction of no-call genotypes in the joint callset (sample quality)." title="" id="132" name="Picture"/>
            <a:graphic>
              <a:graphicData uri="http://schemas.openxmlformats.org/drawingml/2006/picture">
                <pic:pic>
                  <pic:nvPicPr>
                    <pic:cNvPr descr="figures/missingnes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46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34"/>
    <w:bookmarkStart w:id="141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1958186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36" name="Picture"/>
            <a:graphic>
              <a:graphicData uri="http://schemas.openxmlformats.org/drawingml/2006/picture">
                <pic:pic>
                  <pic:nvPicPr>
                    <pic:cNvPr descr="figures/giab_precision_reca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58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1936525"/>
            <wp:effectExtent b="0" l="0" r="0" t="0"/>
            <wp:docPr descr="hap.py F1 per variant type vs GIAB truth, restricted to the panel BED (on-target)." title="" id="139" name="Picture"/>
            <a:graphic>
              <a:graphicData uri="http://schemas.openxmlformats.org/drawingml/2006/picture">
                <pic:pic>
                  <pic:nvPicPr>
                    <pic:cNvPr descr="figures/giab_f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3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1"/>
    <w:bookmarkStart w:id="148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549058"/>
            <wp:effectExtent b="0" l="0" r="0" t="0"/>
            <wp:docPr descr="QQ plot of gene-burden p-values vs uniform expectation; lambda = genomic inflation. Small-N synthetic results prove the machinery only — not valid association." title="" id="143" name="Picture"/>
            <a:graphic>
              <a:graphicData uri="http://schemas.openxmlformats.org/drawingml/2006/picture">
                <pic:pic>
                  <pic:nvPicPr>
                    <pic:cNvPr descr="figures/burden_qq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49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296294"/>
            <wp:effectExtent b="0" l="0" r="0" t="0"/>
            <wp:docPr descr="Per-gene burden significance (-log10 p) with a Bonferroni line; collapses rare+functional variants per gene. Validity depends on N, phenotype definition, ancestry matching." title="" id="146" name="Picture"/>
            <a:graphic>
              <a:graphicData uri="http://schemas.openxmlformats.org/drawingml/2006/picture">
                <pic:pic>
                  <pic:nvPicPr>
                    <pic:cNvPr descr="figures/burden_manhattan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9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48"/>
    <w:bookmarkEnd w:id="149"/>
    <w:bookmarkStart w:id="150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stage11_annotation/annotated.vcf.gz</w:t>
            </w:r>
          </w:p>
        </w:tc>
        <w:tc>
          <w:tcPr/>
          <w:p>
            <w:pPr>
              <w:pStyle w:val="Compact"/>
            </w:pPr>
            <w:r>
              <w:t xml:space="preserve">VEP CSQ +</w:t>
            </w:r>
            <w:r>
              <w:t xml:space="preserve"> </w:t>
            </w:r>
            <w:r>
              <w:rPr>
                <w:rStyle w:val="VerbatimChar"/>
              </w:rPr>
              <w:t xml:space="preserve">gnomAD_*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ClinVar_*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PhyloP</w:t>
            </w:r>
            <w:r>
              <w:t xml:space="preserve"> </w:t>
            </w:r>
            <w:r>
              <w:t xml:space="preserve">+ paralog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stage11_annotation/variants.flat.tsv</w:t>
            </w:r>
          </w:p>
        </w:tc>
        <w:tc>
          <w:tcPr/>
          <w:p>
            <w:pPr>
              <w:pStyle w:val="Compact"/>
            </w:pPr>
            <w:r>
              <w:t xml:space="preserve">flattened; columns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stage7_filter/joint.filtered.vcf.gz</w:t>
            </w:r>
          </w:p>
        </w:tc>
        <w:tc>
          <w:tcPr/>
          <w:p>
            <w:pPr>
              <w:pStyle w:val="Compact"/>
            </w:pPr>
            <w:r>
              <w:t xml:space="preserve">FILTER = PASS / hard-filter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 calls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stage8_cnv/cnv_calls.tsv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cnv_callable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stage9_str/str_calls.tsv</w:t>
            </w:r>
          </w:p>
        </w:tc>
        <w:tc>
          <w:tcPr/>
          <w:p>
            <w:pPr>
              <w:pStyle w:val="Compact"/>
            </w:pPr>
            <w:r>
              <w:t xml:space="preserve">repeat units, read support, call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 VCF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stage10_paralog/paralog.annotated.vcf.gz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INFO/PARALOG_GENE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PARALOG_CONF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stage14_burden/burden_results.tsv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column stamps the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 QC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stage12_cohortqc/cohort_qc.json</w:t>
            </w:r>
          </w:p>
        </w:tc>
        <w:tc>
          <w:tcPr/>
          <w:p>
            <w:pPr>
              <w:pStyle w:val="Compact"/>
            </w:pPr>
            <w:r>
              <w:t xml:space="preserve">relatedness, sex, missingness, 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stage13_giab/plots/giab_metrics.json</w:t>
            </w:r>
          </w:p>
        </w:tc>
        <w:tc>
          <w:tcPr/>
          <w:p>
            <w:pPr>
              <w:pStyle w:val="Compact"/>
            </w:pPr>
            <w:r>
              <w:t xml:space="preserve">precision/recall/F1, on-target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stage15_report/provenance.json</w:t>
            </w:r>
          </w:p>
        </w:tc>
        <w:tc>
          <w:tcPr/>
          <w:p>
            <w:pPr>
              <w:pStyle w:val="Compact"/>
            </w:pPr>
            <w:r>
              <w:t xml:space="preserve">versions, resources, quarantine, PC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stage15_report/cohort_qc_dashboard.html</w:t>
            </w:r>
          </w:p>
        </w:tc>
        <w:tc>
          <w:tcPr/>
          <w:p>
            <w:pPr>
              <w:pStyle w:val="Compact"/>
            </w:pPr>
            <w:r>
              <w:t xml:space="preserve">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0"/>
    <w:bookmarkStart w:id="151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1"/>
    <w:bookmarkStart w:id="152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03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05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0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1"/>
        </w:numPr>
      </w:pPr>
      <w:r>
        <w:t xml:space="preserve">Revisit GATK hard-filter thresholds for targeted data.</w:t>
      </w:r>
    </w:p>
    <w:bookmarkEnd w:id="152"/>
    <w:bookmarkStart w:id="153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53"/>
    <w:bookmarkStart w:id="154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54"/>
    <w:bookmarkStart w:id="155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55"/>
    <w:bookmarkStart w:id="156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56"/>
    <w:bookmarkStart w:id="157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106" Target="media/rId106.png" /><Relationship Type="http://schemas.openxmlformats.org/officeDocument/2006/relationships/image" Id="rId145" Target="media/rId145.png" /><Relationship Type="http://schemas.openxmlformats.org/officeDocument/2006/relationships/image" Id="rId142" Target="media/rId142.png" /><Relationship Type="http://schemas.openxmlformats.org/officeDocument/2006/relationships/image" Id="rId11" Target="media/rId1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62" Target="media/rId62.png" /><Relationship Type="http://schemas.openxmlformats.org/officeDocument/2006/relationships/image" Id="rId128" Target="media/rId128.png" /><Relationship Type="http://schemas.openxmlformats.org/officeDocument/2006/relationships/image" Id="rId109" Target="media/rId109.png" /><Relationship Type="http://schemas.openxmlformats.org/officeDocument/2006/relationships/image" Id="rId65" Target="media/rId65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8" Target="media/rId138.png" /><Relationship Type="http://schemas.openxmlformats.org/officeDocument/2006/relationships/image" Id="rId135" Target="media/rId135.png" /><Relationship Type="http://schemas.openxmlformats.org/officeDocument/2006/relationships/image" Id="rId115" Target="media/rId115.png" /><Relationship Type="http://schemas.openxmlformats.org/officeDocument/2006/relationships/image" Id="rId80" Target="media/rId80.png" /><Relationship Type="http://schemas.openxmlformats.org/officeDocument/2006/relationships/image" Id="rId40" Target="media/rId40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102" Target="media/rId102.png" /><Relationship Type="http://schemas.openxmlformats.org/officeDocument/2006/relationships/image" Id="rId52" Target="media/rId52.png" /><Relationship Type="http://schemas.openxmlformats.org/officeDocument/2006/relationships/image" Id="rId118" Target="media/rId118.png" /><Relationship Type="http://schemas.openxmlformats.org/officeDocument/2006/relationships/image" Id="rId59" Target="media/rId59.png" /><Relationship Type="http://schemas.openxmlformats.org/officeDocument/2006/relationships/image" Id="rId122" Target="media/rId122.png" /><Relationship Type="http://schemas.openxmlformats.org/officeDocument/2006/relationships/image" Id="rId68" Target="media/rId68.png" /><Relationship Type="http://schemas.openxmlformats.org/officeDocument/2006/relationships/image" Id="rId99" Target="media/rId99.png" /><Relationship Type="http://schemas.openxmlformats.org/officeDocument/2006/relationships/image" Id="rId77" Target="media/rId77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Genomics &amp; Bioinformatics Core; Noguchi Memorial Institute for Medical Research; University of Ghana, Legon, Ghana</dc:creator>
  <dc:language>en</dc:language>
  <cp:keywords/>
  <dcterms:created xsi:type="dcterms:W3CDTF">2026-06-14T21:34:34Z</dcterms:created>
  <dcterms:modified xsi:type="dcterms:W3CDTF">2026-06-14T21:34:34Z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