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15.png" ContentType="image/png"/>
  <Override PartName="/word/media/rId154.png" ContentType="image/png"/>
  <Override PartName="/word/media/rId151.png" ContentType="image/png"/>
  <Override PartName="/word/media/rId11.png" ContentType="image/png"/>
  <Override PartName="/word/media/rId102.png" ContentType="image/png"/>
  <Override PartName="/word/media/rId105.png" ContentType="image/png"/>
  <Override PartName="/word/media/rId71.png" ContentType="image/png"/>
  <Override PartName="/word/media/rId137.png" ContentType="image/png"/>
  <Override PartName="/word/media/rId118.png" ContentType="image/png"/>
  <Override PartName="/word/media/rId74.png" ContentType="image/png"/>
  <Override PartName="/word/media/rId64.png" ContentType="image/png"/>
  <Override PartName="/word/media/rId58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47.png" ContentType="image/png"/>
  <Override PartName="/word/media/rId144.png" ContentType="image/png"/>
  <Override PartName="/word/media/rId124.png" ContentType="image/png"/>
  <Override PartName="/word/media/rId89.png" ContentType="image/png"/>
  <Override PartName="/word/media/rId49.png" ContentType="image/png"/>
  <Override PartName="/word/media/rId140.png" ContentType="image/png"/>
  <Override PartName="/word/media/rId121.png" ContentType="image/png"/>
  <Override PartName="/word/media/rId55.png" ContentType="image/png"/>
  <Override PartName="/word/media/rId52.png" ContentType="image/png"/>
  <Override PartName="/word/media/rId111.png" ContentType="image/png"/>
  <Override PartName="/word/media/rId61.png" ContentType="image/png"/>
  <Override PartName="/word/media/rId127.png" ContentType="image/png"/>
  <Override PartName="/word/media/rId68.png" ContentType="image/png"/>
  <Override PartName="/word/media/rId131.png" ContentType="image/png"/>
  <Override PartName="/word/media/rId77.png" ContentType="image/png"/>
  <Override PartName="/word/media/rId108.png" ContentType="image/png"/>
  <Override PartName="/word/media/rId86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597729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7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). Each process declares its own pinned conda</w:t>
      </w:r>
      <w:r>
        <w:t xml:space="preserve"> </w:t>
      </w:r>
      <w:r>
        <w:t xml:space="preserve">env (</w:t>
      </w:r>
      <w:r>
        <w:rPr>
          <w:rStyle w:val="VerbatimChar"/>
        </w:rPr>
        <w:t xml:space="preserve">env/*.yml</w:t>
      </w:r>
      <w:r>
        <w:t xml:space="preserve">) or a pinned container (VEP, hap.py, DeepVariant),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,singularity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9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HPC image (same .sif, either engine):</w:t>
      </w:r>
      <w:r>
        <w:br/>
      </w:r>
      <w:r>
        <w:rPr>
          <w:rStyle w:val="CommentTok"/>
        </w:rPr>
        <w:t xml:space="preserve">#   SingularityCE: sudo singularity build callforge.sif env/callforge.def</w:t>
      </w:r>
      <w:r>
        <w:br/>
      </w:r>
      <w:r>
        <w:rPr>
          <w:rStyle w:val="CommentTok"/>
        </w:rPr>
        <w:t xml:space="preserve">#                  (unprivileged: singularity build --fakeroot … needs /etc/subuid+subgid)</w:t>
      </w:r>
      <w:r>
        <w:br/>
      </w:r>
      <w:r>
        <w:rPr>
          <w:rStyle w:val="CommentTok"/>
        </w:rPr>
        <w:t xml:space="preserve">#   Apptainer:     apptainer build callforge.sif env/callforge.def</w:t>
      </w:r>
    </w:p>
    <w:bookmarkEnd w:id="15"/>
    <w:bookmarkStart w:id="16" w:name="Xc1b2cbe6fdc23b5712e29e7d0d71d3d91bf15c8"/>
    <w:p>
      <w:pPr>
        <w:pStyle w:val="Heading2"/>
      </w:pPr>
      <w:r>
        <w:t xml:space="preserve">4.2 Shared HPC install (SLURM + Apptainer/Singularity)</w:t>
      </w:r>
    </w:p>
    <w:p>
      <w:pPr>
        <w:pStyle w:val="FirstParagraph"/>
      </w:pPr>
      <w:r>
        <w:t xml:space="preserve">The production cohort run is intended for the cluster (native linux-64; no emulation).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and runs tasks inside one container image —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either Apptainer or SingularityCE</w:t>
      </w:r>
      <w:r>
        <w:t xml:space="preserve"> </w:t>
      </w:r>
      <w:r>
        <w:t xml:space="preserve">(compose</w:t>
      </w:r>
      <w:r>
        <w:t xml:space="preserve"> </w:t>
      </w:r>
      <w:r>
        <w:rPr>
          <w:rStyle w:val="VerbatimChar"/>
        </w:rPr>
        <w:t xml:space="preserve">hpc_slurm,apptainer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hpc_slurm,singularity</w:t>
      </w:r>
      <w:r>
        <w:t xml:space="preserve">; both run the same</w:t>
      </w:r>
      <w:r>
        <w:t xml:space="preserve"> </w:t>
      </w:r>
      <w:r>
        <w:rPr>
          <w:rStyle w:val="VerbatimChar"/>
        </w:rPr>
        <w:t xml:space="preserve">.sif</w:t>
      </w:r>
      <w:r>
        <w:t xml:space="preserve">), or shared conda (</w:t>
      </w:r>
      <w:r>
        <w:rPr>
          <w:rStyle w:val="VerbatimChar"/>
        </w:rPr>
        <w:t xml:space="preserve">hpc_slurm,conda</w:t>
      </w:r>
      <w:r>
        <w:t xml:space="preserve">).</w:t>
      </w:r>
      <w:r>
        <w:t xml:space="preserve"> </w:t>
      </w:r>
      <w:r>
        <w:t xml:space="preserve">This is a brief orientation;</w:t>
      </w:r>
      <w:r>
        <w:t xml:space="preserve"> </w:t>
      </w:r>
      <w:r>
        <w:rPr>
          <w:rStyle w:val="VerbatimChar"/>
          <w:b/>
          <w:bCs/>
        </w:rPr>
        <w:t xml:space="preserve">docs/hpc_deployment.md</w:t>
      </w:r>
      <w:r>
        <w:rPr>
          <w:b/>
          <w:bCs/>
        </w:rPr>
        <w:t xml:space="preserve"> </w:t>
      </w:r>
      <w:r>
        <w:rPr>
          <w:b/>
          <w:bCs/>
        </w:rPr>
        <w:t xml:space="preserve">is the complete, authoritative</w:t>
      </w:r>
      <w:r>
        <w:rPr>
          <w:b/>
          <w:bCs/>
        </w:rP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(build → stage references → configure → run → troubleshoot). All paths here are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1. build the core image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   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2. run — wire the image to every task with --container_image, and bind the root that</w:t>
      </w:r>
      <w:r>
        <w:br/>
      </w:r>
      <w:r>
        <w:rPr>
          <w:rStyle w:val="CommentTok"/>
        </w:rPr>
        <w:t xml:space="preserve">#    holds your references (auto-mounts cover only $HOME/tmp/CWD). VEP/hap.py/DeepVariant</w:t>
      </w:r>
      <w:r>
        <w:br/>
      </w:r>
      <w:r>
        <w:rPr>
          <w:rStyle w:val="CommentTok"/>
        </w:rPr>
        <w:t xml:space="preserve">#    pull their own official images automatically.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SINGULARITY_BIND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/hpc        </w:t>
      </w:r>
      <w:r>
        <w:rPr>
          <w:rStyle w:val="CommentTok"/>
        </w:rPr>
        <w:t xml:space="preserve"># APPTAINER_BIND on an Apptainer site; survives env-scrub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site.params.yaml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--container_image</w:t>
      </w:r>
      <w:r>
        <w:rPr>
          <w:rStyle w:val="NormalTok"/>
        </w:rPr>
        <w:t xml:space="preserve"> /shared/apps/callforge/callforge.sif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--scratch_dir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Two guards fail the run</w:t>
      </w:r>
      <w:r>
        <w:t xml:space="preserve"> </w:t>
      </w:r>
      <w:r>
        <w:rPr>
          <w:b/>
          <w:bCs/>
        </w:rPr>
        <w:t xml:space="preserve">loudly at launch</w:t>
      </w:r>
      <w:r>
        <w:t xml:space="preserve"> </w:t>
      </w:r>
      <w:r>
        <w:t xml:space="preserve">rather than mid-run: a container engine with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--container_image</w:t>
      </w:r>
      <w:r>
        <w:t xml:space="preserve"> </w:t>
      </w:r>
      <w:r>
        <w:t xml:space="preserve">(which would silently fall back to host tools), and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default — discover yours with</w:t>
      </w:r>
      <w:r>
        <w:t xml:space="preserve"> </w:t>
      </w:r>
      <w:r>
        <w:rPr>
          <w:rStyle w:val="VerbatimChar"/>
        </w:rPr>
        <w:t xml:space="preserve">sinfo -s</w:t>
      </w:r>
      <w:r>
        <w:t xml:space="preserve">).</w:t>
      </w:r>
    </w:p>
    <w:p>
      <w:pPr>
        <w:pStyle w:val="BodyText"/>
      </w:pPr>
      <w:r>
        <w:t xml:space="preserve">The recommended front door is the</w:t>
      </w:r>
      <w:r>
        <w:t xml:space="preserve"> </w:t>
      </w:r>
      <w:r>
        <w:rPr>
          <w:rStyle w:val="VerbatimChar"/>
          <w:b/>
          <w:bCs/>
        </w:rPr>
        <w:t xml:space="preserve">callforge-run</w:t>
      </w:r>
      <w:r>
        <w:rPr>
          <w:b/>
          <w:bCs/>
        </w:rP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with a sourced site env file</w:t>
      </w:r>
      <w:r>
        <w:t xml:space="preserve"> </w:t>
      </w:r>
      <w:r>
        <w:t xml:space="preserve">(no module system required) or 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— see</w:t>
      </w:r>
      <w:r>
        <w:t xml:space="preserve"> </w:t>
      </w:r>
      <w:r>
        <w:rPr>
          <w:rStyle w:val="VerbatimChar"/>
        </w:rPr>
        <w:t xml:space="preserve">docs/hpc_deployment.md §5</w:t>
      </w:r>
      <w:r>
        <w:t xml:space="preserve">. It puts</w:t>
      </w:r>
      <w:r>
        <w:t xml:space="preserve"> </w:t>
      </w:r>
      <w:r>
        <w:rPr>
          <w:rStyle w:val="VerbatimChar"/>
        </w:rPr>
        <w:t xml:space="preserve">container_image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bind_paths</w:t>
      </w:r>
      <w:r>
        <w:t xml:space="preserve">,</w:t>
      </w:r>
      <w:r>
        <w:t xml:space="preserve"> </w:t>
      </w:r>
      <w:r>
        <w:rPr>
          <w:rStyle w:val="VerbatimChar"/>
        </w:rPr>
        <w:t xml:space="preserve">slurm_partition</w:t>
      </w:r>
      <w:r>
        <w:t xml:space="preserve">, and the references in the params file /</w:t>
      </w:r>
      <w:r>
        <w:t xml:space="preserve"> </w:t>
      </w:r>
      <w:r>
        <w:t xml:space="preserve">env once, so a run collapses to:</w:t>
      </w:r>
    </w:p>
    <w:p>
      <w:pPr>
        <w:pStyle w:val="SourceCode"/>
      </w:pPr>
      <w:r>
        <w:rPr>
          <w:rStyle w:val="ExtensionTok"/>
        </w:rPr>
        <w:t xml:space="preserve">callforge-run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site.params.yaml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results</w:t>
      </w:r>
    </w:p>
    <w:p>
      <w:pPr>
        <w:pStyle w:val="FirstParagraph"/>
      </w:pP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container-image cache and conda-env cache so each is</w:t>
      </w:r>
      <w:r>
        <w:t xml:space="preserve"> </w:t>
      </w:r>
      <w:r>
        <w:t xml:space="preserve">built/pulled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--slurm_queue_opts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 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</w:t>
      </w:r>
      <w:r>
        <w:t xml:space="preserve"> </w:t>
      </w:r>
      <w:r>
        <w:t xml:space="preserve">slots (16 cpu / 48–64 GB).</w:t>
      </w:r>
    </w:p>
    <w:bookmarkEnd w:id="16"/>
    <w:bookmarkStart w:id="17" w:name="the-callforge-command-unified-cli"/>
    <w:p>
      <w:pPr>
        <w:pStyle w:val="Heading2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command (unified CLI)</w:t>
      </w:r>
    </w:p>
    <w:p>
      <w:pPr>
        <w:pStyle w:val="FirstParagraph"/>
      </w:pPr>
      <w:r>
        <w:t xml:space="preserve">CallForge ships a small console command,</w:t>
      </w:r>
      <w:r>
        <w:t xml:space="preserve"> </w:t>
      </w:r>
      <w:r>
        <w:rPr>
          <w:rStyle w:val="VerbatimChar"/>
          <w:b/>
          <w:bCs/>
        </w:rPr>
        <w:t xml:space="preserve">callforge</w:t>
      </w:r>
      <w:r>
        <w:t xml:space="preserve">, that is a friendly front door to</w:t>
      </w:r>
      <w:r>
        <w:t xml:space="preserve"> </w:t>
      </w:r>
      <w:r>
        <w:t xml:space="preserve">the existing entry points. Install it from the repo with an editable pip install (it is</w:t>
      </w:r>
      <w:r>
        <w:t xml:space="preserve"> </w:t>
      </w:r>
      <w:r>
        <w:t xml:space="preserve">stdlib-only — no heavy dependencies):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CommentTok"/>
        </w:rPr>
        <w:t xml:space="preserve"># registers `callforge` on PATH (in the active environment's bin/)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subcommands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0.1.0</w:t>
      </w:r>
    </w:p>
    <w:p>
      <w:pPr>
        <w:pStyle w:val="FirstParagraph"/>
      </w:pPr>
      <w:r>
        <w:t xml:space="preserve">Subcommands: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run …</w:t>
      </w:r>
      <w:r>
        <w:t xml:space="preserve"> </w:t>
      </w:r>
      <w:r>
        <w:t xml:space="preserve">— run the full pipeline (thin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§8.0).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samplesheet …</w:t>
      </w:r>
      <w:r>
        <w:t xml:space="preserve"> </w:t>
      </w:r>
      <w:r>
        <w:t xml:space="preserve">— scaffold/assemble a sample sheet (§5.1).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resources …</w:t>
      </w:r>
      <w:r>
        <w:t xml:space="preserve"> </w:t>
      </w:r>
      <w:r>
        <w:t xml:space="preserve">— resource discovery / genomic-scope checks (</w:t>
      </w:r>
      <w:r>
        <w:rPr>
          <w:rStyle w:val="VerbatimChar"/>
        </w:rPr>
        <w:t xml:space="preserve">discover_resources.py</w:t>
      </w:r>
      <w:r>
        <w:t xml:space="preserve">).</w:t>
      </w:r>
    </w:p>
    <w:p>
      <w:pPr>
        <w:pStyle w:val="FirstParagraph"/>
      </w:pPr>
      <w:r>
        <w:t xml:space="preserve">The CLI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: the raw forms keep working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bin/init_sample_sheet.py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nextflow run main.nf …</w:t>
      </w:r>
      <w:r>
        <w:t xml:space="preserve">). On the cluster, the</w:t>
      </w:r>
      <w:r>
        <w:t xml:space="preserve"> </w:t>
      </w:r>
      <w:r>
        <w:t xml:space="preserve">shared conda env under</w:t>
      </w:r>
      <w:r>
        <w:t xml:space="preserve"> </w:t>
      </w:r>
      <w:r>
        <w:rPr>
          <w:rStyle w:val="VerbatimChar"/>
        </w:rPr>
        <w:t xml:space="preserve">/hpc/opt/conda/envs/</w:t>
      </w:r>
      <w:r>
        <w:t xml:space="preserve"> </w:t>
      </w:r>
      <w:r>
        <w:t xml:space="preserve">plus the Lmod module/wrapper (§4.2) put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cluster-wide, so users run</w:t>
      </w:r>
      <w:r>
        <w:t xml:space="preserve"> </w:t>
      </w:r>
      <w:r>
        <w:rPr>
          <w:rStyle w:val="VerbatimChar"/>
        </w:rPr>
        <w:t xml:space="preserve">callforge run …</w:t>
      </w:r>
      <w:r>
        <w:t xml:space="preserve"> </w:t>
      </w:r>
      <w:r>
        <w:t xml:space="preserve">without a manual install.</w:t>
      </w:r>
    </w:p>
    <w:p>
      <w:pPr>
        <w:pStyle w:val="BlockText"/>
      </w:pPr>
      <w:r>
        <w:t xml:space="preserve">Stage-level subcommands (e.g. </w:t>
      </w:r>
      <w:r>
        <w:rPr>
          <w:rStyle w:val="VerbatimChar"/>
        </w:rPr>
        <w:t xml:space="preserve">callforge 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 anno</w:t>
      </w:r>
      <w:r>
        <w:t xml:space="preserve">) run a single stage</w:t>
      </w:r>
      <w:r>
        <w:t xml:space="preserve"> </w:t>
      </w:r>
      <w:r>
        <w:t xml:space="preserve">standalone — each maps to</w:t>
      </w:r>
      <w:r>
        <w:t xml:space="preserve"> </w:t>
      </w:r>
      <w:r>
        <w:rPr>
          <w:rStyle w:val="VerbatimChar"/>
        </w:rPr>
        <w:t xml:space="preserve">nextflow run main.nf --stage &lt;name&gt; 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param,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-entry</w:t>
      </w:r>
      <w:r>
        <w:t xml:space="preserve">), reusing the same module as the full pipeline. See §8.10 for the full</w:t>
      </w:r>
      <w:r>
        <w:t xml:space="preserve"> </w:t>
      </w:r>
      <w:r>
        <w:t xml:space="preserve">stage-subcommand reference.</w:t>
      </w:r>
    </w:p>
    <w:bookmarkEnd w:id="17"/>
    <w:bookmarkStart w:id="18" w:name="how-callforge-uses-conda-environments"/>
    <w:p>
      <w:pPr>
        <w:pStyle w:val="Heading2"/>
      </w:pPr>
      <w:r>
        <w:t xml:space="preserve">4.4 How CallForge uses conda environments</w:t>
      </w:r>
    </w:p>
    <w:p>
      <w:pPr>
        <w:pStyle w:val="FirstParagraph"/>
      </w:pPr>
      <w:r>
        <w:t xml:space="preserve">CallForge deliberately uses</w:t>
      </w:r>
      <w:r>
        <w:t xml:space="preserve"> </w:t>
      </w:r>
      <w:r>
        <w:rPr>
          <w:b/>
          <w:bCs/>
        </w:rPr>
        <w:t xml:space="preserve">several small, isolated per-stage conda environments</w:t>
      </w:r>
      <w:r>
        <w:t xml:space="preserve"> </w:t>
      </w:r>
      <w:r>
        <w:t xml:space="preserve">rather</w:t>
      </w:r>
      <w:r>
        <w:t xml:space="preserve"> </w:t>
      </w:r>
      <w:r>
        <w:t xml:space="preserve">than one big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callforge</w:t>
      </w:r>
      <w:r>
        <w:t xml:space="preserve"> </w:t>
      </w:r>
      <w:r>
        <w:t xml:space="preserve">(core: alignment/QC/calling/filter),</w:t>
      </w:r>
      <w:r>
        <w:t xml:space="preserve"> </w:t>
      </w:r>
      <w:r>
        <w:rPr>
          <w:rStyle w:val="VerbatimChar"/>
        </w:rPr>
        <w:t xml:space="preserve">callforge-cnv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callforge-str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callforge-annotate</w:t>
      </w:r>
      <w:r>
        <w:t xml:space="preserve"> </w:t>
      </w:r>
      <w:r>
        <w:t xml:space="preserve">(VEP/vcfanno),</w:t>
      </w:r>
      <w:r>
        <w:t xml:space="preserve"> </w:t>
      </w:r>
      <w:r>
        <w:rPr>
          <w:rStyle w:val="VerbatimChar"/>
        </w:rPr>
        <w:t xml:space="preserve">callforge-cohortqc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callforge-burden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callforge-deepvariant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.</w:t>
      </w:r>
    </w:p>
    <w:p>
      <w:pPr>
        <w:pStyle w:val="FirstParagraph"/>
      </w:pPr>
      <w:r>
        <w:t xml:space="preserve">Different stages need</w:t>
      </w:r>
      <w:r>
        <w:t xml:space="preserve"> </w:t>
      </w:r>
      <w:r>
        <w:rPr>
          <w:b/>
          <w:bCs/>
        </w:rPr>
        <w:t xml:space="preserve">conflicting toolchains</w:t>
      </w:r>
      <w:r>
        <w:t xml:space="preserve"> </w:t>
      </w:r>
      <w:r>
        <w:t xml:space="preserve">(CNV vs STR vs VEP/Perl vs GATK/Java), and</w:t>
      </w:r>
      <w:r>
        <w:t xml:space="preserve"> </w:t>
      </w:r>
      <w:r>
        <w:t xml:space="preserve">isolating them avoids dependency clashes — co-installing the CNV and STR tools into one</w:t>
      </w:r>
      <w:r>
        <w:t xml:space="preserve"> </w:t>
      </w:r>
      <w:r>
        <w:t xml:space="preserve">shared environment corrupted it during development. This is the same pattern nf-core 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never activate these by hand.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),</w:t>
      </w:r>
      <w:r>
        <w:t xml:space="preserve"> </w:t>
      </w:r>
      <w:r>
        <w:rPr>
          <w:b/>
          <w:bCs/>
        </w:rPr>
        <w:t xml:space="preserve">Nextflow</w:t>
      </w:r>
      <w:r>
        <w:rPr>
          <w:b/>
          <w:bCs/>
        </w:rPr>
        <w:t xml:space="preserve"> </w:t>
      </w:r>
      <w:r>
        <w:rPr>
          <w:b/>
          <w:bCs/>
        </w:rPr>
        <w:t xml:space="preserve">activates the correct environment/container for each process automatically</w:t>
      </w:r>
      <w:r>
        <w:t xml:space="preserve">; you run one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callforge run …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vs dev-only.</w:t>
      </w:r>
      <w:r>
        <w:t xml:space="preserve"> </w:t>
      </w:r>
      <w:r>
        <w:t xml:space="preserve">The envs above are the</w:t>
      </w:r>
      <w:r>
        <w:t xml:space="preserve"> </w:t>
      </w:r>
      <w:r>
        <w:rPr>
          <w:i/>
          <w:iCs/>
        </w:rPr>
        <w:t xml:space="preserve">runtime contract</w:t>
      </w:r>
      <w:r>
        <w:t xml:space="preserve"> </w:t>
      </w:r>
      <w:r>
        <w:t xml:space="preserve">— they are declared by</w:t>
      </w:r>
      <w:r>
        <w:t xml:space="preserve"> </w:t>
      </w:r>
      <w:r>
        <w:t xml:space="preserve">the pipeline stages and ship with it. A couple of environments are</w:t>
      </w:r>
      <w:r>
        <w:t xml:space="preserve"> </w:t>
      </w:r>
      <w:r>
        <w:rPr>
          <w:b/>
          <w:bCs/>
        </w:rPr>
        <w:t xml:space="preserve">dev-only byproducts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that contract: the graphviz env used only to render this manual’s</w:t>
      </w:r>
      <w:r>
        <w:t xml:space="preserve"> </w:t>
      </w:r>
      <w:r>
        <w:t xml:space="preserve">DAG, and Nextflow’s own runtime env.</w:t>
      </w:r>
    </w:p>
    <w:p>
      <w:pPr>
        <w:pStyle w:val="Compact"/>
        <w:numPr>
          <w:ilvl w:val="0"/>
          <w:numId w:val="1004"/>
        </w:numPr>
      </w:pPr>
      <w:r>
        <w:t xml:space="preserve">The unified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CLI is just a friendly front door — these isolated per-stage envs</w:t>
      </w:r>
      <w:r>
        <w:t xml:space="preserve"> </w:t>
      </w:r>
      <w:r>
        <w:t xml:space="preserve">continue to work underneath it, invisibly.</w:t>
      </w:r>
    </w:p>
    <w:bookmarkEnd w:id="18"/>
    <w:bookmarkEnd w:id="19"/>
    <w:bookmarkStart w:id="23" w:name="inputs"/>
    <w:p>
      <w:pPr>
        <w:pStyle w:val="Heading1"/>
      </w:pPr>
      <w:r>
        <w:t xml:space="preserve">5. Inputs</w:t>
      </w:r>
    </w:p>
    <w:bookmarkStart w:id="20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</w:t>
      </w:r>
      <w:r>
        <w:t xml:space="preserve"> </w:t>
      </w:r>
      <w:r>
        <w:t xml:space="preserve">(validated to exist and 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Where the sample sheet comes from.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CaptureForge output — the design</w:t>
      </w:r>
      <w:r>
        <w:t xml:space="preserve"> </w:t>
      </w:r>
      <w:r>
        <w:t xml:space="preserve">pipeline never saw your samples or their phenotypes. The two halves of the sheet have two</w:t>
      </w:r>
      <w:r>
        <w:t xml:space="preserve"> </w:t>
      </w:r>
      <w:r>
        <w:t xml:space="preserve">different origins: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sample_id, fastq_1, fastq_2</w:t>
      </w:r>
      <w:r>
        <w:t xml:space="preserve"> </w:t>
      </w:r>
      <w:r>
        <w:t xml:space="preserve">come from your</w:t>
      </w:r>
      <w:r>
        <w:t xml:space="preserve"> </w:t>
      </w:r>
      <w:r>
        <w:rPr>
          <w:b/>
          <w:bCs/>
        </w:rPr>
        <w:t xml:space="preserve">sequencing core’s demultiplexing</w:t>
      </w:r>
      <w:r>
        <w:t xml:space="preserve"> </w:t>
      </w:r>
      <w:r>
        <w:t xml:space="preserve">(the FASTQ files and their names).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sex, phenotype, covariate_*, batch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your study / clinical metadata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phenotype is irreducibly yours</w:t>
      </w:r>
      <w:r>
        <w:t xml:space="preserve">: CallForge never invents, guesses, or defaults it.</w:t>
      </w:r>
      <w:r>
        <w:t xml:space="preserve"> </w:t>
      </w:r>
      <w:r>
        <w:t xml:space="preserve">The helper below only</w:t>
      </w:r>
      <w:r>
        <w:t xml:space="preserve"> </w:t>
      </w:r>
      <w:r>
        <w:rPr>
          <w:i/>
          <w:iCs/>
        </w:rPr>
        <w:t xml:space="preserve">pairs FASTQs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joins metadata you supply</w:t>
      </w:r>
      <w:r>
        <w:t xml:space="preserve">; anything it cannot</w:t>
      </w:r>
      <w:r>
        <w:t xml:space="preserve"> </w:t>
      </w:r>
      <w:r>
        <w:t xml:space="preserve">resolve it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rather than fills.</w:t>
      </w:r>
    </w:p>
    <w:p>
      <w:pPr>
        <w:pStyle w:val="BodyText"/>
      </w:pPr>
      <w:r>
        <w:rPr>
          <w:b/>
          <w:bCs/>
        </w:rPr>
        <w:t xml:space="preserve">Three ways to build one.</w:t>
      </w:r>
      <w:r>
        <w:t xml:space="preserve"> </w:t>
      </w:r>
      <w:r>
        <w:t xml:space="preserve">The commands below use the unified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callforge samplesheet …</w:t>
      </w:r>
      <w:r>
        <w:t xml:space="preserve">); the raw form</w:t>
      </w:r>
      <w:r>
        <w:t xml:space="preserve"> </w:t>
      </w:r>
      <w:r>
        <w:rPr>
          <w:rStyle w:val="VerbatimChar"/>
        </w:rPr>
        <w:t xml:space="preserve">python3 bin/init_sample_sheet.py …</w:t>
      </w:r>
      <w:r>
        <w:t xml:space="preserve"> </w:t>
      </w:r>
      <w:r>
        <w:t xml:space="preserve">works</w:t>
      </w:r>
      <w:r>
        <w:t xml:space="preserve"> </w:t>
      </w:r>
      <w:r>
        <w:t xml:space="preserve">identically.</w:t>
      </w:r>
    </w:p>
    <w:p>
      <w:pPr>
        <w:pStyle w:val="BodyText"/>
      </w:pPr>
      <w:r>
        <w:rPr>
          <w:i/>
          <w:iCs/>
        </w:rPr>
        <w:t xml:space="preserve">1 — Hand-author the CSV.</w:t>
      </w:r>
      <w:r>
        <w:t xml:space="preserve"> </w:t>
      </w:r>
      <w:r>
        <w:t xml:space="preserve">Write the schema above directly (absolute FASTQ paths). Fine</w:t>
      </w:r>
      <w:r>
        <w:t xml:space="preserve"> </w:t>
      </w:r>
      <w:r>
        <w:t xml:space="preserve">for a handful of samples.</w:t>
      </w:r>
    </w:p>
    <w:p>
      <w:pPr>
        <w:pStyle w:val="BodyText"/>
      </w:pPr>
      <w:r>
        <w:rPr>
          <w:i/>
          <w:iCs/>
        </w:rPr>
        <w:t xml:space="preserve">2 — Scaffold from a FASTQ directory</w:t>
      </w:r>
      <w:r>
        <w:t xml:space="preserve"> </w:t>
      </w:r>
      <w:r>
        <w:t xml:space="preserve">(Mode A). Pairs R1/R2 by the usual Illumina</w:t>
      </w:r>
      <w:r>
        <w:t xml:space="preserve"> </w:t>
      </w:r>
      <w:r>
        <w:t xml:space="preserve">conventions and infers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from the filename, leaving the metadata columns blank</w:t>
      </w:r>
      <w:r>
        <w:t xml:space="preserve"> </w:t>
      </w:r>
      <w:r>
        <w:t xml:space="preserve">for you to complete: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  <w:r>
        <w:br/>
      </w:r>
      <w:r>
        <w:rPr>
          <w:rStyle w:val="CommentTok"/>
        </w:rPr>
        <w:t xml:space="preserve"># then open sample_sheet.csv and fill sex / phenotype / covariate_* / batch</w:t>
      </w:r>
    </w:p>
    <w:p>
      <w:pPr>
        <w:pStyle w:val="FirstParagraph"/>
      </w:pPr>
      <w:r>
        <w:rPr>
          <w:i/>
          <w:iCs/>
        </w:rPr>
        <w:t xml:space="preserve">3 — Scaffold FASTQs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join a metadata CSV</w:t>
      </w:r>
      <w:r>
        <w:t xml:space="preserve"> </w:t>
      </w:r>
      <w:r>
        <w:t xml:space="preserve">(Mode B) — the complete sheet in one</w:t>
      </w:r>
      <w:r>
        <w:t xml:space="preserve"> </w:t>
      </w:r>
      <w:r>
        <w:t xml:space="preserve">step. Provide a clinical CSV keyed on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--metadata-id-col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--metadata-id-col</w:t>
      </w:r>
      <w:r>
        <w:rPr>
          <w:rStyle w:val="NormalTok"/>
        </w:rPr>
        <w:t xml:space="preserve"> sample_id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--keep-extra-cols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rPr>
          <w:i/>
          <w:iCs/>
        </w:rPr>
        <w:t xml:space="preserve">Mode C — map your core’s manifest.</w:t>
      </w:r>
      <w:r>
        <w:t xml:space="preserve"> </w:t>
      </w:r>
      <w:r>
        <w:t xml:space="preserve">If the core already gave you a</w:t>
      </w:r>
      <w:r>
        <w:t xml:space="preserve"> </w:t>
      </w:r>
      <w:r>
        <w:rPr>
          <w:rStyle w:val="VerbatimChar"/>
        </w:rPr>
        <w:t xml:space="preserve">sample_id,fastq_1,fastq_2</w:t>
      </w:r>
      <w:r>
        <w:t xml:space="preserve"> </w:t>
      </w:r>
      <w:r>
        <w:t xml:space="preserve">export (a LIMS manifest), join metadata straight onto it</w:t>
      </w:r>
      <w:r>
        <w:t xml:space="preserve"> </w:t>
      </w:r>
      <w:r>
        <w:t xml:space="preserve">without re-scanning a directory: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--fastq-csv</w:t>
      </w:r>
      <w:r>
        <w:rPr>
          <w:rStyle w:val="NormalTok"/>
        </w:rPr>
        <w:t xml:space="preserve"> lims_manifest.csv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(walk sub-directories),</w:t>
      </w:r>
      <w:r>
        <w:t xml:space="preserve"> </w:t>
      </w:r>
      <w:r>
        <w:rPr>
          <w:rStyle w:val="VerbatimChar"/>
        </w:rPr>
        <w:t xml:space="preserve">--r1-pattern</w:t>
      </w:r>
      <w:r>
        <w:t xml:space="preserve">/</w:t>
      </w:r>
      <w:r>
        <w:rPr>
          <w:rStyle w:val="VerbatimChar"/>
        </w:rPr>
        <w:t xml:space="preserve">--r2-pattern</w:t>
      </w:r>
      <w:r>
        <w:t xml:space="preserve"> </w:t>
      </w:r>
      <w:r>
        <w:t xml:space="preserve">(custom</w:t>
      </w:r>
      <w:r>
        <w:t xml:space="preserve"> </w:t>
      </w:r>
      <w:r>
        <w:t xml:space="preserve">read markers),</w:t>
      </w:r>
      <w:r>
        <w:t xml:space="preserve"> </w:t>
      </w:r>
      <w:r>
        <w:rPr>
          <w:rStyle w:val="VerbatimChar"/>
        </w:rPr>
        <w:t xml:space="preserve">--id-regex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extraction),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--lowercase-ids</w:t>
      </w:r>
      <w:r>
        <w:t xml:space="preserve"> </w:t>
      </w:r>
      <w:r>
        <w:t xml:space="preserve">(reconcile minor ID naming differences), and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The helper</w:t>
      </w:r>
      <w:r>
        <w:t xml:space="preserve"> </w:t>
      </w:r>
      <w:r>
        <w:rPr>
          <w:b/>
          <w:bCs/>
        </w:rPr>
        <w:t xml:space="preserve">only reads</w:t>
      </w:r>
      <w:r>
        <w:t xml:space="preserve"> </w:t>
      </w:r>
      <w:r>
        <w:t xml:space="preserve">the FASTQ/metadata files — it never moves or modifies them.</w:t>
      </w:r>
    </w:p>
    <w:p>
      <w:pPr>
        <w:pStyle w:val="BodyText"/>
      </w:pPr>
      <w:r>
        <w:rPr>
          <w:b/>
          <w:bCs/>
        </w:rPr>
        <w:t xml:space="preserve">Worked examples (input → produced sheet → checks).</w:t>
      </w:r>
      <w:r>
        <w:t xml:space="preserve"> </w:t>
      </w:r>
      <w:r>
        <w:t xml:space="preserve">A FASTQ directory with four pairs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S2</w:t>
      </w:r>
      <w:r>
        <w:t xml:space="preserve">) is the input for Modes A and B below.</w:t>
      </w:r>
    </w:p>
    <w:p>
      <w:pPr>
        <w:pStyle w:val="BodyText"/>
      </w:pPr>
      <w:r>
        <w:rPr>
          <w:i/>
          <w:iCs/>
        </w:rPr>
        <w:t xml:space="preserve">Mode A</w:t>
      </w:r>
      <w:r>
        <w:t xml:space="preserve"> </w:t>
      </w:r>
      <w:r>
        <w:t xml:space="preserve">— only the sequencing columns are filled;</w:t>
      </w:r>
      <w:r>
        <w:t xml:space="preserve"> </w:t>
      </w:r>
      <w:r>
        <w:rPr>
          <w:rStyle w:val="VerbatimChar"/>
        </w:rPr>
        <w:t xml:space="preserve">sex, phenotype, batch</w:t>
      </w:r>
      <w:r>
        <w:t xml:space="preserve"> </w:t>
      </w:r>
      <w:r>
        <w:t xml:space="preserve">are present but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for you to complete (add</w:t>
      </w:r>
      <w:r>
        <w:t xml:space="preserve"> </w:t>
      </w:r>
      <w:r>
        <w:rPr>
          <w:rStyle w:val="VerbatimChar"/>
        </w:rPr>
        <w:t xml:space="preserve">covariate_*</w:t>
      </w:r>
      <w:r>
        <w:t xml:space="preserve"> </w:t>
      </w:r>
      <w:r>
        <w:t xml:space="preserve">columns by hand or via a Mode-B join):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CTRL,/data/fq/CTRL_R1.fastq.gz,/data/fq/CTRL_R2.fastq.gz,,,</w:t>
      </w:r>
      <w:r>
        <w:br/>
      </w:r>
      <w:r>
        <w:rPr>
          <w:rStyle w:val="VerbatimChar"/>
        </w:rPr>
        <w:t xml:space="preserve">LOWQC,/data/fq/LOWQC_R1.fastq.gz,/data/fq/LOWQC_R2.fastq.gz,,,</w:t>
      </w:r>
      <w:r>
        <w:br/>
      </w:r>
      <w:r>
        <w:rPr>
          <w:rStyle w:val="VerbatimChar"/>
        </w:rPr>
        <w:t xml:space="preserve">S1,/data/fq/S1_R1.fastq.gz,/data/fq/S1_R2.fastq.gz,,,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rPr>
          <w:i/>
          <w:iCs/>
        </w:rPr>
        <w:t xml:space="preserve">Mode B</w:t>
      </w:r>
      <w:r>
        <w:t xml:space="preserve"> </w:t>
      </w:r>
      <w:r>
        <w:t xml:space="preserve">— given this clinical CSV (note: no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row, and a stray</w:t>
      </w:r>
      <w:r>
        <w:t xml:space="preserve"> </w:t>
      </w:r>
      <w:r>
        <w:rPr>
          <w:rStyle w:val="VerbatimChar"/>
        </w:rPr>
        <w:t xml:space="preserve">S07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sample_id,sex,phenotype,covariate_age,batch</w:t>
      </w:r>
      <w:r>
        <w:br/>
      </w:r>
      <w:r>
        <w:rPr>
          <w:rStyle w:val="VerbatimChar"/>
        </w:rPr>
        <w:t xml:space="preserve">CTRL,F,control,30,b1</w:t>
      </w:r>
      <w:r>
        <w:br/>
      </w:r>
      <w:r>
        <w:rPr>
          <w:rStyle w:val="VerbatimChar"/>
        </w:rPr>
        <w:t xml:space="preserve">S1,M,case,45,b1</w:t>
      </w:r>
      <w:r>
        <w:br/>
      </w:r>
      <w:r>
        <w:rPr>
          <w:rStyle w:val="VerbatimChar"/>
        </w:rPr>
        <w:t xml:space="preserve">S2,F,control,52,b2</w:t>
      </w:r>
      <w:r>
        <w:br/>
      </w:r>
      <w:r>
        <w:rPr>
          <w:rStyle w:val="VerbatimChar"/>
        </w:rPr>
        <w:t xml:space="preserve">S07,F,case,41,b2</w:t>
      </w:r>
    </w:p>
    <w:p>
      <w:pPr>
        <w:pStyle w:val="FirstParagraph"/>
      </w:pPr>
      <w:r>
        <w:t xml:space="preserve">the produced sheet joins the metadata in (the</w:t>
      </w:r>
      <w:r>
        <w:t xml:space="preserve"> </w:t>
      </w:r>
      <w:r>
        <w:rPr>
          <w:rStyle w:val="VerbatimChar"/>
        </w:rPr>
        <w:t xml:space="preserve">covariate_age</w:t>
      </w:r>
      <w:r>
        <w:t xml:space="preserve"> </w:t>
      </w:r>
      <w:r>
        <w:t xml:space="preserve">column is carried through);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stays blank because it had no clinical row:</w:t>
      </w:r>
    </w:p>
    <w:p>
      <w:pPr>
        <w:pStyle w:val="SourceCode"/>
      </w:pPr>
      <w:r>
        <w:rPr>
          <w:rStyle w:val="VerbatimChar"/>
        </w:rPr>
        <w:t xml:space="preserve">sample_id,fastq_1,fastq_2,sex,phenotype,batch,covariate_age</w:t>
      </w:r>
      <w:r>
        <w:br/>
      </w:r>
      <w:r>
        <w:rPr>
          <w:rStyle w:val="VerbatimChar"/>
        </w:rPr>
        <w:t xml:space="preserve">CTRL,/data/fq/CTRL_R1.fastq.gz,/data/fq/CTRL_R2.fastq.gz,F,control,b1,30</w:t>
      </w:r>
      <w:r>
        <w:br/>
      </w:r>
      <w:r>
        <w:rPr>
          <w:rStyle w:val="VerbatimChar"/>
        </w:rPr>
        <w:t xml:space="preserve">LOWQC,/data/fq/LOWQC_R1.fastq.gz,/data/fq/LOWQC_R2.fastq.gz,,,,</w:t>
      </w:r>
      <w:r>
        <w:br/>
      </w:r>
      <w:r>
        <w:rPr>
          <w:rStyle w:val="VerbatimChar"/>
        </w:rPr>
        <w:t xml:space="preserve">S1,/data/fq/S1_R1.fastq.gz,/data/fq/S1_R2.fastq.gz,M,case,b1,45</w:t>
      </w:r>
      <w:r>
        <w:br/>
      </w:r>
      <w:r>
        <w:rPr>
          <w:rStyle w:val="VerbatimChar"/>
        </w:rPr>
        <w:t xml:space="preserve">S2,/data/fq/S2_R1.fastq.gz,/data/fq/S2_R2.fastq.gz,F,control,b2,52</w:t>
      </w:r>
    </w:p>
    <w:p>
      <w:pPr>
        <w:pStyle w:val="FirstParagraph"/>
      </w:pPr>
      <w:r>
        <w:rPr>
          <w:i/>
          <w:iCs/>
        </w:rPr>
        <w:t xml:space="preserve">Mode C</w:t>
      </w:r>
      <w:r>
        <w:t xml:space="preserve"> </w:t>
      </w:r>
      <w:r>
        <w:t xml:space="preserve">— given a LIMS manifest (</w:t>
      </w:r>
      <w:r>
        <w:rPr>
          <w:rStyle w:val="VerbatimChar"/>
        </w:rPr>
        <w:t xml:space="preserve">lims_manifest.csv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sample_id,fastq_1,fastq_2</w:t>
      </w:r>
      <w:r>
        <w:br/>
      </w:r>
      <w:r>
        <w:rPr>
          <w:rStyle w:val="VerbatimChar"/>
        </w:rPr>
        <w:t xml:space="preserve">S1,/data/fq/S1_R1.fastq.gz,/data/fq/S1_R2.fastq.gz</w:t>
      </w:r>
      <w:r>
        <w:br/>
      </w:r>
      <w:r>
        <w:rPr>
          <w:rStyle w:val="VerbatimChar"/>
        </w:rPr>
        <w:t xml:space="preserve">S2,/data/fq/S2_R1.fastq.gz,/data/fq/S2_R2.fastq.gz</w:t>
      </w:r>
    </w:p>
    <w:p>
      <w:pPr>
        <w:pStyle w:val="FirstParagraph"/>
      </w:pPr>
      <w:r>
        <w:t xml:space="preserve">and a clinical CSV whose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is a typo for</w:t>
      </w:r>
      <w:r>
        <w:t xml:space="preserve"> </w:t>
      </w:r>
      <w:r>
        <w:rPr>
          <w:rStyle w:val="VerbatimChar"/>
        </w:rPr>
        <w:t xml:space="preserve">S2</w:t>
      </w:r>
      <w:r>
        <w:t xml:space="preserve">, the join produces: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S1,/data/fq/S1_R1.fastq.gz,/data/fq/S1_R2.fastq.gz,M,case,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left blank and the report flags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as metadata-without-sequence with the</w:t>
      </w:r>
      <w:r>
        <w:t xml:space="preserve"> </w:t>
      </w:r>
      <w:r>
        <w:t xml:space="preserve">near-miss hint</w:t>
      </w:r>
      <w:r>
        <w:t xml:space="preserve"> </w:t>
      </w:r>
      <w:r>
        <w:rPr>
          <w:rStyle w:val="VerbatimChar"/>
        </w:rPr>
        <w:t xml:space="preserve">[closest FASTQ id: S2]</w:t>
      </w:r>
      <w:r>
        <w:t xml:space="preserve"> </w:t>
      </w:r>
      <w:r>
        <w:t xml:space="preserve">(re-run with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/</w:t>
      </w:r>
      <w:r>
        <w:rPr>
          <w:rStyle w:val="VerbatimChar"/>
        </w:rPr>
        <w:t xml:space="preserve">--lowercase-ids</w:t>
      </w:r>
      <w:r>
        <w:t xml:space="preserve">,</w:t>
      </w:r>
      <w:r>
        <w:t xml:space="preserve"> </w:t>
      </w:r>
      <w:r>
        <w:t xml:space="preserve">or fix the typo, to make it join).</w:t>
      </w:r>
    </w:p>
    <w:p>
      <w:pPr>
        <w:pStyle w:val="BodyText"/>
      </w:pPr>
      <w:r>
        <w:rPr>
          <w:b/>
          <w:bCs/>
        </w:rPr>
        <w:t xml:space="preserve">The reconciliation report.</w:t>
      </w:r>
      <w:r>
        <w:t xml:space="preserve"> </w:t>
      </w:r>
      <w:r>
        <w:t xml:space="preserve">Alongside the CSV the helper writes</w:t>
      </w:r>
      <w:r>
        <w:t xml:space="preserve"> </w:t>
      </w:r>
      <w:r>
        <w:rPr>
          <w:rStyle w:val="VerbatimChar"/>
        </w:rPr>
        <w:t xml:space="preserve">&lt;out&gt;_report.txt</w:t>
      </w:r>
      <w:r>
        <w:t xml:space="preserve"> </w:t>
      </w:r>
      <w:r>
        <w:t xml:space="preserve">and prints it. It explicitly lists every join discrepancy so a broken</w:t>
      </w:r>
      <w:r>
        <w:t xml:space="preserve"> </w:t>
      </w:r>
      <w:r>
        <w:t xml:space="preserve">sheet cannot slip through silently: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orphan FASTQs</w:t>
      </w:r>
      <w:r>
        <w:t xml:space="preserve"> </w:t>
      </w:r>
      <w:r>
        <w:t xml:space="preserve">— an R1 or R2 with no mate (or no read marker at all);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sequence without metadata</w:t>
      </w:r>
      <w:r>
        <w:t xml:space="preserve"> </w:t>
      </w:r>
      <w:r>
        <w:t xml:space="preserve">— FASTQ paired but no clinical row;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 without sequence</w:t>
      </w:r>
      <w:r>
        <w:t xml:space="preserve"> </w:t>
      </w:r>
      <w:r>
        <w:t xml:space="preserve">— a clinical row with no FASTQ,</w:t>
      </w:r>
      <w:r>
        <w:t xml:space="preserve"> </w:t>
      </w:r>
      <w:r>
        <w:rPr>
          <w:i/>
          <w:iCs/>
        </w:rPr>
        <w:t xml:space="preserve">with the closest FASTQ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sample_id</w:t>
      </w:r>
      <w:r>
        <w:rPr>
          <w:i/>
          <w:iCs/>
        </w:rPr>
        <w:t xml:space="preserve"> </w:t>
      </w:r>
      <w:r>
        <w:rPr>
          <w:i/>
          <w:iCs/>
        </w:rPr>
        <w:t xml:space="preserve">as a near-miss hint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S02 [closest FASTQ id: S2]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duplicate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</w:t>
      </w:r>
      <w:r>
        <w:t xml:space="preserve"> </w:t>
      </w:r>
      <w:r>
        <w:t xml:space="preserve">(in the FASTQs or the metadata);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rows missing a required field</w:t>
      </w:r>
      <w:r>
        <w:t xml:space="preserve"> </w:t>
      </w:r>
      <w:r>
        <w:t xml:space="preserve">after assembly;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blank phenotype</w:t>
      </w:r>
      <w:r>
        <w:t xml:space="preserve"> </w:t>
      </w:r>
      <w:r>
        <w:t xml:space="preserve">— warned (burden needs it) but</w:t>
      </w:r>
      <w:r>
        <w:t xml:space="preserve"> </w:t>
      </w:r>
      <w:r>
        <w:rPr>
          <w:b/>
          <w:bCs/>
        </w:rPr>
        <w:t xml:space="preserve">never auto-filled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 one-line summary:</w:t>
      </w:r>
      <w:r>
        <w:t xml:space="preserve"> </w:t>
      </w:r>
      <w:r>
        <w:rPr>
          <w:i/>
          <w:iCs/>
        </w:rPr>
        <w:t xml:space="preserve">N written, N fully-joined, N sequence-only, N metadata-only,</w:t>
      </w:r>
      <w:r>
        <w:rPr>
          <w:i/>
          <w:iCs/>
        </w:rPr>
        <w:t xml:space="preserve"> </w:t>
      </w:r>
      <w:r>
        <w:rPr>
          <w:i/>
          <w:iCs/>
        </w:rPr>
        <w:t xml:space="preserve">N orphan FASTQs</w:t>
      </w:r>
      <w:r>
        <w:t xml:space="preserve">.</w:t>
      </w:r>
    </w:p>
    <w:p>
      <w:pPr>
        <w:pStyle w:val="FirstParagraph"/>
      </w:pPr>
      <w:r>
        <w:t xml:space="preserve">The helper</w:t>
      </w:r>
      <w:r>
        <w:t xml:space="preserve"> </w:t>
      </w:r>
      <w:r>
        <w:rPr>
          <w:b/>
          <w:bCs/>
        </w:rPr>
        <w:t xml:space="preserve">exits non-zero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problem — a duplicate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a row missing</w:t>
      </w:r>
      <w:r>
        <w:t xml:space="preserve"> </w:t>
      </w:r>
      <w:r>
        <w:t xml:space="preserve">a required field, or</w:t>
      </w:r>
      <w:r>
        <w:t xml:space="preserve"> </w:t>
      </w:r>
      <w:r>
        <w:rPr>
          <w:rStyle w:val="VerbatimChar"/>
        </w:rPr>
        <w:t xml:space="preserve">fastq_1 == fastq_2</w:t>
      </w:r>
      <w:r>
        <w:t xml:space="preserve"> </w:t>
      </w:r>
      <w:r>
        <w:t xml:space="preserve">— and in that case writes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sheet. Soft</w:t>
      </w:r>
      <w:r>
        <w:t xml:space="preserve"> </w:t>
      </w:r>
      <w:r>
        <w:t xml:space="preserve">problems (orphans, unmatched IDs, blank phenotype) print as warnings but do not fail, so</w:t>
      </w:r>
      <w:r>
        <w:t xml:space="preserve"> </w:t>
      </w:r>
      <w:r>
        <w:t xml:space="preserve">you still get a sheet to finish by hand. Example report:</w:t>
      </w:r>
    </w:p>
    <w:p>
      <w:pPr>
        <w:pStyle w:val="SourceCode"/>
      </w:pPr>
      <w:r>
        <w:rPr>
          <w:rStyle w:val="VerbatimChar"/>
        </w:rPr>
        <w:t xml:space="preserve">CallForge sample-sheet reconciliation report (mode B)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summary: 4 sample(s) written, 3 fully-joined, 1 sequence-only,</w:t>
      </w:r>
      <w:r>
        <w:br/>
      </w:r>
      <w:r>
        <w:rPr>
          <w:rStyle w:val="VerbatimChar"/>
        </w:rPr>
        <w:t xml:space="preserve">         1 metadata-only, 0 orphan FASTQ(s)</w:t>
      </w:r>
      <w:r>
        <w:br/>
      </w:r>
      <w:r>
        <w:br/>
      </w:r>
      <w:r>
        <w:rPr>
          <w:rStyle w:val="VerbatimChar"/>
        </w:rPr>
        <w:t xml:space="preserve">[SEQUENCE WITHOUT METADATA (FASTQ paired, no clinical row)] (1)</w:t>
      </w:r>
      <w:r>
        <w:br/>
      </w:r>
      <w:r>
        <w:rPr>
          <w:rStyle w:val="VerbatimChar"/>
        </w:rPr>
        <w:t xml:space="preserve">  - LOWQC</w:t>
      </w:r>
      <w:r>
        <w:br/>
      </w:r>
      <w:r>
        <w:rPr>
          <w:rStyle w:val="VerbatimChar"/>
        </w:rPr>
        <w:t xml:space="preserve">[METADATA WITHOUT SEQUENCE (clinical row, no FASTQ)] (1)</w:t>
      </w:r>
      <w:r>
        <w:br/>
      </w:r>
      <w:r>
        <w:rPr>
          <w:rStyle w:val="VerbatimChar"/>
        </w:rPr>
        <w:t xml:space="preserve">  - S07  [closest FASTQ id: S2]</w:t>
      </w:r>
      <w:r>
        <w:br/>
      </w:r>
      <w:r>
        <w:rPr>
          <w:rStyle w:val="VerbatimChar"/>
        </w:rPr>
        <w:t xml:space="preserve">[BLANK PHENOTYPE (burden needs it — fill manually, never auto-filled)] (1)</w:t>
      </w:r>
      <w:r>
        <w:br/>
      </w:r>
      <w:r>
        <w:rPr>
          <w:rStyle w:val="VerbatimChar"/>
        </w:rPr>
        <w:t xml:space="preserve">  - LOWQC</w:t>
      </w:r>
    </w:p>
    <w:p>
      <w:pPr>
        <w:pStyle w:val="FirstParagraph"/>
      </w:pPr>
      <w:r>
        <w:t xml:space="preserve">Feed the result back through validation (</w:t>
      </w:r>
      <w:r>
        <w:rPr>
          <w:rStyle w:val="VerbatimChar"/>
        </w:rPr>
        <w:t xml:space="preserve">validate_samplesheet.py</w:t>
      </w:r>
      <w:r>
        <w:t xml:space="preserve">, run automatically by</w:t>
      </w:r>
      <w:r>
        <w:t xml:space="preserve"> </w:t>
      </w:r>
      <w:r>
        <w:t xml:space="preserve">Stage 0) before a full run. Remember:</w:t>
      </w:r>
      <w:r>
        <w:t xml:space="preserve"> </w:t>
      </w:r>
      <w:r>
        <w:rPr>
          <w:b/>
          <w:bCs/>
        </w:rPr>
        <w:t xml:space="preserve">phenotype is required only for the burden stage</w:t>
      </w:r>
      <w:r>
        <w:t xml:space="preserve"> </w:t>
      </w:r>
      <w:r>
        <w:t xml:space="preserve">—</w:t>
      </w:r>
      <w:r>
        <w:t xml:space="preserve"> </w:t>
      </w:r>
      <w:r>
        <w:t xml:space="preserve">without it the pipeline still produces the annotated joint callset and simply skips burden.</w:t>
      </w:r>
    </w:p>
    <w:bookmarkEnd w:id="20"/>
    <w:bookmarkStart w:id="21" w:name="X86d640aa8da04fd9d90f86eda18461bc4764271"/>
    <w:p>
      <w:pPr>
        <w:pStyle w:val="Heading2"/>
      </w:pPr>
      <w:r>
        <w:t xml:space="preserve">5.2 Target BED &amp; gene metadata — CallForge runs without CaptureForge</w:t>
      </w:r>
    </w:p>
    <w:p>
      <w:pPr>
        <w:pStyle w:val="FirstParagraph"/>
      </w:pPr>
      <w:r>
        <w:rPr>
          <w:b/>
          <w:bCs/>
        </w:rPr>
        <w:t xml:space="preserve">The minimum to run CallForge is FASTQs + a reference + a target BED.</w:t>
      </w:r>
      <w:r>
        <w:t xml:space="preserve"> </w:t>
      </w:r>
      <w:r>
        <w:t xml:space="preserve">The whole spine —</w:t>
      </w:r>
      <w:r>
        <w:t xml:space="preserve"> </w:t>
      </w:r>
      <w:r>
        <w:t xml:space="preserve">align → coverage/QC → call → annotation → cohort QC → GIAB → per-gene burden — needs nothing</w:t>
      </w:r>
      <w:r>
        <w:t xml:space="preserve"> </w:t>
      </w:r>
      <w:r>
        <w:t xml:space="preserve">from CaptureForge. The CaptureForge</w:t>
      </w:r>
      <w:r>
        <w:t xml:space="preserve"> </w:t>
      </w:r>
      <w:r>
        <w:rPr>
          <w:b/>
          <w:bCs/>
        </w:rPr>
        <w:t xml:space="preserve">per-gene metadata is optional enrichment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interpretation layer</w:t>
      </w:r>
      <w:r>
        <w:t xml:space="preserve"> </w:t>
      </w:r>
      <w:r>
        <w:t xml:space="preserve">(CNV / STR / paralog / gene-set burden) consumes; absent it, those</w:t>
      </w:r>
      <w:r>
        <w:t xml:space="preserve"> </w:t>
      </w:r>
      <w:r>
        <w:t xml:space="preserve">features degrade gracefully rather than failing.</w:t>
      </w:r>
    </w:p>
    <w:p>
      <w:pPr>
        <w:pStyle w:val="BodyText"/>
      </w:pPr>
      <w:r>
        <w:rPr>
          <w:b/>
          <w:bCs/>
        </w:rPr>
        <w:t xml:space="preserve">What each metadata field unlocks, and the behavior when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2"/>
        <w:gridCol w:w="3080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Metadata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is_str_target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str_loci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genotyping (ExpansionHunter 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stage produces nothing / skips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is_paralog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 flagging 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paralog flags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is_cnv_target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 as CNV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still made, just unlabelled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cnv_callable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_reason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</w:t>
            </w:r>
            <w:r>
              <w:t xml:space="preserve"> </w:t>
            </w:r>
            <w:r>
              <w:rPr>
                <w:rStyle w:val="VerbatimChar"/>
              </w:rPr>
              <w:t xml:space="preserve">callable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breakpoint_blind_low_confidence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</w:t>
            </w:r>
            <w:r>
              <w:t xml:space="preserve"> </w:t>
            </w:r>
            <w:r>
              <w:rPr>
                <w:rStyle w:val="VerbatimChar"/>
              </w:rPr>
              <w:t xml:space="preserve">unknown_confidence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burden (collapse by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collapses</w:t>
            </w:r>
            <w:r>
              <w:t xml:space="preserve"> </w:t>
            </w:r>
            <w:r>
              <w:rPr>
                <w:b/>
                <w:bCs/>
              </w:rPr>
              <w:t xml:space="preserve">per-gene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off_target_frac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low_coverage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specificity / coverage QC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blank (not assessed)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--target_bed</w:t>
      </w:r>
      <w:r>
        <w:t xml:space="preserve"> </w:t>
      </w:r>
      <w:r>
        <w:t xml:space="preserve">is always required (it defines the regions). The BED’s column-4 name 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,</w:t>
      </w:r>
      <w:r>
        <w:t xml:space="preserve"> </w:t>
      </w:r>
      <w:r>
        <w:rPr>
          <w:rStyle w:val="VerbatimChar"/>
        </w:rPr>
        <w:t xml:space="preserve">HMOX1|str</w:t>
      </w:r>
      <w:r>
        <w:t xml:space="preserve">); classes seed the per-gene table.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gene_metadata.tsv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(one row per gene; produced by either on-ramp below):</w:t>
      </w:r>
    </w:p>
    <w:p>
      <w:pPr>
        <w:pStyle w:val="SourceCode"/>
      </w:pPr>
      <w:r>
        <w:rPr>
          <w:rStyle w:val="VerbatimChar"/>
        </w:rPr>
        <w:t xml:space="preserve">gene  classes  n_intervals n_coding n_promoter n_anchor n_str n_cnv  is_cnv_target cnv_callable cnv_callable_reason  is_str_target str_loci  is_paralog off_target_frac low_coverage burden_group</w:t>
      </w:r>
    </w:p>
    <w:p>
      <w:pPr>
        <w:pStyle w:val="FirstParagraph"/>
      </w:pPr>
      <w:r>
        <w:t xml:space="preserve">A hand-authored</w:t>
      </w:r>
      <w:r>
        <w:t xml:space="preserve"> </w:t>
      </w:r>
      <w:r>
        <w:rPr>
          <w:b/>
          <w:bCs/>
        </w:rPr>
        <w:t xml:space="preserve">minimal example</w:t>
      </w:r>
      <w:r>
        <w:t xml:space="preserve"> </w:t>
      </w:r>
      <w:r>
        <w:t xml:space="preserve">(two genes: a paralog flag on</w:t>
      </w:r>
      <w:r>
        <w:t xml:space="preserve"> </w:t>
      </w:r>
      <w:r>
        <w:rPr>
          <w:rStyle w:val="VerbatimChar"/>
        </w:rPr>
        <w:t xml:space="preserve">CD209</w:t>
      </w:r>
      <w:r>
        <w:t xml:space="preserve">, a burden group on</w:t>
      </w:r>
      <w:r>
        <w:t xml:space="preserve"> </w:t>
      </w:r>
      <w:r>
        <w:t xml:space="preserve">both, everything design-specific left at its safe default):</w:t>
      </w:r>
    </w:p>
    <w:p>
      <w:pPr>
        <w:pStyle w:val="SourceCode"/>
      </w:pPr>
      <w:r>
        <w:rPr>
          <w:rStyle w:val="VerbatimChar"/>
        </w:rPr>
        <w:t xml:space="preserve">gene    classes n_intervals n_coding    n_promoter  n_anchor    n_str   n_cnv   is_cnv_target   cnv_callable    cnv_callable_reason is_str_target   str_loci    is_paralog  off_target_frac low_coverage    burden_group</w:t>
      </w:r>
      <w:r>
        <w:br/>
      </w:r>
      <w:r>
        <w:rPr>
          <w:rStyle w:val="VerbatimChar"/>
        </w:rPr>
        <w:t xml:space="preserve">CD209   coding  1   1   0   0   0   0   no  n/a     no      yes         COMPLEMENT</w:t>
      </w:r>
      <w:r>
        <w:br/>
      </w:r>
      <w:r>
        <w:rPr>
          <w:rStyle w:val="VerbatimChar"/>
        </w:rPr>
        <w:t xml:space="preserve">CFH cnv,coding  2   1   0   0   0   1   yes unknown user_declared_not_design_derived    no      no          COMPLEMENT</w:t>
      </w:r>
    </w:p>
    <w:p>
      <w:pPr>
        <w:pStyle w:val="FirstParagraph"/>
      </w:pPr>
      <w:r>
        <w:rPr>
          <w:b/>
          <w:bCs/>
        </w:rPr>
        <w:t xml:space="preserve">Two on-ramps — both emit this identical schema: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Generate it (no CaptureForge):</w:t>
      </w:r>
      <w:r>
        <w:t xml:space="preserve"> </w:t>
      </w:r>
      <w:r>
        <w:rPr>
          <w:rStyle w:val="VerbatimChar"/>
        </w:rPr>
        <w:t xml:space="preserve">callforge metadata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from a</w:t>
      </w:r>
      <w:r>
        <w:t xml:space="preserve"> </w:t>
      </w:r>
      <w:r>
        <w:t xml:space="preserve">gene list and/or the target BED, plus your own declarations: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metadata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--bed</w:t>
      </w:r>
      <w:r>
        <w:rPr>
          <w:rStyle w:val="NormalTok"/>
        </w:rPr>
        <w:t xml:space="preserve"> /panel/targets.bed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--cnv-genes</w:t>
      </w:r>
      <w:r>
        <w:rPr>
          <w:rStyle w:val="NormalTok"/>
        </w:rPr>
        <w:t xml:space="preserve"> CFH,CR1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--paralog-genes</w:t>
      </w:r>
      <w:r>
        <w:rPr>
          <w:rStyle w:val="NormalTok"/>
        </w:rPr>
        <w:t xml:space="preserve"> CD209,CFH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--str-loci</w:t>
      </w:r>
      <w:r>
        <w:rPr>
          <w:rStyle w:val="NormalTok"/>
        </w:rPr>
        <w:t xml:space="preserve"> str_loci.tsv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--burden-groups</w:t>
      </w:r>
      <w:r>
        <w:rPr>
          <w:rStyle w:val="NormalTok"/>
        </w:rPr>
        <w:t xml:space="preserve"> burden_groups.tsv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--out-tsv</w:t>
      </w:r>
      <w:r>
        <w:rPr>
          <w:rStyle w:val="NormalTok"/>
        </w:rPr>
        <w:t xml:space="preserve"> gene_metadata.tsv</w:t>
      </w:r>
    </w:p>
    <w:p>
      <w:pPr>
        <w:numPr>
          <w:ilvl w:val="0"/>
          <w:numId w:val="1000"/>
        </w:numPr>
      </w:pPr>
      <w:r>
        <w:t xml:space="preserve">It writes a reconciliation report (genes in the BED with no metadata, declared genes absent</w:t>
      </w:r>
      <w:r>
        <w:t xml:space="preserve"> </w:t>
      </w:r>
      <w:r>
        <w:t xml:space="preserve">from the BED with near-miss hints, duplicates) and</w:t>
      </w:r>
      <w:r>
        <w:t xml:space="preserve"> </w:t>
      </w:r>
      <w:r>
        <w:rPr>
          <w:b/>
          <w:bCs/>
        </w:rPr>
        <w:t xml:space="preserve">exits non-zero on hard problems</w:t>
      </w:r>
      <w:r>
        <w:t xml:space="preserve"> </w:t>
      </w:r>
      <w:r>
        <w:t xml:space="preserve">(duplicate gene, malformed STR locus). It</w:t>
      </w:r>
      <w:r>
        <w:t xml:space="preserve"> </w:t>
      </w:r>
      <w:r>
        <w:rPr>
          <w:b/>
          <w:bCs/>
        </w:rPr>
        <w:t xml:space="preserve">never invents</w:t>
      </w:r>
      <w:r>
        <w:t xml:space="preserve"> </w:t>
      </w:r>
      <w:r>
        <w:t xml:space="preserve">the fields it cannot know: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cnv_callable_reason=user_declared_not_design_derived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off_target_frac</w:t>
      </w:r>
      <w:r>
        <w:t xml:space="preserve">/</w:t>
      </w:r>
      <w:r>
        <w:rPr>
          <w:rStyle w:val="VerbatimChar"/>
        </w:rPr>
        <w:t xml:space="preserve">low_coverage</w:t>
      </w:r>
      <w:r>
        <w:t xml:space="preserve"> </w:t>
      </w:r>
      <w:r>
        <w:t xml:space="preserve">are left blank, and</w:t>
      </w:r>
      <w:r>
        <w:t xml:space="preserve"> </w:t>
      </w:r>
      <w:r>
        <w:rPr>
          <w:rStyle w:val="VerbatimChar"/>
          <w:b/>
          <w:bCs/>
        </w:rPr>
        <w:t xml:space="preserve">burden_group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auto-assigned</w:t>
      </w:r>
      <w:r>
        <w:t xml:space="preserve"> </w:t>
      </w:r>
      <w:r>
        <w:t xml:space="preserve">(blank → per-gene burden), exactly as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is never auto-filled (§5.1). Then pass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--gene_metadata gene_metadata.tsv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as needed).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From CaptureForge:</w:t>
      </w:r>
      <w:r>
        <w:t xml:space="preserve"> </w:t>
      </w:r>
      <w:r>
        <w:t xml:space="preserve">point CallForge at the as-built handoff and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derives the same table (including design-derived callability):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b/>
          <w:bCs/>
        </w:rPr>
        <w:t xml:space="preserve">The one genuine complement.</w:t>
      </w:r>
      <w:r>
        <w:t xml:space="preserve"> </w:t>
      </w:r>
      <w:r>
        <w:t xml:space="preserve">A generic generator can reproduce most of the enrichment,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CaptureForge’s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/ breakpoint-blindness labels: those encode</w:t>
      </w:r>
      <w:r>
        <w:t xml:space="preserve"> </w:t>
      </w:r>
      <w:r>
        <w:rPr>
          <w:b/>
          <w:bCs/>
        </w:rPr>
        <w:t xml:space="preserve">capture-design-specific</w:t>
      </w:r>
      <w:r>
        <w:t xml:space="preserve"> </w:t>
      </w:r>
      <w:r>
        <w:t xml:space="preserve">knowledge (which CNV breakpoints the bait layout can actually</w:t>
      </w:r>
      <w:r>
        <w:t xml:space="preserve"> </w:t>
      </w:r>
      <w:r>
        <w:t xml:space="preserve">resolve) that no gene list or annotation can recreate.</w:t>
      </w:r>
      <w:r>
        <w:t xml:space="preserve"> </w:t>
      </w:r>
      <w:r>
        <w:rPr>
          <w:rStyle w:val="VerbatimChar"/>
        </w:rPr>
        <w:t xml:space="preserve">callforge metadata</w:t>
      </w:r>
      <w:r>
        <w:t xml:space="preserve"> </w:t>
      </w:r>
      <w:r>
        <w:t xml:space="preserve">honestly marks CNV</w:t>
      </w:r>
      <w:r>
        <w:t xml:space="preserve"> </w:t>
      </w:r>
      <w:r>
        <w:t xml:space="preserve">callability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; CaptureForge’s design-derived callability is its value-add.</w:t>
      </w:r>
      <w:r>
        <w:t xml:space="preserve"> </w:t>
      </w:r>
      <w:r>
        <w:rPr>
          <w:i/>
          <w:iCs/>
        </w:rPr>
        <w:t xml:space="preserve">(Auto-flagging paralogs/STRs from public databases is a planned future enhancement; today</w:t>
      </w:r>
      <w:r>
        <w:rPr>
          <w:i/>
          <w:iCs/>
        </w:rPr>
        <w:t xml:space="preserve"> </w:t>
      </w:r>
      <w:r>
        <w:rPr>
          <w:i/>
          <w:iCs/>
        </w:rPr>
        <w:t xml:space="preserve">those flags are user-declared.)</w:t>
      </w:r>
    </w:p>
    <w:bookmarkEnd w:id="21"/>
    <w:bookmarkStart w:id="22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2"/>
    <w:bookmarkEnd w:id="23"/>
    <w:bookmarkStart w:id="30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4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4"/>
    <w:bookmarkStart w:id="25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5"/>
    <w:bookmarkStart w:id="26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6"/>
    <w:bookmarkStart w:id="27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7"/>
    <w:bookmarkStart w:id="28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8"/>
    <w:bookmarkStart w:id="29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9"/>
    <w:bookmarkEnd w:id="30"/>
    <w:bookmarkStart w:id="34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local</w:t>
      </w:r>
      <w:r>
        <w:t xml:space="preserve"> </w:t>
      </w:r>
      <w:r>
        <w:t xml:space="preserve">(full, one machine;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 </w:t>
      </w:r>
      <w:r>
        <w:t xml:space="preserve">is a deprecated alias),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Apptainer/SingularityCE/shared-conda).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Start w:id="31" w:name="compute-resources"/>
    <w:p>
      <w:pPr>
        <w:pStyle w:val="Heading2"/>
      </w:pPr>
      <w:r>
        <w:t xml:space="preserve">7.1 Compute resources</w:t>
      </w:r>
    </w:p>
    <w:p>
      <w:pPr>
        <w:pStyle w:val="FirstParagraph"/>
      </w:pPr>
      <w:r>
        <w:t xml:space="preserve">CallForge uses Nextflow’s</w:t>
      </w:r>
      <w:r>
        <w:t xml:space="preserve"> </w:t>
      </w:r>
      <w:r>
        <w:rPr>
          <w:b/>
          <w:bCs/>
        </w:rPr>
        <w:t xml:space="preserve">per-process</w:t>
      </w:r>
      <w:r>
        <w:t xml:space="preserve"> </w:t>
      </w:r>
      <w:r>
        <w:t xml:space="preserve">resource model, not one global</w:t>
      </w:r>
      <w:r>
        <w:t xml:space="preserve"> </w:t>
      </w:r>
      <w:r>
        <w:rPr>
          <w:rStyle w:val="VerbatimChar"/>
        </w:rPr>
        <w:t xml:space="preserve">--threads</w:t>
      </w:r>
      <w:r>
        <w:t xml:space="preserve">: each</w:t>
      </w:r>
      <w:r>
        <w:t xml:space="preserve"> </w:t>
      </w:r>
      <w:r>
        <w:t xml:space="preserve">stage declares the CPUs/memory it needs via a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large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align</w:t>
      </w:r>
      <w:r>
        <w:t xml:space="preserve">), and the tools receive those cores — e.g. </w:t>
      </w:r>
      <w:r>
        <w:rPr>
          <w:rStyle w:val="VerbatimChar"/>
        </w:rPr>
        <w:t xml:space="preserve">bwa-mem2 mem -t</w:t>
      </w:r>
      <w:r>
        <w:t xml:space="preserve">,</w:t>
      </w:r>
      <w:r>
        <w:t xml:space="preserve"> </w:t>
      </w:r>
      <w:r>
        <w:rPr>
          <w:rStyle w:val="VerbatimChar"/>
        </w:rPr>
        <w:t xml:space="preserve">samtools sort -@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fastp --thread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mosdepth -t</w:t>
      </w:r>
      <w:r>
        <w:t xml:space="preserve">,</w:t>
      </w:r>
      <w:r>
        <w:t xml:space="preserve"> </w:t>
      </w:r>
      <w:r>
        <w:rPr>
          <w:rStyle w:val="VerbatimChar"/>
        </w:rPr>
        <w:t xml:space="preserve">CNVkit -p</w:t>
      </w:r>
      <w:r>
        <w:t xml:space="preserve">,</w:t>
      </w:r>
      <w:r>
        <w:t xml:space="preserve"> </w:t>
      </w:r>
      <w:r>
        <w:rPr>
          <w:rStyle w:val="VerbatimChar"/>
        </w:rPr>
        <w:t xml:space="preserve">GenomicsDBImport --reader-threads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HaplotypeCaller --native-pair-hmm-threads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DeepVariant --num_shards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GLnexus --threads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VEP --fork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ExpansionHunter --threads</w:t>
      </w:r>
      <w:r>
        <w:t xml:space="preserve"> </w:t>
      </w:r>
      <w:r>
        <w:t xml:space="preserve">(all wired to the process</w:t>
      </w:r>
      <w:r>
        <w:t xml:space="preserve"> </w:t>
      </w:r>
      <w:r>
        <w:rPr>
          <w:rStyle w:val="VerbatimChar"/>
        </w:rPr>
        <w:t xml:space="preserve">cpus</w:t>
      </w:r>
      <w:r>
        <w:t xml:space="preserve">). A few tools are</w:t>
      </w:r>
      <w:r>
        <w:t xml:space="preserve"> </w:t>
      </w:r>
      <w:r>
        <w:t xml:space="preserve">single-threaded by design (Picard MarkDuplicates/CollectHsMetrics, GATK GenotypeGVCFs).</w:t>
      </w:r>
    </w:p>
    <w:p>
      <w:pPr>
        <w:pStyle w:val="BodyText"/>
      </w:pPr>
      <w:r>
        <w:rPr>
          <w:b/>
          <w:bCs/>
        </w:rPr>
        <w:t xml:space="preserve">Single-machine ceilings (the laptop knob).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profile, total concurrent use</w:t>
      </w:r>
      <w:r>
        <w:t xml:space="preserve"> </w:t>
      </w:r>
      <w:r>
        <w:t xml:space="preserve">is capped by two params — set</w:t>
      </w:r>
      <w:r>
        <w:t xml:space="preserve"> </w:t>
      </w:r>
      <w:r>
        <w:t xml:space="preserve">“use at most N cores / M GB”</w:t>
      </w:r>
      <w:r>
        <w:t xml:space="preserve">, don’t micromanage each tool: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99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</w:t>
            </w:r>
            <w:r>
              <w:rPr>
                <w:rStyle w:val="VerbatimChar"/>
              </w:rPr>
              <w:t xml:space="preserve">local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total cores CallForge uses at once on this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24.GB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total memory used at once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 4-core / 8 GB laptop: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--max_cpus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--max_memory</w:t>
      </w:r>
      <w:r>
        <w:rPr>
          <w:rStyle w:val="NormalTok"/>
        </w:rPr>
        <w:t xml:space="preserve"> 8.GB</w:t>
      </w:r>
    </w:p>
    <w:p>
      <w:pPr>
        <w:pStyle w:val="FirstParagraph"/>
      </w:pPr>
      <w:r>
        <w:t xml:space="preserve">These feed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executor’s total</w:t>
      </w:r>
      <w:r>
        <w:t xml:space="preserve"> </w:t>
      </w:r>
      <w:r>
        <w:rPr>
          <w:rStyle w:val="VerbatimChar"/>
        </w:rPr>
        <w:t xml:space="preserve">cpus</w:t>
      </w:r>
      <w:r>
        <w:t xml:space="preserve">/</w:t>
      </w:r>
      <w:r>
        <w:rPr>
          <w:rStyle w:val="VerbatimChar"/>
        </w:rPr>
        <w:t xml:space="preserve">memory</w:t>
      </w:r>
      <w:r>
        <w:t xml:space="preserve">, and every per-stage request is</w:t>
      </w:r>
      <w:r>
        <w:t xml:space="preserve"> </w:t>
      </w:r>
      <w:r>
        <w:rPr>
          <w:b/>
          <w:bCs/>
        </w:rPr>
        <w:t xml:space="preserve">clamped</w:t>
      </w:r>
      <w:r>
        <w:t xml:space="preserve"> </w:t>
      </w:r>
      <w:r>
        <w:t xml:space="preserve">to them (</w:t>
      </w:r>
      <w:r>
        <w:rPr>
          <w:rStyle w:val="VerbatimChar"/>
        </w:rPr>
        <w:t xml:space="preserve">[request, ceiling].min()</w:t>
      </w:r>
      <w:r>
        <w:t xml:space="preserve">), so no single task ever asks for more than</w:t>
      </w:r>
      <w:r>
        <w:t xml:space="preserve"> </w:t>
      </w:r>
      <w:r>
        <w:t xml:space="preserve">the machine is allowed to use.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instead requests resources</w:t>
      </w:r>
      <w:r>
        <w:t xml:space="preserve"> </w:t>
      </w:r>
      <w:r>
        <w:rPr>
          <w:b/>
          <w:bCs/>
        </w:rPr>
        <w:t xml:space="preserve">per SLURM</w:t>
      </w:r>
      <w:r>
        <w:rPr>
          <w:b/>
          <w:bCs/>
        </w:rP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get 16 cores) and</w:t>
      </w:r>
      <w:r>
        <w:t xml:space="preserve"> </w:t>
      </w:r>
      <w:r>
        <w:rPr>
          <w:rStyle w:val="VerbatimChar"/>
        </w:rPr>
        <w:t xml:space="preserve">--max_cpus</w:t>
      </w:r>
      <w:r>
        <w:t xml:space="preserve">/</w:t>
      </w:r>
      <w:r>
        <w:rPr>
          <w:rStyle w:val="VerbatimChar"/>
        </w:rPr>
        <w:t xml:space="preserve">--max_memory</w:t>
      </w:r>
      <w:r>
        <w:t xml:space="preserve"> </w:t>
      </w:r>
      <w:r>
        <w:t xml:space="preserve">bound per-job sizes.</w:t>
      </w:r>
    </w:p>
    <w:p>
      <w:pPr>
        <w:pStyle w:val="BodyText"/>
      </w:pPr>
      <w:r>
        <w:rPr>
          <w:b/>
          <w:bCs/>
        </w:rPr>
        <w:t xml:space="preserve">Power-user escape hatches</w:t>
      </w:r>
      <w:r>
        <w:t xml:space="preserve"> </w:t>
      </w:r>
      <w:r>
        <w:t xml:space="preserve">(Nextflow-native): override one process with</w:t>
      </w:r>
      <w:r>
        <w:t xml:space="preserve"> </w:t>
      </w:r>
      <w:r>
        <w:rPr>
          <w:rStyle w:val="VerbatimChar"/>
        </w:rPr>
        <w:t xml:space="preserve">-process.cpus=N</w:t>
      </w:r>
      <w:r>
        <w:t xml:space="preserve">, or supply a custom config with</w:t>
      </w:r>
      <w:r>
        <w:t xml:space="preserve"> </w:t>
      </w:r>
      <w:r>
        <w:rPr>
          <w:rStyle w:val="VerbatimChar"/>
        </w:rPr>
        <w:t xml:space="preserve">-c my.config</w:t>
      </w:r>
      <w:r>
        <w:t xml:space="preserve"> </w:t>
      </w:r>
      <w:r>
        <w:t xml:space="preserve">(e.g. a</w:t>
      </w:r>
      <w:r>
        <w:t xml:space="preserve"> </w:t>
      </w:r>
      <w:r>
        <w:rPr>
          <w:rStyle w:val="VerbatimChar"/>
        </w:rPr>
        <w:t xml:space="preserve">withName:</w:t>
      </w:r>
      <w:r>
        <w:t xml:space="preserve"> </w:t>
      </w:r>
      <w:r>
        <w:t xml:space="preserve">block to</w:t>
      </w:r>
      <w:r>
        <w:t xml:space="preserve"> </w:t>
      </w:r>
      <w:r>
        <w:t xml:space="preserve">retune a specific process). The defaults live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(per-label) and each</w:t>
      </w:r>
      <w:r>
        <w:t xml:space="preserve"> </w:t>
      </w:r>
      <w:r>
        <w:t xml:space="preserve">profile’s</w:t>
      </w:r>
      <w:r>
        <w:t xml:space="preserve"> </w:t>
      </w:r>
      <w:r>
        <w:rPr>
          <w:rStyle w:val="VerbatimChar"/>
        </w:rPr>
        <w:t xml:space="preserve">conf/*.config</w:t>
      </w:r>
      <w:r>
        <w:t xml:space="preserve">.</w:t>
      </w:r>
    </w:p>
    <w:bookmarkEnd w:id="31"/>
    <w:bookmarkStart w:id="33" w:name="parameter-reference-complete"/>
    <w:p>
      <w:pPr>
        <w:pStyle w:val="Heading2"/>
      </w:pPr>
      <w:r>
        <w:t xml:space="preserve">7.2 Parameter Reference (complete)</w:t>
      </w:r>
    </w:p>
    <w:p>
      <w:pPr>
        <w:pStyle w:val="FirstParagraph"/>
      </w:pPr>
      <w:r>
        <w:t xml:space="preserve">Every CallForge parameter, its real default, whether it is required, and its</w:t>
      </w:r>
      <w:r>
        <w:t xml:space="preserve"> </w:t>
      </w:r>
      <w:r>
        <w:rPr>
          <w:b/>
          <w:bCs/>
        </w:rPr>
        <w:t xml:space="preserve">provenance</w:t>
      </w:r>
      <w:r>
        <w:t xml:space="preserve"> </w:t>
      </w:r>
      <w:r>
        <w:t xml:space="preserve">— where the value comes from in a deployed setup: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[install]</w:t>
      </w:r>
      <w:r>
        <w:t xml:space="preserve"> </w:t>
      </w:r>
      <w:r>
        <w:t xml:space="preserve">— set once per cluster in the site env file (</w:t>
      </w:r>
      <w:r>
        <w:rPr>
          <w:rStyle w:val="VerbatimChar"/>
        </w:rPr>
        <w:t xml:space="preserve">callforge-env.sh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CALLFORGE_*</w:t>
      </w:r>
      <w:r>
        <w:t xml:space="preserve"> </w:t>
      </w:r>
      <w:r>
        <w:t xml:space="preserve">vars the wrapper turns into flags).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[site]</w:t>
      </w:r>
      <w:r>
        <w:t xml:space="preserve"> </w:t>
      </w:r>
      <w:r>
        <w:t xml:space="preserve">— set once per cluster in the params file (</w:t>
      </w:r>
      <w:r>
        <w:rPr>
          <w:rStyle w:val="VerbatimChar"/>
        </w:rPr>
        <w:t xml:space="preserve">-params-file</w:t>
      </w:r>
      <w:r>
        <w:t xml:space="preserve">): references,</w:t>
      </w:r>
      <w:r>
        <w:t xml:space="preserve"> </w:t>
      </w:r>
      <w:r>
        <w:t xml:space="preserve">databases, container image, queue.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[per-run]</w:t>
      </w:r>
      <w:r>
        <w:t xml:space="preserve"> </w:t>
      </w:r>
      <w:r>
        <w:t xml:space="preserve">— you provide every run (the minimal set).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[optional]</w:t>
      </w:r>
      <w:r>
        <w:t xml:space="preserve"> </w:t>
      </w:r>
      <w:r>
        <w:t xml:space="preserve">— has a sane default; set only to override.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[stage-dependent]</w:t>
      </w:r>
      <w:r>
        <w:t xml:space="preserve"> </w:t>
      </w:r>
      <w:r>
        <w:t xml:space="preserve">— only needed when that stage/engine/branch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--input</w:t>
            </w:r>
          </w:p>
        </w:tc>
        <w:tc>
          <w:tcPr/>
          <w:p>
            <w:pPr>
              <w:pStyle w:val="Compact"/>
            </w:pPr>
            <w:r>
              <w:t xml:space="preserve">sample sheet CSV (</w:t>
            </w:r>
            <w:r>
              <w:rPr>
                <w:rStyle w:val="VerbatimChar"/>
              </w:rPr>
              <w:t xml:space="preserve">sample_id,fastq_1,fastq_2[,sex,phenotype,covariate_*,batch]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(full pipeline)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[per-run]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--genome_fasta</w:t>
            </w:r>
          </w:p>
        </w:tc>
        <w:tc>
          <w:tcPr/>
          <w:p>
            <w:pPr>
              <w:pStyle w:val="Compact"/>
            </w:pPr>
            <w:r>
              <w:t xml:space="preserve">no-alt primary-assembly FASTA (same build/contig naming as the BED)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</w:pPr>
            <w:r>
              <w:t xml:space="preserve">panel BED (CaptureForge</w:t>
            </w:r>
            <w:r>
              <w:t xml:space="preserve"> </w:t>
            </w:r>
            <w:r>
              <w:rPr>
                <w:rStyle w:val="VerbatimChar"/>
              </w:rPr>
              <w:t xml:space="preserve">final_covered_targets.bed</w:t>
            </w:r>
            <w:r>
              <w:t xml:space="preserve"> </w:t>
            </w:r>
            <w:r>
              <w:t xml:space="preserve">or any panel BED)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--panel_name</w:t>
            </w:r>
          </w:p>
        </w:tc>
        <w:tc>
          <w:tcPr/>
          <w:p>
            <w:pPr>
              <w:pStyle w:val="Compact"/>
            </w:pPr>
            <w:r>
              <w:t xml:space="preserve">label stamped on outputs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callforge_panel</w:t>
            </w:r>
          </w:p>
        </w:tc>
        <w:tc>
          <w:tcPr/>
          <w:p>
            <w:pPr>
              <w:pStyle w:val="Compact"/>
            </w:pPr>
            <w:r>
              <w:t xml:space="preserve">[per-run]/[optional]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--captureforge_dir</w:t>
            </w:r>
          </w:p>
        </w:tc>
        <w:tc>
          <w:tcPr/>
          <w:p>
            <w:pPr>
              <w:pStyle w:val="Compact"/>
            </w:pPr>
            <w:r>
              <w:t xml:space="preserve">CaptureForge</w:t>
            </w:r>
            <w:r>
              <w:t xml:space="preserve"> </w:t>
            </w:r>
            <w:r>
              <w:rPr>
                <w:rStyle w:val="VerbatimChar"/>
              </w:rPr>
              <w:t xml:space="preserve">results/&lt;run&gt;</w:t>
            </w:r>
            <w:r>
              <w:t xml:space="preserve"> </w:t>
            </w:r>
            <w:r>
              <w:t xml:space="preserve">dir (auto-finds metrics.json + baits.csv)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--cf_metrics_json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--cf_baits_csv</w:t>
            </w:r>
          </w:p>
        </w:tc>
        <w:tc>
          <w:tcPr/>
          <w:p>
            <w:pPr>
              <w:pStyle w:val="Compact"/>
            </w:pPr>
            <w:r>
              <w:t xml:space="preserve">explicit CaptureForge artifacts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--gene_metadata</w:t>
            </w:r>
          </w:p>
        </w:tc>
        <w:tc>
          <w:tcPr/>
          <w:p>
            <w:pPr>
              <w:pStyle w:val="Compact"/>
            </w:pPr>
            <w:r>
              <w:t xml:space="preserve">pre-built per-gene metadata TSV (use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CaptureForge)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--paralog_genes</w:t>
            </w:r>
          </w:p>
        </w:tc>
        <w:tc>
          <w:tcPr/>
          <w:p>
            <w:pPr>
              <w:pStyle w:val="Compact"/>
            </w:pPr>
            <w:r>
              <w:t xml:space="preserve">comma list of paralog genes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t xml:space="preserve">ExpansionHunter catalog JSON (else built from STR targets)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--genome_build</w:t>
            </w:r>
          </w:p>
        </w:tc>
        <w:tc>
          <w:tcPr/>
          <w:p>
            <w:pPr>
              <w:pStyle w:val="Compact"/>
            </w:pPr>
            <w:r>
              <w:t xml:space="preserve">reference build label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GRCh38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--species</w:t>
            </w:r>
          </w:p>
        </w:tc>
        <w:tc>
          <w:tcPr/>
          <w:p>
            <w:pPr>
              <w:pStyle w:val="Compact"/>
            </w:pPr>
            <w:r>
              <w:t xml:space="preserve">VEP species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homo_sapiens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--resource_dirs</w:t>
            </w:r>
          </w:p>
        </w:tc>
        <w:tc>
          <w:tcPr/>
          <w:p>
            <w:pPr>
              <w:pStyle w:val="Compact"/>
            </w:pPr>
            <w:r>
              <w:t xml:space="preserve">comma list scanned by resource discovery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$HOME,/usr/local/share,/opt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--resource_manifest</w:t>
            </w:r>
          </w:p>
        </w:tc>
        <w:tc>
          <w:tcPr/>
          <w:p>
            <w:pPr>
              <w:pStyle w:val="Compact"/>
            </w:pPr>
            <w:r>
              <w:t xml:space="preserve">pre-built manifest JSON (skip discovery)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--allow_download</w:t>
            </w:r>
          </w:p>
        </w:tc>
        <w:tc>
          <w:tcPr/>
          <w:p>
            <w:pPr>
              <w:pStyle w:val="Compact"/>
            </w:pPr>
            <w:r>
              <w:t xml:space="preserve">fetch a missing</w:t>
            </w:r>
            <w:r>
              <w:t xml:space="preserve"> </w:t>
            </w: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--vep_cache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--vep_release</w:t>
            </w:r>
          </w:p>
        </w:tc>
        <w:tc>
          <w:tcPr/>
          <w:p>
            <w:pPr>
              <w:pStyle w:val="Compact"/>
            </w:pPr>
            <w:r>
              <w:t xml:space="preserve">VEP cache dir / release</w:t>
            </w:r>
          </w:p>
        </w:tc>
        <w:tc>
          <w:tcPr/>
          <w:p>
            <w:pPr>
              <w:pStyle w:val="Compact"/>
            </w:pPr>
            <w:r>
              <w:t xml:space="preserve">no (else discovered)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--gnomad_vcf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--gnomad_af_field</w:t>
            </w:r>
          </w:p>
        </w:tc>
        <w:tc>
          <w:tcPr/>
          <w:p>
            <w:pPr>
              <w:pStyle w:val="Compact"/>
            </w:pPr>
            <w:r>
              <w:t xml:space="preserve">gnomAD VCF (prefer AFR) / source AF field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AF_afr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--dbsnp_vcf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--clinvar_vcf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--phylop_bw</w:t>
            </w:r>
          </w:p>
        </w:tc>
        <w:tc>
          <w:tcPr/>
          <w:p>
            <w:pPr>
              <w:pStyle w:val="Compact"/>
            </w:pPr>
            <w:r>
              <w:t xml:space="preserve">annotation databases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+ 1000G), comma list</w:t>
            </w:r>
          </w:p>
        </w:tc>
        <w:tc>
          <w:tcPr/>
          <w:p>
            <w:pPr>
              <w:pStyle w:val="Compact"/>
            </w:pPr>
            <w:r>
              <w:t xml:space="preserve">no (else BQSR skipped)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--vcfanno_toml</w:t>
            </w:r>
          </w:p>
        </w:tc>
        <w:tc>
          <w:tcPr/>
          <w:p>
            <w:pPr>
              <w:pStyle w:val="Compact"/>
            </w:pPr>
            <w:r>
              <w:t xml:space="preserve">bring-your-own vcfanno databases (organism-generic)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 (else UNFIT, fail loud)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--ignore_unfit_resources</w:t>
            </w:r>
          </w:p>
        </w:tc>
        <w:tc>
          <w:tcPr/>
          <w:p>
            <w:pPr>
              <w:pStyle w:val="Compact"/>
            </w:pPr>
            <w:r>
              <w:t xml:space="preserve">proceed despite a region-limited DB (not advised)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--adapter_r1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--adapter_r2</w:t>
            </w:r>
          </w:p>
        </w:tc>
        <w:tc>
          <w:tcPr/>
          <w:p>
            <w:pPr>
              <w:pStyle w:val="Compact"/>
            </w:pPr>
            <w:r>
              <w:t xml:space="preserve">fastp adapters (null = auto-detect)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--fastp_qual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--fastp_min_len</w:t>
            </w:r>
          </w:p>
        </w:tc>
        <w:tc>
          <w:tcPr/>
          <w:p>
            <w:pPr>
              <w:pStyle w:val="Compact"/>
            </w:pPr>
            <w:r>
              <w:t xml:space="preserve">trim quality / min length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--min_on_target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t xml:space="preserve">QC gate thresholds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0.40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t xml:space="preserve">quarantine on sex mismatch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t xml:space="preserve">HaplotypeCaller ploidy /</w:t>
            </w:r>
            <w:r>
              <w:t xml:space="preserve"> </w:t>
            </w:r>
            <w:r>
              <w:rPr>
                <w:rStyle w:val="VerbatimChar"/>
              </w:rPr>
              <w:t xml:space="preserve">genomicsdb</w:t>
            </w:r>
            <w:r>
              <w:t xml:space="preserve">|</w:t>
            </w:r>
            <w:r>
              <w:rPr>
                <w:rStyle w:val="VerbatimChar"/>
              </w:rPr>
              <w:t xml:space="preserve">combinegvcfs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hard-filter JEXL (WGS/WES defaults)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see config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--cnv_method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t xml:space="preserve">CNVkit knobs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--cnv_min_samples_pon</w:t>
            </w:r>
          </w:p>
        </w:tc>
        <w:tc>
          <w:tcPr/>
          <w:p>
            <w:pPr>
              <w:pStyle w:val="Compact"/>
            </w:pPr>
            <w:r>
              <w:t xml:space="preserve">min QC-pass samples to build a panel-of-normals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--str_motif</w:t>
            </w:r>
          </w:p>
        </w:tc>
        <w:tc>
          <w:tcPr/>
          <w:p>
            <w:pPr>
              <w:pStyle w:val="Compact"/>
            </w:pPr>
            <w:r>
              <w:t xml:space="preserve">fallback motif when building an STR catalog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--paralog_min_mq</w:t>
            </w:r>
          </w:p>
        </w:tc>
        <w:tc>
          <w:tcPr/>
          <w:p>
            <w:pPr>
              <w:pStyle w:val="Compact"/>
            </w:pPr>
            <w:r>
              <w:t xml:space="preserve">MQ below which a paralog-region call is flagged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--vep_mode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--vep_extra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  <w:r>
              <w:t xml:space="preserve">|</w:t>
            </w:r>
            <w:r>
              <w:rPr>
                <w:rStyle w:val="VerbatimChar"/>
              </w:rPr>
              <w:t xml:space="preserve">gtf</w:t>
            </w:r>
            <w:r>
              <w:t xml:space="preserve">; GTF for gtf mode; extra VEP flags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[optional]/[stage-dependent]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VEP container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ensemblorg/ensembl-vep:release_110.0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t xml:space="preserve">somalier sites VCF (cohort QC)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[stage-dependent]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--giab_control_id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  <w:r>
              <w:t xml:space="preserve"> </w:t>
            </w:r>
            <w:r>
              <w:rPr>
                <w:rStyle w:val="VerbatimChar"/>
              </w:rPr>
              <w:t xml:space="preserve">sample_id</w:t>
            </w:r>
            <w:r>
              <w:t xml:space="preserve"> </w:t>
            </w:r>
            <w:r>
              <w:t xml:space="preserve">in the callset to benchmark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[per-run]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--giab_truth_vcf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--giab_truth_bed</w:t>
            </w:r>
          </w:p>
        </w:tc>
        <w:tc>
          <w:tcPr/>
          <w:p>
            <w:pPr>
              <w:pStyle w:val="Compact"/>
            </w:pPr>
            <w:r>
              <w:t xml:space="preserve">GIAB truth VCF / high-confidence BED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container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jmcdani20/hap.py:v0.3.12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--run_burden</w:t>
            </w:r>
          </w:p>
        </w:tc>
        <w:tc>
          <w:tcPr/>
          <w:p>
            <w:pPr>
              <w:pStyle w:val="Compact"/>
            </w:pPr>
            <w:r>
              <w:t xml:space="preserve">run the burden stage (auto-skipped without a phenotype column)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rare-AF threshold / qualifying consequences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  <w:r>
              <w:t xml:space="preserve"> </w:t>
            </w:r>
            <w:r>
              <w:t xml:space="preserve">/ LoF+missense set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--covariates</w:t>
            </w:r>
          </w:p>
        </w:tc>
        <w:tc>
          <w:tcPr/>
          <w:p>
            <w:pPr>
              <w:pStyle w:val="Compact"/>
            </w:pPr>
            <w:r>
              <w:t xml:space="preserve">ancestry PCs / covariate_* columns (’’=all)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--container_image</w:t>
            </w:r>
          </w:p>
        </w:tc>
        <w:tc>
          <w:tcPr/>
          <w:p>
            <w:pPr>
              <w:pStyle w:val="Compact"/>
            </w:pPr>
            <w:r>
              <w:t xml:space="preserve">image every task runs in (.sif path | docker tag)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if an engine is 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[site]/[install]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--bind_paths</w:t>
            </w:r>
          </w:p>
        </w:tc>
        <w:tc>
          <w:tcPr/>
          <w:p>
            <w:pPr>
              <w:pStyle w:val="Compact"/>
            </w:pPr>
            <w:r>
              <w:t xml:space="preserve">host path(s) to bind into containers for in-place refs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[site]/[install]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</w:p>
        </w:tc>
        <w:tc>
          <w:tcPr/>
          <w:p>
            <w:pPr>
              <w:pStyle w:val="Compact"/>
            </w:pPr>
            <w:r>
              <w:t xml:space="preserve">SLURM queue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hpc_slurm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[site]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--slurm_account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--slurm_queue_opts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--scratch_dir</w:t>
            </w:r>
          </w:p>
        </w:tc>
        <w:tc>
          <w:tcPr/>
          <w:p>
            <w:pPr>
              <w:pStyle w:val="Compact"/>
            </w:pPr>
            <w:r>
              <w:t xml:space="preserve">SLURM account / extra opts / scratch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--max_memory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t xml:space="preserve">per-profile compute ceilings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per profile</w:t>
            </w:r>
          </w:p>
        </w:tc>
        <w:tc>
          <w:tcPr/>
          <w:p>
            <w:pPr>
              <w:pStyle w:val="Compact"/>
            </w:pPr>
            <w:r>
              <w:t xml:space="preserve">[optional]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--publish_mode</w:t>
            </w:r>
          </w:p>
        </w:tc>
        <w:tc>
          <w:tcPr/>
          <w:p>
            <w:pPr>
              <w:pStyle w:val="Compact"/>
            </w:pPr>
            <w:r>
              <w:t xml:space="preserve">results directory / publish 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[per-run]/[optional]</w:t>
            </w:r>
          </w:p>
        </w:tc>
      </w:tr>
    </w:tbl>
    <w:p>
      <w:pPr>
        <w:pStyle w:val="BodyText"/>
      </w:pPr>
      <w:r>
        <w:t xml:space="preserve">Stage-subcommand-only inputs (read only under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/</w:t>
      </w:r>
      <w:r>
        <w:rPr>
          <w:rStyle w:val="VerbatimChar"/>
        </w:rPr>
        <w:t xml:space="preserve">callforge &lt;stage&gt;</w:t>
      </w:r>
      <w:r>
        <w:t xml:space="preserve">; ignored by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):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--input_vcf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--input_bams</w:t>
      </w:r>
      <w:r>
        <w:t xml:space="preserve">,</w:t>
      </w:r>
      <w:r>
        <w:t xml:space="preserve"> </w:t>
      </w:r>
      <w:r>
        <w:rPr>
          <w:rStyle w:val="VerbatimChar"/>
        </w:rPr>
        <w:t xml:space="preserve">--fastq_1</w:t>
      </w:r>
      <w:r>
        <w:t xml:space="preserve">/</w:t>
      </w:r>
      <w:r>
        <w:rPr>
          <w:rStyle w:val="VerbatimChar"/>
        </w:rPr>
        <w:t xml:space="preserve">--fastq_2</w:t>
      </w:r>
      <w:r>
        <w:t xml:space="preserve">/</w:t>
      </w:r>
      <w:r>
        <w:t xml:space="preserve"> </w:t>
      </w:r>
      <w:r>
        <w:rPr>
          <w:rStyle w:val="VerbatimChar"/>
        </w:rPr>
        <w:t xml:space="preserve">--sample_id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--cohort_qc_json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--in_place</w:t>
      </w:r>
      <w:r>
        <w:t xml:space="preserve">. See §8.10 and</w:t>
      </w:r>
      <w:r>
        <w:t xml:space="preserve"> </w:t>
      </w:r>
      <w:r>
        <w:rPr>
          <w:rStyle w:val="VerbatimChar"/>
        </w:rPr>
        <w:t xml:space="preserve">callforge &lt;stage&gt; --help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Annotated, ready-to-edit templates.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 </w:t>
      </w:r>
      <w:r>
        <w:t xml:space="preserve">(local) and</w:t>
      </w:r>
      <w:r>
        <w:t xml:space="preserve"> </w:t>
      </w:r>
      <w:r>
        <w:rPr>
          <w:rStyle w:val="VerbatimChar"/>
        </w:rPr>
        <w:t xml:space="preserve">conf/cluster.params.example.yaml</w:t>
      </w:r>
      <w:r>
        <w:t xml:space="preserve"> </w:t>
      </w:r>
      <w:r>
        <w:t xml:space="preserve">(cluster) carry these with site-example values; the</w:t>
      </w:r>
      <w:r>
        <w:t xml:space="preserve"> </w:t>
      </w:r>
      <w:r>
        <w:rPr>
          <w:rStyle w:val="VerbatimChar"/>
        </w:rPr>
        <w:t xml:space="preserve">callforge run --help</w:t>
      </w:r>
      <w:r>
        <w:t xml:space="preserve"> </w:t>
      </w:r>
      <w:r>
        <w:t xml:space="preserve">epilog lists them inline with the same provenance tags.</w:t>
      </w:r>
    </w:p>
    <w:bookmarkStart w:id="32" w:name="X5e67d750b2ea5c2b130b05e2b9c7189e8f3cda1"/>
    <w:p>
      <w:pPr>
        <w:pStyle w:val="Heading3"/>
      </w:pPr>
      <w:r>
        <w:t xml:space="preserve">Expanded vs. short run (the same run, two ways)</w:t>
      </w:r>
    </w:p>
    <w:p>
      <w:pPr>
        <w:pStyle w:val="SourceCode"/>
      </w:pPr>
      <w:r>
        <w:rPr>
          <w:rStyle w:val="CommentTok"/>
        </w:rPr>
        <w:t xml:space="preserve"># expanded — every value on the command line (illustrative; you rarely type this)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--container_image</w:t>
      </w:r>
      <w:r>
        <w:rPr>
          <w:rStyle w:val="NormalTok"/>
        </w:rPr>
        <w:t xml:space="preserve"> /shared/apps/callforge/callforge.sif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--bind_paths</w:t>
      </w:r>
      <w:r>
        <w:rPr>
          <w:rStyle w:val="NormalTok"/>
        </w:rPr>
        <w:t xml:space="preserve"> /hpc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/hpc/refs/callforge/GRCh38/GRCh38_noalt_primary.fa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/hpc/refs/callforge/GRCh38/final_covered_targets.bed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--resource_dirs</w:t>
      </w:r>
      <w:r>
        <w:rPr>
          <w:rStyle w:val="NormalTok"/>
        </w:rPr>
        <w:t xml:space="preserve"> /hpc/refs/callforge/annotation_db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--caller</w:t>
      </w:r>
      <w:r>
        <w:rPr>
          <w:rStyle w:val="NormalTok"/>
        </w:rPr>
        <w:t xml:space="preserve"> gatk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results</w:t>
      </w:r>
      <w:r>
        <w:br/>
      </w:r>
      <w:r>
        <w:br/>
      </w:r>
      <w:r>
        <w:rPr>
          <w:rStyle w:val="CommentTok"/>
        </w:rPr>
        <w:t xml:space="preserve"># short — site values live in the env file + params file; the wrapper supplies image+bind</w:t>
      </w:r>
      <w:r>
        <w:br/>
      </w:r>
      <w:r>
        <w:rPr>
          <w:rStyle w:val="ExtensionTok"/>
        </w:rPr>
        <w:t xml:space="preserve">callforge-run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site.params.yaml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results</w:t>
      </w:r>
    </w:p>
    <w:bookmarkEnd w:id="32"/>
    <w:bookmarkEnd w:id="33"/>
    <w:bookmarkEnd w:id="34"/>
    <w:bookmarkStart w:id="48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6" w:name="X31f36e5fd51f61d898b60caf8db34ba3c2ea46d"/>
    <w:p>
      <w:pPr>
        <w:pStyle w:val="Heading2"/>
      </w:pPr>
      <w:r>
        <w:t xml:space="preserve">8.0 How to invoke CallForge (command hierarchy)</w:t>
      </w:r>
    </w:p>
    <w:p>
      <w:pPr>
        <w:pStyle w:val="FirstParagraph"/>
      </w:pPr>
      <w:r>
        <w:t xml:space="preserve">There are three equivalent ways to launch CallForge — all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pipeline. Lead</w:t>
      </w:r>
      <w:r>
        <w:t xml:space="preserve"> </w:t>
      </w:r>
      <w:r>
        <w:t xml:space="preserve">with the named command; drop to the raw forms only when you have not installed the CLI.</w:t>
      </w:r>
    </w:p>
    <w:p>
      <w:pPr>
        <w:pStyle w:val="BodyText"/>
      </w:pPr>
      <w:r>
        <w:rPr>
          <w:b/>
          <w:bCs/>
        </w:rPr>
        <w:t xml:space="preserve">Tier 1 — the named command (recommended,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pip install -e .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every flag after it is passed straight to Nextflow.</w:t>
      </w:r>
    </w:p>
    <w:p>
      <w:pPr>
        <w:pStyle w:val="SourceCode"/>
      </w:pPr>
      <w:r>
        <w:rPr>
          <w:rStyle w:val="CommentTok"/>
        </w:rPr>
        <w:t xml:space="preserve"># runs the full CallForge pipeline (FASTQ -&gt; annotated joint callset -&gt; burden)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SourceCode"/>
      </w:pPr>
      <w:r>
        <w:rPr>
          <w:rStyle w:val="CommentTok"/>
        </w:rPr>
        <w:t xml:space="preserve"># the same on an HPC cluster (SLURM + SingularityCE; or ,apptainer)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b/>
          <w:bCs/>
        </w:rPr>
        <w:t xml:space="preserve">Tier 2 — from GitHub without cloning</w:t>
      </w:r>
      <w:r>
        <w:t xml:space="preserve"> </w:t>
      </w:r>
      <w:r>
        <w:t xml:space="preserve">(Nextflow pulls the repo for you):</w:t>
      </w:r>
    </w:p>
    <w:p>
      <w:pPr>
        <w:pStyle w:val="SourceCode"/>
      </w:pPr>
      <w:r>
        <w:rPr>
          <w:rStyle w:val="CommentTok"/>
        </w:rPr>
        <w:t xml:space="preserve"># runs CallForge straight from GitHub; version-pin with -r &lt;tag/branch&gt;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aduton1000/callforge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v0.1.0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t xml:space="preserve">The GitHub account is</w:t>
      </w:r>
      <w:r>
        <w:t xml:space="preserve"> </w:t>
      </w:r>
      <w:r>
        <w:rPr>
          <w:b/>
          <w:bCs/>
        </w:rPr>
        <w:t xml:space="preserve">aduton1000</w:t>
      </w:r>
      <w:r>
        <w:t xml:space="preserve">. The repo is</w:t>
      </w:r>
      <w:r>
        <w:t xml:space="preserve"> </w:t>
      </w:r>
      <w:r>
        <w:rPr>
          <w:b/>
          <w:bCs/>
        </w:rPr>
        <w:t xml:space="preserve">currently private</w:t>
      </w:r>
      <w:r>
        <w:t xml:space="preserve">, so this form</w:t>
      </w:r>
      <w:r>
        <w:t xml:space="preserve"> </w:t>
      </w:r>
      <w:r>
        <w:t xml:space="preserve">works only for users with repo access until it is made public; always pin a version with</w:t>
      </w:r>
      <w:r>
        <w:t xml:space="preserve"> </w:t>
      </w:r>
      <w:r>
        <w:rPr>
          <w:rStyle w:val="VerbatimChar"/>
        </w:rPr>
        <w:t xml:space="preserve">-r &lt;tag/branch&gt;</w:t>
      </w:r>
      <w:r>
        <w:t xml:space="preserve"> </w:t>
      </w:r>
      <w:r>
        <w:t xml:space="preserve">for reproducibility.</w:t>
      </w:r>
    </w:p>
    <w:p>
      <w:pPr>
        <w:pStyle w:val="BodyText"/>
      </w:pPr>
      <w:r>
        <w:rPr>
          <w:b/>
          <w:bCs/>
        </w:rPr>
        <w:t xml:space="preserve">Tier 3 — from a cloned repo (developers):</w:t>
      </w:r>
    </w:p>
    <w:p>
      <w:pPr>
        <w:pStyle w:val="SourceCode"/>
      </w:pPr>
      <w:r>
        <w:rPr>
          <w:rStyle w:val="CommentTok"/>
        </w:rPr>
        <w:t xml:space="preserve"># runs CallForge from inside the clone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CallForge’s entry script — it imports the subworkflows and wires the DAG,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runs the whole pipeline, but only from inside the repo directory.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(Tier 1) simply locates this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for you and runs it from anywhere.</w:t>
      </w:r>
    </w:p>
    <w:p>
      <w:pPr>
        <w:pStyle w:val="BodyText"/>
      </w:pPr>
      <w:r>
        <w:t xml:space="preserve">In every tier,</w:t>
      </w:r>
      <w:r>
        <w:t xml:space="preserve"> </w:t>
      </w:r>
      <w:r>
        <w:rPr>
          <w:rStyle w:val="VerbatimChar"/>
        </w:rPr>
        <w:t xml:space="preserve">params.full.yaml</w:t>
      </w:r>
      <w:r>
        <w:t xml:space="preserve"> </w:t>
      </w:r>
      <w:r>
        <w:t xml:space="preserve">supplies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genome_fasta</w:t>
      </w:r>
      <w:r>
        <w:t xml:space="preserve">), the</w:t>
      </w:r>
      <w:r>
        <w:t xml:space="preserve"> </w:t>
      </w:r>
      <w:r>
        <w:rPr>
          <w:b/>
          <w:bCs/>
        </w:rPr>
        <w:t xml:space="preserve">target BED + CaptureForge handoff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target_bed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captureforge_dir</w:t>
      </w:r>
      <w:r>
        <w:t xml:space="preserve">), the</w:t>
      </w:r>
      <w:r>
        <w:t xml:space="preserve"> </w:t>
      </w:r>
      <w:r>
        <w:rPr>
          <w:b/>
          <w:bCs/>
        </w:rPr>
        <w:t xml:space="preserve">annotation resources</w:t>
      </w:r>
      <w:r>
        <w:t xml:space="preserve"> </w:t>
      </w:r>
      <w:r>
        <w:t xml:space="preserve">(resource directories), and the</w:t>
      </w:r>
      <w:r>
        <w:t xml:space="preserve"> </w:t>
      </w:r>
      <w:r>
        <w:rPr>
          <w:b/>
          <w:bCs/>
        </w:rPr>
        <w:t xml:space="preserve">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</w:t>
      </w:r>
      <w:r>
        <w:t xml:space="preserve">).</w:t>
      </w:r>
    </w:p>
    <w:bookmarkStart w:id="35" w:name="understanding-profiles"/>
    <w:p>
      <w:pPr>
        <w:pStyle w:val="Heading3"/>
      </w:pPr>
      <w:r>
        <w:t xml:space="preserve">Understanding profiles</w:t>
      </w:r>
    </w:p>
    <w:p>
      <w:pPr>
        <w:pStyle w:val="FirstParagraph"/>
      </w:pPr>
      <w:r>
        <w:t xml:space="preserve">A CallForge run composes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profiles with a comma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and 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Execution</w:t>
      </w:r>
      <w:r>
        <w:t xml:space="preserve"> </w:t>
      </w:r>
      <w:r>
        <w:t xml:space="preserve">(where it runs):</w:t>
      </w:r>
      <w:r>
        <w:t xml:space="preserve"> </w:t>
      </w:r>
      <w:r>
        <w:rPr>
          <w:rStyle w:val="VerbatimChar"/>
          <w:b/>
          <w:bCs/>
        </w:rPr>
        <w:t xml:space="preserve">local</w:t>
      </w:r>
      <w:r>
        <w:t xml:space="preserve"> </w:t>
      </w:r>
      <w:r>
        <w:t xml:space="preserve">= this single machine,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= a</w:t>
      </w:r>
      <w:r>
        <w:t xml:space="preserve"> </w:t>
      </w:r>
      <w:r>
        <w:t xml:space="preserve">SLURM cluster.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works on</w:t>
      </w:r>
      <w:r>
        <w:t xml:space="preserve"> </w:t>
      </w:r>
      <w:r>
        <w:rPr>
          <w:b/>
          <w:bCs/>
        </w:rPr>
        <w:t xml:space="preserve">any single Linux or macOS machine (Windows via WSL2)</w:t>
      </w:r>
      <w:r>
        <w:t xml:space="preserve"> </w:t>
      </w:r>
      <w:r>
        <w:t xml:space="preserve">—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Mac-specific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developer-only (the name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 </w:t>
      </w:r>
      <w:r>
        <w:t xml:space="preserve">is a deprecated</w:t>
      </w:r>
      <w:r>
        <w:t xml:space="preserve"> </w:t>
      </w:r>
      <w:r>
        <w:t xml:space="preserve">alias kept for backward compatibility).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caps total resource use at</w:t>
      </w:r>
      <w:r>
        <w:t xml:space="preserve"> </w:t>
      </w:r>
      <w:r>
        <w:rPr>
          <w:rStyle w:val="VerbatimChar"/>
        </w:rPr>
        <w:t xml:space="preserve">--max_cpus</w:t>
      </w:r>
      <w:r>
        <w:t xml:space="preserve">/</w:t>
      </w:r>
      <w:r>
        <w:rPr>
          <w:rStyle w:val="VerbatimChar"/>
        </w:rPr>
        <w:t xml:space="preserve">--max_memory</w:t>
      </w:r>
      <w:r>
        <w:t xml:space="preserve"> </w:t>
      </w:r>
      <w:r>
        <w:t xml:space="preserve">(§Compute resources);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requests resources per SLURM job.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Packaging</w:t>
      </w:r>
      <w:r>
        <w:t xml:space="preserve"> </w:t>
      </w:r>
      <w:r>
        <w:t xml:space="preserve">(how dependencies are provided):</w:t>
      </w:r>
      <w:r>
        <w:t xml:space="preserve"> </w:t>
      </w:r>
      <w:r>
        <w:rPr>
          <w:rStyle w:val="VerbatimChar"/>
          <w:b/>
          <w:bCs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singularity</w:t>
      </w:r>
      <w:r>
        <w:t xml:space="preserve"> </w:t>
      </w:r>
      <w:r>
        <w:t xml:space="preserve">(SingularityCE), or</w:t>
      </w:r>
      <w:r>
        <w:t xml:space="preserve"> </w:t>
      </w:r>
      <w:r>
        <w:rPr>
          <w:rStyle w:val="VerbatimChar"/>
          <w:b/>
          <w:bCs/>
        </w:rPr>
        <w:t xml:space="preserve">apptainer</w:t>
      </w:r>
      <w:r>
        <w:t xml:space="preserve"> </w:t>
      </w:r>
      <w:r>
        <w:t xml:space="preserve">— Nextflow activates the right per-stage env/container</w:t>
      </w:r>
      <w:r>
        <w:t xml:space="preserve"> </w:t>
      </w:r>
      <w:r>
        <w:t xml:space="preserve">automatically (§4.4).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    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CommentTok"/>
        </w:rPr>
        <w:t xml:space="preserve"># this machine, conda envs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CommentTok"/>
        </w:rPr>
        <w:t xml:space="preserve"># SLURM cluster, container images (or ,apptainer)</w:t>
      </w:r>
    </w:p>
    <w:p>
      <w:pPr>
        <w:pStyle w:val="FirstParagraph"/>
      </w:pPr>
      <w:r>
        <w:rPr>
          <w:rStyle w:val="VerbatimChar"/>
        </w:rPr>
        <w:t xml:space="preserve">local,conda</w:t>
      </w:r>
      <w:r>
        <w:t xml:space="preserve"> </w:t>
      </w:r>
      <w:r>
        <w:t xml:space="preserve">=</w:t>
      </w:r>
      <w:r>
        <w:t xml:space="preserve"> </w:t>
      </w:r>
      <w:r>
        <w:t xml:space="preserve">“run here, build each stage’s conda env”</w:t>
      </w:r>
      <w:r>
        <w:t xml:space="preserve">;</w:t>
      </w:r>
      <w:r>
        <w:t xml:space="preserve"> </w:t>
      </w:r>
      <w:r>
        <w:rPr>
          <w:rStyle w:val="VerbatimChar"/>
        </w:rPr>
        <w:t xml:space="preserve">hpc_slurm,singularity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=</w:t>
      </w:r>
      <w:r>
        <w:t xml:space="preserve"> </w:t>
      </w:r>
      <w:r>
        <w:t xml:space="preserve">“submit SLURM jobs, run each stage in its container image”</w:t>
      </w:r>
      <w:r>
        <w:t xml:space="preserve">. Mix to taste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local,docker</w:t>
      </w:r>
      <w:r>
        <w:t xml:space="preserve"> </w:t>
      </w:r>
      <w:r>
        <w:t xml:space="preserve">for the VEP/hap.py containers on a workstation).</w:t>
      </w:r>
    </w:p>
    <w:bookmarkEnd w:id="35"/>
    <w:bookmarkEnd w:id="36"/>
    <w:bookmarkStart w:id="37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CommentTok"/>
        </w:rPr>
        <w:t xml:space="preserve"># build a tiny fixture, then run all 16 stages of CallForge in minutes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7"/>
    <w:bookmarkStart w:id="38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CallForge (full pipeline)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 (SingularityCE; or ,apptainer)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8"/>
    <w:bookmarkStart w:id="39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9"/>
    <w:bookmarkStart w:id="40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40"/>
    <w:bookmarkStart w:id="41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41"/>
    <w:bookmarkStart w:id="42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42"/>
    <w:bookmarkStart w:id="43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 and the full procedure in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 Compose</w:t>
      </w:r>
      <w:r>
        <w:t xml:space="preserve"> </w:t>
      </w:r>
      <w:r>
        <w:rPr>
          <w:rStyle w:val="VerbatimChar"/>
        </w:rPr>
        <w:t xml:space="preserve">-profile hpc_slurm,singularity</w:t>
      </w:r>
      <w:r>
        <w:t xml:space="preserve"> </w:t>
      </w:r>
      <w:r>
        <w:t xml:space="preserve">(SingularityCE) or</w:t>
      </w:r>
      <w:r>
        <w:t xml:space="preserve"> </w:t>
      </w:r>
      <w:r>
        <w:rPr>
          <w:rStyle w:val="VerbatimChar"/>
        </w:rPr>
        <w:t xml:space="preserve">hpc_slurm,apptainer</w:t>
      </w:r>
      <w:r>
        <w:t xml:space="preserve"> </w:t>
      </w:r>
      <w:r>
        <w:t xml:space="preserve">(both run the same</w:t>
      </w:r>
      <w:r>
        <w:t xml:space="preserve"> </w:t>
      </w:r>
      <w:r>
        <w:rPr>
          <w:rStyle w:val="VerbatimChar"/>
        </w:rPr>
        <w:t xml:space="preserve">.sif</w:t>
      </w:r>
      <w:r>
        <w:t xml:space="preserve">), wire the image with</w:t>
      </w:r>
      <w:r>
        <w:t xml:space="preserve"> </w:t>
      </w:r>
      <w:r>
        <w:rPr>
          <w:rStyle w:val="VerbatimChar"/>
        </w:rPr>
        <w:t xml:space="preserve">--container_image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--slurm_partition &lt;queue&gt;</w:t>
      </w:r>
      <w:r>
        <w:t xml:space="preserve"> </w:t>
      </w:r>
      <w:r>
        <w:t xml:space="preserve">(no default),</w:t>
      </w:r>
      <w:r>
        <w:t xml:space="preserve"> </w:t>
      </w:r>
      <w:r>
        <w:t xml:space="preserve">and bind the references’ root (</w:t>
      </w:r>
      <w:r>
        <w:rPr>
          <w:rStyle w:val="VerbatimChar"/>
        </w:rPr>
        <w:t xml:space="preserve">export SINGULARITY_BIND=/path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--bind_paths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callforge-run</w:t>
      </w:r>
      <w:r>
        <w:t xml:space="preserve"> </w:t>
      </w:r>
      <w:r>
        <w:t xml:space="preserve">wrapper + a sourced site env file reduce a run to</w:t>
      </w:r>
      <w:r>
        <w:t xml:space="preserve"> </w:t>
      </w:r>
      <w:r>
        <w:rPr>
          <w:rStyle w:val="VerbatimChar"/>
        </w:rPr>
        <w:t xml:space="preserve">callforge-run -params-file site.params.yaml --input samplesheet.csv --outdir results</w:t>
      </w:r>
      <w:r>
        <w:t xml:space="preserve">.</w:t>
      </w:r>
    </w:p>
    <w:bookmarkEnd w:id="43"/>
    <w:bookmarkStart w:id="44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44"/>
    <w:bookmarkStart w:id="45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45"/>
    <w:bookmarkStart w:id="47" w:name="X167e637decc32e3006546f1caffb618ce05f0a7"/>
    <w:p>
      <w:pPr>
        <w:pStyle w:val="Heading2"/>
      </w:pPr>
      <w:r>
        <w:t xml:space="preserve">8.10 Stage subcommands (run one stage standalone)</w:t>
      </w:r>
    </w:p>
    <w:p>
      <w:pPr>
        <w:pStyle w:val="FirstParagraph"/>
      </w:pPr>
      <w:r>
        <w:t xml:space="preserve">Sometimes you only want to re-run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stage on its own inputs — re-annotate after an</w:t>
      </w:r>
      <w:r>
        <w:t xml:space="preserve"> </w:t>
      </w:r>
      <w:r>
        <w:t xml:space="preserve">annotation-database update, re-run burden with new thresholds, re-call CNV — without</w:t>
      </w:r>
      <w:r>
        <w:t xml:space="preserve"> </w:t>
      </w:r>
      <w:r>
        <w:t xml:space="preserve">repeating the whole pipeline. Each analytical stage is exposed as</w:t>
      </w:r>
      <w:r>
        <w:t xml:space="preserve"> </w:t>
      </w:r>
      <w:r>
        <w:rPr>
          <w:rStyle w:val="VerbatimChar"/>
        </w:rPr>
        <w:t xml:space="preserve">callforge &lt;stage&gt;</w:t>
      </w:r>
      <w:r>
        <w:t xml:space="preserve">,</w:t>
      </w:r>
      <w:r>
        <w:t xml:space="preserve"> </w:t>
      </w:r>
      <w:r>
        <w:t xml:space="preserve">which runs</w:t>
      </w:r>
      <w:r>
        <w:t xml:space="preserve"> </w:t>
      </w:r>
      <w:r>
        <w:rPr>
          <w:rStyle w:val="VerbatimChar"/>
        </w:rPr>
        <w:t xml:space="preserve">nextflow run main.nf --stage &lt;stage&gt; 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param, not</w:t>
      </w:r>
      <w:r>
        <w:t xml:space="preserve"> </w:t>
      </w:r>
      <w:r>
        <w:rPr>
          <w:rStyle w:val="VerbatimChar"/>
        </w:rPr>
        <w:t xml:space="preserve">-entry</w:t>
      </w:r>
      <w:r>
        <w:t xml:space="preserve">:</w:t>
      </w:r>
      <w:r>
        <w:t xml:space="preserve"> </w:t>
      </w:r>
      <w:r>
        <w:t xml:space="preserve">portable across Nextflow versions).</w:t>
      </w:r>
      <w:r>
        <w:t xml:space="preserve"> </w:t>
      </w:r>
      <w:r>
        <w:rPr>
          <w:b/>
          <w:bCs/>
        </w:rPr>
        <w:t xml:space="preserve">Every stage subcommand invokes the exact same module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pipeline uses</w:t>
      </w:r>
      <w:r>
        <w:t xml:space="preserve"> </w:t>
      </w:r>
      <w:r>
        <w:t xml:space="preserve">— standalone and in-pipeline execution are the same code path, so</w:t>
      </w:r>
      <w:r>
        <w:t xml:space="preserve"> </w:t>
      </w:r>
      <w:r>
        <w:t xml:space="preserve">results never depend on how the stage was launched.</w:t>
      </w:r>
    </w:p>
    <w:p>
      <w:pPr>
        <w:pStyle w:val="BodyText"/>
      </w:pPr>
      <w:r>
        <w:t xml:space="preserve">Three things hold for every stage subcommand: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Non-destructive by default.</w:t>
      </w:r>
      <w:r>
        <w:t xml:space="preserve"> </w:t>
      </w:r>
      <w:r>
        <w:t xml:space="preserve">Output goes to a fresh</w:t>
      </w:r>
      <w:r>
        <w:t xml:space="preserve"> </w:t>
      </w:r>
      <w:r>
        <w:rPr>
          <w:rStyle w:val="VerbatimChar"/>
        </w:rPr>
        <w:t xml:space="preserve">results/standalone/&lt;stage&gt;_&lt;timestamp&gt;/</w:t>
      </w:r>
      <w:r>
        <w:t xml:space="preserve"> </w:t>
      </w:r>
      <w:r>
        <w:t xml:space="preserve">so a re-run never overwrites the pipeline’s</w:t>
      </w:r>
      <w:r>
        <w:t xml:space="preserve"> </w:t>
      </w:r>
      <w:r>
        <w:rPr>
          <w:rStyle w:val="VerbatimChar"/>
        </w:rPr>
        <w:t xml:space="preserve">results/stageXX_*</w:t>
      </w:r>
      <w:r>
        <w:t xml:space="preserve">. Override with</w:t>
      </w:r>
      <w:r>
        <w:t xml:space="preserve"> </w:t>
      </w:r>
      <w:r>
        <w:rPr>
          <w:rStyle w:val="VerbatimChar"/>
        </w:rPr>
        <w:t xml:space="preserve">--outdir &lt;dir&gt;</w:t>
      </w:r>
      <w:r>
        <w:t xml:space="preserve">,</w:t>
      </w:r>
      <w:r>
        <w:t xml:space="preserve"> </w:t>
      </w:r>
      <w:r>
        <w:t xml:space="preserve">or opt into updating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in place with</w:t>
      </w:r>
      <w:r>
        <w:t xml:space="preserve"> </w:t>
      </w:r>
      <w:r>
        <w:rPr>
          <w:rStyle w:val="VerbatimChar"/>
        </w:rPr>
        <w:t xml:space="preserve">--in-place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Each stage emits its own report + provenance</w:t>
      </w:r>
      <w:r>
        <w:t xml:space="preserve"> </w:t>
      </w:r>
      <w:r>
        <w:t xml:space="preserve">in its stage dir: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(key metrics + that stage’s QC plots with captions) and</w:t>
      </w:r>
      <w:r>
        <w:t xml:space="preserve"> </w:t>
      </w:r>
      <w:r>
        <w:rPr>
          <w:rStyle w:val="VerbatimChar"/>
        </w:rPr>
        <w:t xml:space="preserve">&lt;stage&gt;_provenance.json</w:t>
      </w:r>
      <w:r>
        <w:t xml:space="preserve"> </w:t>
      </w:r>
      <w:r>
        <w:t xml:space="preserve">(inputs + checksums, parameters, tool versions, git commit).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Inputs are validated fail-loud</w:t>
      </w:r>
      <w:r>
        <w:t xml:space="preserve"> </w:t>
      </w:r>
      <w:r>
        <w:t xml:space="preserve">before the stage runs (index/contig agreement, the</w:t>
      </w:r>
      <w:r>
        <w:t xml:space="preserve"> </w:t>
      </w:r>
      <w:r>
        <w:t xml:space="preserve">reference invariant and DB scope gate where relevant, phenotype for burden), exiting</w:t>
      </w:r>
      <w:r>
        <w:t xml:space="preserve"> </w:t>
      </w:r>
      <w:r>
        <w:t xml:space="preserve">non-zero on a mismatch.</w:t>
      </w:r>
    </w:p>
    <w:p>
      <w:pPr>
        <w:pStyle w:val="FirstParagraph"/>
      </w:pPr>
      <w:r>
        <w:rPr>
          <w:rStyle w:val="VerbatimChar"/>
        </w:rPr>
        <w:t xml:space="preserve">callforge &lt;stage&gt; --help</w:t>
      </w:r>
      <w:r>
        <w:t xml:space="preserve"> </w:t>
      </w:r>
      <w:r>
        <w:t xml:space="preserve">prints that stage’s required + optional input files.</w:t>
      </w:r>
    </w:p>
    <w:p>
      <w:pPr>
        <w:pStyle w:val="BodyText"/>
      </w:pPr>
      <w:r>
        <w:t xml:space="preserve">Key-output filenames below are relative to the stage’s own output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stageXX_…/</w:t>
      </w:r>
      <w:r>
        <w:t xml:space="preserve">), e.g. 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stage4_postalign/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stage11_annotation/</w:t>
      </w:r>
      <w:r>
        <w:t xml:space="preserve">. Each stage also writes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_provenance.json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1793"/>
        <w:gridCol w:w="2839"/>
        <w:gridCol w:w="22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input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output(s)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align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--fastq_1/2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&lt;sample&gt;.analysis.bam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rate, insert size, dup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rPr>
                <w:i/>
                <w:iCs/>
              </w:rPr>
              <w:t xml:space="preserve">(per-sample → gate)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qc_scorecard.tsv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qc_pass.txt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on-target enrichment, coverage uniformity, per-gene depth, coverage cumulative, QC scorecard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</w:t>
            </w:r>
            <w:r>
              <w:t xml:space="preserve"> </w:t>
            </w:r>
            <w:r>
              <w:rPr>
                <w:i/>
                <w:iCs/>
              </w:rPr>
              <w:t xml:space="preserve">(joint)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 </w:t>
            </w:r>
            <w:r>
              <w:t xml:space="preserve">(QC-pass);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joint.filtered.vcf.gz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 per sample, Ti/Tv, het:hom, QUAL/DP, filter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cnv_calls.tsv</w:t>
            </w:r>
            <w:r>
              <w:t xml:space="preserve"> </w:t>
            </w:r>
            <w:r>
              <w:t xml:space="preserve">(callability-labelled)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ratio, calls per sample, callability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str_calls.tsv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allele sizes, call rate, read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</w:t>
            </w:r>
            <w:r>
              <w:t xml:space="preserve"> </w:t>
            </w:r>
            <w:r>
              <w:rPr>
                <w:i/>
                <w:iCs/>
              </w:rPr>
              <w:t xml:space="preserve">(joint 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paralog.annotated.vcf.gz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</w:t>
            </w:r>
            <w:r>
              <w:t xml:space="preserve"> </w:t>
            </w:r>
            <w:r>
              <w:rPr>
                <w:i/>
                <w:iCs/>
              </w:rPr>
              <w:t xml:space="preserve">(VCF)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annotated.vcf.gz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variants.flat.tsv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 landing, consequence dist., novel vs known, gnomAD-AFR AF, PhyloP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cohortqc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--somalier_sites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cohort_qc.json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relatedness heatmap, ancestry PCA, sex check, missingness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giab</w:t>
            </w:r>
            <w:r>
              <w:t xml:space="preserve"> </w:t>
            </w:r>
            <w:r>
              <w:rPr>
                <w:i/>
                <w:iCs/>
              </w:rPr>
              <w:t xml:space="preserve">(control)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--giab_control_id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--giab_truth_vcf</w:t>
            </w:r>
            <w:r>
              <w:t xml:space="preserve">/</w:t>
            </w:r>
            <w:r>
              <w:rPr>
                <w:rStyle w:val="VerbatimChar"/>
              </w:rPr>
              <w:t xml:space="preserve">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happy.summary.csv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happy.runinfo.json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precision/recall,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(phenotype);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burden_results.tsv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Q–Q, Manhattan</w:t>
            </w:r>
          </w:p>
        </w:tc>
      </w:tr>
    </w:tbl>
    <w:p>
      <w:pPr>
        <w:pStyle w:val="BodyText"/>
      </w:pPr>
      <w:r>
        <w:t xml:space="preserve">Notable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inputs: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;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rPr>
          <w:rStyle w:val="VerbatimChar"/>
        </w:rPr>
        <w:t xml:space="preserve">--caller deepvariant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--joint_method</w:t>
      </w:r>
      <w:r>
        <w:t xml:space="preserve">;</w:t>
      </w:r>
      <w:r>
        <w:t xml:space="preserve"> </w:t>
      </w:r>
      <w:r>
        <w:rPr>
          <w:rStyle w:val="VerbatimChar"/>
        </w:rPr>
        <w:t xml:space="preserve">cnv</w:t>
      </w:r>
      <w:r>
        <w:t xml:space="preserve"> </w:t>
      </w:r>
      <w:r>
        <w:rPr>
          <w:rStyle w:val="VerbatimChar"/>
        </w:rPr>
        <w:t xml:space="preserve">--cnv_method</w:t>
      </w:r>
      <w:r>
        <w:t xml:space="preserve">/</w:t>
      </w:r>
      <w:r>
        <w:rPr>
          <w:rStyle w:val="VerbatimChar"/>
        </w:rPr>
        <w:t xml:space="preserve">--cnv_segment_method</w:t>
      </w:r>
      <w:r>
        <w:t xml:space="preserve"> </w:t>
      </w:r>
      <w:r>
        <w:t xml:space="preserve">(a different CNV</w:t>
      </w:r>
      <w:r>
        <w:t xml:space="preserve"> </w:t>
      </w:r>
      <w:r>
        <w:rPr>
          <w:i/>
          <w:iCs/>
        </w:rPr>
        <w:t xml:space="preserve">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gatk_gcnv</w:t>
      </w:r>
      <w:r>
        <w:t xml:space="preserve">, is documented but not yet wired — same as the pipeline);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;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/</w:t>
      </w:r>
      <w:r>
        <w:rPr>
          <w:rStyle w:val="VerbatimChar"/>
        </w:rPr>
        <w:t xml:space="preserve">--species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</w:t>
      </w:r>
      <w:r>
        <w:t xml:space="preserve"> </w:t>
      </w:r>
      <w:r>
        <w:rPr>
          <w:rStyle w:val="VerbatimChar"/>
        </w:rPr>
        <w:t xml:space="preserve">--burden_engine</w:t>
      </w:r>
      <w:r>
        <w:t xml:space="preserve">/</w:t>
      </w:r>
      <w:r>
        <w:rPr>
          <w:rStyle w:val="VerbatimChar"/>
        </w:rPr>
        <w:t xml:space="preserve">--burden_af_max</w:t>
      </w:r>
      <w:r>
        <w:t xml:space="preserve">/</w:t>
      </w:r>
      <w:r>
        <w:rPr>
          <w:rStyle w:val="VerbatimChar"/>
        </w:rPr>
        <w:t xml:space="preserve">--burden_csq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--cohort_qc_json</w:t>
      </w:r>
      <w:r>
        <w:t xml:space="preserve"> </w:t>
      </w:r>
      <w:r>
        <w:t xml:space="preserve">(ancestry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run). The CaptureForge</w:t>
      </w:r>
      <w:r>
        <w:t xml:space="preserve"> </w:t>
      </w:r>
      <w:r>
        <w:t xml:space="preserve">metadata (callability, STR catalog, paralog regions, burden groups) is rebuilt from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--cf_metrics_json</w:t>
      </w:r>
      <w:r>
        <w:t xml:space="preserve">/</w:t>
      </w:r>
      <w:r>
        <w:rPr>
          <w:rStyle w:val="VerbatimChar"/>
        </w:rPr>
        <w:t xml:space="preserve">--captureforge_dir</w:t>
      </w:r>
      <w:r>
        <w:t xml:space="preserve"> </w:t>
      </w:r>
      <w:r>
        <w:t xml:space="preserve">exactly as in-pipeline, so those</w:t>
      </w:r>
      <w:r>
        <w:t xml:space="preserve"> </w:t>
      </w:r>
      <w:r>
        <w:t xml:space="preserve">labels appear on standalone outputs too.</w:t>
      </w:r>
      <w:r>
        <w:t xml:space="preserve"> </w:t>
      </w:r>
      <w:r>
        <w:rPr>
          <w:rStyle w:val="VerbatimChar"/>
        </w:rPr>
        <w:t xml:space="preserve">paralog</w:t>
      </w:r>
      <w:r>
        <w:t xml:space="preserve"> </w:t>
      </w:r>
      <w:r>
        <w:t xml:space="preserve">uses the VCF’s own</w:t>
      </w:r>
      <w:r>
        <w:t xml:space="preserve"> </w:t>
      </w:r>
      <w:r>
        <w:rPr>
          <w:rStyle w:val="VerbatimChar"/>
        </w:rPr>
        <w:t xml:space="preserve">MQ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 BAMs);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BAMs (somalier/sex) and the joint VCF (missingness/PCA).</w:t>
      </w:r>
    </w:p>
    <w:bookmarkStart w:id="46" w:name="worked-examples"/>
    <w:p>
      <w:pPr>
        <w:pStyle w:val="Heading3"/>
      </w:pPr>
      <w:r>
        <w:t xml:space="preserve">Worked examples</w:t>
      </w:r>
    </w:p>
    <w:p>
      <w:pPr>
        <w:pStyle w:val="FirstParagraph"/>
      </w:pPr>
      <w:r>
        <w:rPr>
          <w:b/>
          <w:bCs/>
        </w:rPr>
        <w:t xml:space="preserve">1 — Re-annotate after an annotation-database update</w:t>
      </w:r>
      <w:r>
        <w:t xml:space="preserve"> </w:t>
      </w:r>
      <w:r>
        <w:t xml:space="preserve">(e.g. a new ClinVar release). Point</w:t>
      </w:r>
      <w:r>
        <w:t xml:space="preserve"> </w:t>
      </w:r>
      <w:r>
        <w:t xml:space="preserve">discovery at the updated database directory and re-run only Stage 11 on the existing</w:t>
      </w:r>
      <w:r>
        <w:t xml:space="preserve"> </w:t>
      </w:r>
      <w:r>
        <w:t xml:space="preserve">paralog-flagged callset: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anno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results/stage10_paralog/paralog.annotated.vcf.gz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--resource_dirs</w:t>
      </w:r>
      <w:r>
        <w:rPr>
          <w:rStyle w:val="NormalTok"/>
        </w:rPr>
        <w:t xml:space="preserve"> /refs/annotation_db_2025_06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results/standalone/anno_&lt;timestamp&gt;/stage11_annotation/annotated.vcf.gz</w:t>
      </w:r>
      <w:r>
        <w:br/>
      </w:r>
      <w:r>
        <w:rPr>
          <w:rStyle w:val="CommentTok"/>
        </w:rPr>
        <w:t xml:space="preserve">#    + variants.flat.tsv, anno_report.md, anno_provenance.json</w:t>
      </w:r>
    </w:p>
    <w:p>
      <w:pPr>
        <w:pStyle w:val="FirstParagraph"/>
      </w:pPr>
      <w:r>
        <w:rPr>
          <w:b/>
          <w:bCs/>
        </w:rPr>
        <w:t xml:space="preserve">2 — Re-run burden with a new AF cutoff, consequence set, and engine.</w:t>
      </w:r>
      <w:r>
        <w:t xml:space="preserve"> </w:t>
      </w:r>
      <w:r>
        <w:t xml:space="preserve">Reuse the annotated</w:t>
      </w:r>
      <w:r>
        <w:t xml:space="preserve"> </w:t>
      </w:r>
      <w:r>
        <w:t xml:space="preserve">callset; change only the thresholds/engine. Optionally reuse 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burden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results/stage11_annotation/annotated.vcf.gz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sample_sheet.csv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--burden_csq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'frameshift_variant,stop_gained,splice_acceptor_variant,splice_donor_variant'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--cohort_qc_json</w:t>
      </w:r>
      <w:r>
        <w:rPr>
          <w:rStyle w:val="NormalTok"/>
        </w:rPr>
        <w:t xml:space="preserve"> results/stage12_cohortqc/cohort_qc.json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results/standalone/burden_&lt;timestamp&gt;/stage14_burden/burden_results.tsv</w:t>
      </w:r>
      <w:r>
        <w:br/>
      </w:r>
      <w:r>
        <w:rPr>
          <w:rStyle w:val="CommentTok"/>
        </w:rPr>
        <w:t xml:space="preserve">#    (engine column stamps the method) + burden_report.md, burden_provenance.json</w:t>
      </w:r>
    </w:p>
    <w:p>
      <w:pPr>
        <w:pStyle w:val="FirstParagraph"/>
      </w:pPr>
      <w:r>
        <w:rPr>
          <w:b/>
          <w:bCs/>
        </w:rPr>
        <w:t xml:space="preserve">3 — Re-call CNV with different segmentation.</w:t>
      </w:r>
      <w:r>
        <w:t xml:space="preserve"> </w:t>
      </w:r>
      <w:r>
        <w:t xml:space="preserve">Re-run Stage 8 on the same BAMs with a</w:t>
      </w:r>
      <w:r>
        <w:t xml:space="preserve"> </w:t>
      </w:r>
      <w:r>
        <w:t xml:space="preserve">different CNVkit method/segmenter (the calls stay CaptureForge-callability-labelled):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cnv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--input_bams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'results/standalone/align_*/stage4_postalign/*.analysis.bam'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--cf_metrics_json</w:t>
      </w:r>
      <w:r>
        <w:rPr>
          <w:rStyle w:val="NormalTok"/>
        </w:rPr>
        <w:t xml:space="preserve"> /captureforge/results/full_run/stage9_qc/metrics.json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--cnv_method</w:t>
      </w:r>
      <w:r>
        <w:rPr>
          <w:rStyle w:val="NormalTok"/>
        </w:rPr>
        <w:t xml:space="preserve"> hybrid </w:t>
      </w:r>
      <w:r>
        <w:rPr>
          <w:rStyle w:val="AttributeTok"/>
        </w:rPr>
        <w:t xml:space="preserve">--cnv_segment_method</w:t>
      </w:r>
      <w:r>
        <w:rPr>
          <w:rStyle w:val="NormalTok"/>
        </w:rPr>
        <w:t xml:space="preserve"> cbs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results/standalone/cnv_&lt;timestamp&gt;/stage8_cnv/cnv_calls.tsv</w:t>
      </w:r>
      <w:r>
        <w:br/>
      </w:r>
      <w:r>
        <w:rPr>
          <w:rStyle w:val="CommentTok"/>
        </w:rPr>
        <w:t xml:space="preserve">#    (each call labelled callable | breakpoint_blind_low_confidence) + cnv_report.md</w:t>
      </w:r>
    </w:p>
    <w:p>
      <w:pPr>
        <w:pStyle w:val="FirstParagraph"/>
      </w:pPr>
      <w:r>
        <w:t xml:space="preserve">(The alternative SNV caller is available the same way:</w:t>
      </w:r>
      <w:r>
        <w:t xml:space="preserve"> </w:t>
      </w:r>
      <w:r>
        <w:rPr>
          <w:rStyle w:val="VerbatimChar"/>
        </w:rPr>
        <w:t xml:space="preserve">callforge call --caller deepvariant …</w:t>
      </w:r>
      <w:r>
        <w:t xml:space="preserve"> </w:t>
      </w:r>
      <w:r>
        <w:t xml:space="preserve">runs DeepVariant + GLnexus instead of GATK; see §8.8.)</w:t>
      </w:r>
    </w:p>
    <w:bookmarkEnd w:id="46"/>
    <w:bookmarkEnd w:id="47"/>
    <w:bookmarkEnd w:id="48"/>
    <w:bookmarkStart w:id="82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67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50" name="Picture"/>
            <a:graphic>
              <a:graphicData uri="http://schemas.openxmlformats.org/drawingml/2006/picture">
                <pic:pic>
                  <pic:nvPicPr>
                    <pic:cNvPr descr="figures/mapping_rat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53" name="Picture"/>
            <a:graphic>
              <a:graphicData uri="http://schemas.openxmlformats.org/drawingml/2006/picture">
                <pic:pic>
                  <pic:nvPicPr>
                    <pic:cNvPr descr="figures/on_target_enrichment_on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56" name="Picture"/>
            <a:graphic>
              <a:graphicData uri="http://schemas.openxmlformats.org/drawingml/2006/picture">
                <pic:pic>
                  <pic:nvPicPr>
                    <pic:cNvPr descr="figures/on_target_enrichment_fol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9" name="Picture"/>
            <a:graphic>
              <a:graphicData uri="http://schemas.openxmlformats.org/drawingml/2006/picture">
                <pic:pic>
                  <pic:nvPicPr>
                    <pic:cNvPr descr="figures/coverage_uniformity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62" name="Picture"/>
            <a:graphic>
              <a:graphicData uri="http://schemas.openxmlformats.org/drawingml/2006/picture">
                <pic:pic>
                  <pic:nvPicPr>
                    <pic:cNvPr descr="figures/per_gene_depth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65" name="Picture"/>
            <a:graphic>
              <a:graphicData uri="http://schemas.openxmlformats.org/drawingml/2006/picture">
                <pic:pic>
                  <pic:nvPicPr>
                    <pic:cNvPr descr="figures/coverage_cumulativ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67"/>
    <w:bookmarkStart w:id="80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9" name="Picture"/>
            <a:graphic>
              <a:graphicData uri="http://schemas.openxmlformats.org/drawingml/2006/picture">
                <pic:pic>
                  <pic:nvPicPr>
                    <pic:cNvPr descr="figures/qc_scorecar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72" name="Picture"/>
            <a:graphic>
              <a:graphicData uri="http://schemas.openxmlformats.org/drawingml/2006/picture">
                <pic:pic>
                  <pic:nvPicPr>
                    <pic:cNvPr descr="figures/cohort_coverage_dist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75" name="Picture"/>
            <a:graphic>
              <a:graphicData uri="http://schemas.openxmlformats.org/drawingml/2006/picture">
                <pic:pic>
                  <pic:nvPicPr>
                    <pic:cNvPr descr="figures/contamin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78" name="Picture"/>
            <a:graphic>
              <a:graphicData uri="http://schemas.openxmlformats.org/drawingml/2006/picture">
                <pic:pic>
                  <pic:nvPicPr>
                    <pic:cNvPr descr="figures/sex_check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80"/>
    <w:bookmarkStart w:id="81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81"/>
    <w:bookmarkEnd w:id="82"/>
    <w:bookmarkStart w:id="158" w:name="stage-details-their-plots"/>
    <w:p>
      <w:pPr>
        <w:pStyle w:val="Heading1"/>
      </w:pPr>
      <w:r>
        <w:t xml:space="preserve">10. Stage details &amp; their plots</w:t>
      </w:r>
    </w:p>
    <w:bookmarkStart w:id="101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84" name="Picture"/>
            <a:graphic>
              <a:graphicData uri="http://schemas.openxmlformats.org/drawingml/2006/picture">
                <pic:pic>
                  <pic:nvPicPr>
                    <pic:cNvPr descr="figures/variants_per_sampl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87" name="Picture"/>
            <a:graphic>
              <a:graphicData uri="http://schemas.openxmlformats.org/drawingml/2006/picture">
                <pic:pic>
                  <pic:nvPicPr>
                    <pic:cNvPr descr="figures/titv_per_sampl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90" name="Picture"/>
            <a:graphic>
              <a:graphicData uri="http://schemas.openxmlformats.org/drawingml/2006/picture">
                <pic:pic>
                  <pic:nvPicPr>
                    <pic:cNvPr descr="figures/het_hom_per_sampl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93" name="Picture"/>
            <a:graphic>
              <a:graphicData uri="http://schemas.openxmlformats.org/drawingml/2006/picture">
                <pic:pic>
                  <pic:nvPicPr>
                    <pic:cNvPr descr="figures/filter_before_aft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96" name="Picture"/>
            <a:graphic>
              <a:graphicData uri="http://schemas.openxmlformats.org/drawingml/2006/picture">
                <pic:pic>
                  <pic:nvPicPr>
                    <pic:cNvPr descr="figures/filter_pass_ra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9" name="Picture"/>
            <a:graphic>
              <a:graphicData uri="http://schemas.openxmlformats.org/drawingml/2006/picture">
                <pic:pic>
                  <pic:nvPicPr>
                    <pic:cNvPr descr="figures/filter_reasons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101"/>
    <w:bookmarkStart w:id="114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103" name="Picture"/>
            <a:graphic>
              <a:graphicData uri="http://schemas.openxmlformats.org/drawingml/2006/picture">
                <pic:pic>
                  <pic:nvPicPr>
                    <pic:cNvPr descr="figures/cnv_callability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106" name="Picture"/>
            <a:graphic>
              <a:graphicData uri="http://schemas.openxmlformats.org/drawingml/2006/picture">
                <pic:pic>
                  <pic:nvPicPr>
                    <pic:cNvPr descr="figures/cnv_copyratio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9" name="Picture"/>
            <a:graphic>
              <a:graphicData uri="http://schemas.openxmlformats.org/drawingml/2006/picture">
                <pic:pic>
                  <pic:nvPicPr>
                    <pic:cNvPr descr="figures/str_allele_size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12" name="Picture"/>
            <a:graphic>
              <a:graphicData uri="http://schemas.openxmlformats.org/drawingml/2006/picture">
                <pic:pic>
                  <pic:nvPicPr>
                    <pic:cNvPr descr="figures/paralog_confidenc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14"/>
    <w:bookmarkStart w:id="130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16" name="Picture"/>
            <a:graphic>
              <a:graphicData uri="http://schemas.openxmlformats.org/drawingml/2006/picture">
                <pic:pic>
                  <pic:nvPicPr>
                    <pic:cNvPr descr="figures/annotation_landing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9" name="Picture"/>
            <a:graphic>
              <a:graphicData uri="http://schemas.openxmlformats.org/drawingml/2006/picture">
                <pic:pic>
                  <pic:nvPicPr>
                    <pic:cNvPr descr="figures/consequence_di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22" name="Picture"/>
            <a:graphic>
              <a:graphicData uri="http://schemas.openxmlformats.org/drawingml/2006/picture">
                <pic:pic>
                  <pic:nvPicPr>
                    <pic:cNvPr descr="figures/novel_vs_known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25" name="Picture"/>
            <a:graphic>
              <a:graphicData uri="http://schemas.openxmlformats.org/drawingml/2006/picture">
                <pic:pic>
                  <pic:nvPicPr>
                    <pic:cNvPr descr="figures/gnomad_afr_a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28" name="Picture"/>
            <a:graphic>
              <a:graphicData uri="http://schemas.openxmlformats.org/drawingml/2006/picture">
                <pic:pic>
                  <pic:nvPicPr>
                    <pic:cNvPr descr="figures/phylop_dist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30"/>
    <w:bookmarkStart w:id="143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32" name="Picture"/>
            <a:graphic>
              <a:graphicData uri="http://schemas.openxmlformats.org/drawingml/2006/picture">
                <pic:pic>
                  <pic:nvPicPr>
                    <pic:cNvPr descr="figures/relatedness_heatmap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35" name="Picture"/>
            <a:graphic>
              <a:graphicData uri="http://schemas.openxmlformats.org/drawingml/2006/picture">
                <pic:pic>
                  <pic:nvPicPr>
                    <pic:cNvPr descr="figures/ancestry_pca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38" name="Picture"/>
            <a:graphic>
              <a:graphicData uri="http://schemas.openxmlformats.org/drawingml/2006/picture">
                <pic:pic>
                  <pic:nvPicPr>
                    <pic:cNvPr descr="figures/cohort_sex_check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41" name="Picture"/>
            <a:graphic>
              <a:graphicData uri="http://schemas.openxmlformats.org/drawingml/2006/picture">
                <pic:pic>
                  <pic:nvPicPr>
                    <pic:cNvPr descr="figures/missingnes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43"/>
    <w:bookmarkStart w:id="150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45" name="Picture"/>
            <a:graphic>
              <a:graphicData uri="http://schemas.openxmlformats.org/drawingml/2006/picture">
                <pic:pic>
                  <pic:nvPicPr>
                    <pic:cNvPr descr="figures/giab_precision_recall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48" name="Picture"/>
            <a:graphic>
              <a:graphicData uri="http://schemas.openxmlformats.org/drawingml/2006/picture">
                <pic:pic>
                  <pic:nvPicPr>
                    <pic:cNvPr descr="figures/giab_f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50"/>
    <w:bookmarkStart w:id="157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52" name="Picture"/>
            <a:graphic>
              <a:graphicData uri="http://schemas.openxmlformats.org/drawingml/2006/picture">
                <pic:pic>
                  <pic:nvPicPr>
                    <pic:cNvPr descr="figures/burden_qq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55" name="Picture"/>
            <a:graphic>
              <a:graphicData uri="http://schemas.openxmlformats.org/drawingml/2006/picture">
                <pic:pic>
                  <pic:nvPicPr>
                    <pic:cNvPr descr="figures/burden_manhatta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57"/>
    <w:bookmarkEnd w:id="158"/>
    <w:bookmarkStart w:id="159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9"/>
    <w:bookmarkStart w:id="160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60"/>
    <w:bookmarkStart w:id="161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12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14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9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20"/>
        </w:numPr>
      </w:pPr>
      <w:r>
        <w:t xml:space="preserve">Revisit GATK hard-filter thresholds for targeted data.</w:t>
      </w:r>
    </w:p>
    <w:bookmarkEnd w:id="161"/>
    <w:bookmarkStart w:id="162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 engine … is enabled but --container_image is unset</w:t>
            </w:r>
          </w:p>
        </w:tc>
        <w:tc>
          <w:tcPr/>
          <w:p>
            <w:pPr>
              <w:pStyle w:val="Compact"/>
            </w:pPr>
            <w:r>
              <w:t xml:space="preserve">wire the</w:t>
            </w:r>
            <w:r>
              <w:t xml:space="preserve"> </w:t>
            </w:r>
            <w:r>
              <w:rPr>
                <w:rStyle w:val="VerbatimChar"/>
              </w:rPr>
              <w:t xml:space="preserve">.sif</w:t>
            </w:r>
            <w:r>
              <w:t xml:space="preserve">/tag:</w:t>
            </w:r>
            <w:r>
              <w:t xml:space="preserve"> </w:t>
            </w:r>
            <w:r>
              <w:rPr>
                <w:rStyle w:val="VerbatimChar"/>
              </w:rPr>
              <w:t xml:space="preserve">--container_image /path/callforge.sif</w:t>
            </w:r>
            <w:r>
              <w:t xml:space="preserve"> </w:t>
            </w:r>
            <w:r>
              <w:t xml:space="preserve">(or omit the engine profile). Prevents the silent host-fallback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SLURM executor selected but --slurm_partition is unset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--slurm_partition &lt;queue&gt;</w:t>
            </w:r>
            <w:r>
              <w:t xml:space="preserve"> </w:t>
            </w:r>
            <w:r>
              <w:t xml:space="preserve">(no default); find one with</w:t>
            </w:r>
            <w:r>
              <w:t xml:space="preserve"> </w:t>
            </w:r>
            <w:r>
              <w:rPr>
                <w:rStyle w:val="VerbatimChar"/>
              </w:rPr>
              <w:t xml:space="preserve">sinfo -s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fails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“No such file”</w:t>
            </w:r>
            <w:r>
              <w:t xml:space="preserve"> </w:t>
            </w:r>
            <w:r>
              <w:t xml:space="preserve">on a ref under a container</w:t>
            </w:r>
          </w:p>
        </w:tc>
        <w:tc>
          <w:tcPr/>
          <w:p>
            <w:pPr>
              <w:pStyle w:val="Compact"/>
            </w:pPr>
            <w:r>
              <w:t xml:space="preserve">bind the ref’s root:</w:t>
            </w:r>
            <w:r>
              <w:t xml:space="preserve"> </w:t>
            </w:r>
            <w:r>
              <w:rPr>
                <w:rStyle w:val="VerbatimChar"/>
              </w:rPr>
              <w:t xml:space="preserve">export SINGULARITY_BIND=/hpc</w:t>
            </w:r>
            <w:r>
              <w:t xml:space="preserve"> </w:t>
            </w:r>
            <w:r>
              <w:t xml:space="preserve">(APPTAINER_BIND on Apptainer) or</w:t>
            </w:r>
            <w:r>
              <w:t xml:space="preserve"> </w:t>
            </w:r>
            <w:r>
              <w:rPr>
                <w:rStyle w:val="VerbatimChar"/>
              </w:rPr>
              <w:t xml:space="preserve">--bind_paths /hpc</w:t>
            </w:r>
            <w:r>
              <w:t xml:space="preserve"> </w:t>
            </w:r>
            <w:r>
              <w:t xml:space="preserve">— auto-mounts cover only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/</w:t>
            </w:r>
            <w:r>
              <w:rPr>
                <w:rStyle w:val="VerbatimChar"/>
              </w:rPr>
              <w:t xml:space="preserve">tmp</w:t>
            </w:r>
            <w:r>
              <w:t xml:space="preserve">/CWD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reference_invariant FAIL</w:t>
            </w:r>
            <w:r>
              <w:t xml:space="preserve"> </w:t>
            </w:r>
            <w:r>
              <w:t xml:space="preserve">(alt contigs / chr-style mismatch / interval overrun)</w:t>
            </w:r>
          </w:p>
        </w:tc>
        <w:tc>
          <w:tcPr/>
          <w:p>
            <w:pPr>
              <w:pStyle w:val="Compact"/>
            </w:pPr>
            <w:r>
              <w:t xml:space="preserve">use the no-alt primary assembly; make the target BED’s chr-prefix style match the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62"/>
    <w:bookmarkStart w:id="163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63"/>
    <w:bookmarkStart w:id="164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64"/>
    <w:bookmarkStart w:id="165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65"/>
    <w:bookmarkStart w:id="166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115" Target="media/rId115.png" /><Relationship Type="http://schemas.openxmlformats.org/officeDocument/2006/relationships/image" Id="rId154" Target="media/rId154.png" /><Relationship Type="http://schemas.openxmlformats.org/officeDocument/2006/relationships/image" Id="rId151" Target="media/rId151.png" /><Relationship Type="http://schemas.openxmlformats.org/officeDocument/2006/relationships/image" Id="rId11" Target="media/rId11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71" Target="media/rId71.png" /><Relationship Type="http://schemas.openxmlformats.org/officeDocument/2006/relationships/image" Id="rId137" Target="media/rId137.png" /><Relationship Type="http://schemas.openxmlformats.org/officeDocument/2006/relationships/image" Id="rId118" Target="media/rId118.png" /><Relationship Type="http://schemas.openxmlformats.org/officeDocument/2006/relationships/image" Id="rId74" Target="media/rId74.png" /><Relationship Type="http://schemas.openxmlformats.org/officeDocument/2006/relationships/image" Id="rId64" Target="media/rId64.png" /><Relationship Type="http://schemas.openxmlformats.org/officeDocument/2006/relationships/image" Id="rId58" Target="media/rId58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47" Target="media/rId147.png" /><Relationship Type="http://schemas.openxmlformats.org/officeDocument/2006/relationships/image" Id="rId144" Target="media/rId144.png" /><Relationship Type="http://schemas.openxmlformats.org/officeDocument/2006/relationships/image" Id="rId124" Target="media/rId124.png" /><Relationship Type="http://schemas.openxmlformats.org/officeDocument/2006/relationships/image" Id="rId89" Target="media/rId89.png" /><Relationship Type="http://schemas.openxmlformats.org/officeDocument/2006/relationships/image" Id="rId49" Target="media/rId49.png" /><Relationship Type="http://schemas.openxmlformats.org/officeDocument/2006/relationships/image" Id="rId140" Target="media/rId140.png" /><Relationship Type="http://schemas.openxmlformats.org/officeDocument/2006/relationships/image" Id="rId121" Target="media/rId1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11" Target="media/rId111.png" /><Relationship Type="http://schemas.openxmlformats.org/officeDocument/2006/relationships/image" Id="rId61" Target="media/rId61.png" /><Relationship Type="http://schemas.openxmlformats.org/officeDocument/2006/relationships/image" Id="rId127" Target="media/rId127.png" /><Relationship Type="http://schemas.openxmlformats.org/officeDocument/2006/relationships/image" Id="rId68" Target="media/rId68.png" /><Relationship Type="http://schemas.openxmlformats.org/officeDocument/2006/relationships/image" Id="rId131" Target="media/rId131.png" /><Relationship Type="http://schemas.openxmlformats.org/officeDocument/2006/relationships/image" Id="rId77" Target="media/rId77.png" /><Relationship Type="http://schemas.openxmlformats.org/officeDocument/2006/relationships/image" Id="rId108" Target="media/rId108.png" /><Relationship Type="http://schemas.openxmlformats.org/officeDocument/2006/relationships/image" Id="rId86" Target="media/rId86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2026-06-22T07:08:57Z</dcterms:created>
  <dcterms:modified xsi:type="dcterms:W3CDTF">2026-06-22T07:08:57Z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