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 per contig (drops bacterial/archaeal/viral/human; records composition + fungal/non_fungal verdict)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bookmarkEnd w:id="20"/>
    <w:bookmarkEnd w:id="21"/>
    <w:bookmarkStart w:id="25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End w:id="25"/>
    <w:bookmarkStart w:id="28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6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bookmarkEnd w:id="26"/>
    <w:bookmarkStart w:id="27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7"/>
    <w:bookmarkEnd w:id="28"/>
    <w:bookmarkStart w:id="29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29"/>
    <w:bookmarkStart w:id="30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--min_contig_len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drop contigs shorter than this, or with fewer than 4 distinct bases, at short-read assembly and before annotation (</w:t>
            </w:r>
            <w:r>
              <w:rPr>
                <w:rStyle w:val="VerbatimChar"/>
              </w:rPr>
              <w:t xml:space="preserve">funannotate sort --minlen</w:t>
            </w:r>
            <w:r>
              <w:t xml:space="preserve">); short-read assemblers leave many tiny fragments and occasional homopolymer stubs that funannotate rejects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0"/>
    <w:bookmarkStart w:id="47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1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1"/>
    <w:bookmarkStart w:id="32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2"/>
    <w:bookmarkStart w:id="33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3"/>
    <w:bookmarkStart w:id="34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4"/>
    <w:bookmarkStart w:id="35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5"/>
    <w:bookmarkStart w:id="36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6"/>
    <w:bookmarkStart w:id="37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7"/>
    <w:bookmarkStart w:id="38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8"/>
    <w:bookmarkStart w:id="39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39"/>
    <w:bookmarkStart w:id="40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0"/>
    <w:bookmarkStart w:id="41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1"/>
    <w:bookmarkStart w:id="42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2"/>
    <w:bookmarkStart w:id="43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3"/>
    <w:bookmarkStart w:id="44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4"/>
    <w:bookmarkStart w:id="45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5"/>
    <w:bookmarkStart w:id="46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6"/>
    <w:bookmarkEnd w:id="47"/>
    <w:bookmarkStart w:id="51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49" name="Picture"/>
            <a:graphic>
              <a:graphicData uri="http://schemas.openxmlformats.org/drawingml/2006/picture">
                <pic:pic>
                  <pic:nvPicPr>
                    <pic:cNvPr descr="figures/resistance_f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1"/>
    <w:bookmarkStart w:id="55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2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2"/>
    <w:bookmarkStart w:id="53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polish_mode,</w:t>
      </w:r>
      <w:r>
        <w:br/>
      </w:r>
      <w:r>
        <w:rPr>
          <w:rStyle w:val="VerbatimChar"/>
        </w:rPr>
        <w:t xml:space="preserve">sample_verdict, contam_removed_pct, top_taxon</w:t>
      </w:r>
    </w:p>
    <w:p>
      <w:pPr>
        <w:pStyle w:val="FirstParagraph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3"/>
    <w:bookmarkStart w:id="54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rPr>
          <w:rStyle w:val="VerbatimChar"/>
        </w:rPr>
        <w:t xml:space="preserve">bin/make_provenance.py</w:t>
      </w:r>
      <w:r>
        <w:t xml:space="preserve"> </w:t>
      </w:r>
      <w:r>
        <w:t xml:space="preserve">records pipeline version + git commit (+ dirty flag), Nextflow/Docker</w:t>
      </w:r>
      <w:r>
        <w:t xml:space="preserve"> </w:t>
      </w:r>
      <w:r>
        <w:t xml:space="preserve">versions, host, and resolvable tool versions into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(best-effort). Nextflow also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4"/>
    <w:bookmarkEnd w:id="55"/>
    <w:bookmarkStart w:id="56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6"/>
    <w:bookmarkStart w:id="57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7"/>
    <w:bookmarkStart w:id="58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58"/>
    <w:bookmarkStart w:id="59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version-pinned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; every light-stage env is pinned in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; the manifest 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URL, and FungAMR reference building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make_provenance.py</w:t>
      </w:r>
      <w:r>
        <w:t xml:space="preserve"> </w:t>
      </w:r>
      <w:r>
        <w:t xml:space="preserve">captures the git commit, tool versions and host</w:t>
      </w:r>
      <w:r>
        <w:t xml:space="preserve"> </w:t>
      </w:r>
      <w:r>
        <w:t xml:space="preserve">per run, and Nextflow’s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captures the execution trace. Cite the exact image tags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59"/>
    <w:bookmarkStart w:id="60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0"/>
    <w:bookmarkStart w:id="61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1"/>
    <w:bookmarkStart w:id="62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2026-09-13T15:45:16Z</dcterms:created>
  <dcterms:modified xsi:type="dcterms:W3CDTF">2026-09-13T15:45:16Z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