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0739" w14:textId="77777777" w:rsidR="0023211C" w:rsidRDefault="00000000">
      <w:pPr>
        <w:spacing w:before="360" w:after="200"/>
        <w:jc w:val="center"/>
      </w:pPr>
      <w:r>
        <w:rPr>
          <w:b/>
          <w:bCs/>
          <w:color w:val="000000"/>
          <w:sz w:val="30"/>
          <w:szCs w:val="30"/>
        </w:rPr>
        <w:t>A REPORT</w:t>
      </w:r>
    </w:p>
    <w:p w14:paraId="53B0EA73" w14:textId="77777777" w:rsidR="0023211C" w:rsidRDefault="00000000">
      <w:pPr>
        <w:spacing w:after="360"/>
        <w:jc w:val="center"/>
      </w:pPr>
      <w:r>
        <w:rPr>
          <w:noProof/>
        </w:rPr>
        <w:drawing>
          <wp:inline distT="0" distB="0" distL="0" distR="0" wp14:anchorId="59374B3F" wp14:editId="394E9112">
            <wp:extent cx="2047875"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47875" cy="695325"/>
                    </a:xfrm>
                    <a:prstGeom prst="rect">
                      <a:avLst/>
                    </a:prstGeom>
                  </pic:spPr>
                </pic:pic>
              </a:graphicData>
            </a:graphic>
          </wp:inline>
        </w:drawing>
      </w:r>
    </w:p>
    <w:p w14:paraId="451F2853" w14:textId="77777777" w:rsidR="0023211C" w:rsidRDefault="00000000">
      <w:pPr>
        <w:spacing w:after="60"/>
        <w:jc w:val="center"/>
      </w:pPr>
      <w:r>
        <w:rPr>
          <w:b/>
          <w:bCs/>
          <w:color w:val="000000"/>
          <w:sz w:val="26"/>
          <w:szCs w:val="26"/>
        </w:rPr>
        <w:t>HISTORICAL AND PARAMETRIC VALUE AT RISK (</w:t>
      </w:r>
      <w:proofErr w:type="spellStart"/>
      <w:r>
        <w:rPr>
          <w:b/>
          <w:bCs/>
          <w:color w:val="000000"/>
          <w:sz w:val="26"/>
          <w:szCs w:val="26"/>
        </w:rPr>
        <w:t>VaR</w:t>
      </w:r>
      <w:proofErr w:type="spellEnd"/>
      <w:r>
        <w:rPr>
          <w:b/>
          <w:bCs/>
          <w:color w:val="000000"/>
          <w:sz w:val="26"/>
          <w:szCs w:val="26"/>
        </w:rPr>
        <w:t>)</w:t>
      </w:r>
    </w:p>
    <w:p w14:paraId="575ADD3B" w14:textId="77777777" w:rsidR="0023211C" w:rsidRDefault="00000000">
      <w:pPr>
        <w:spacing w:after="300"/>
        <w:jc w:val="center"/>
      </w:pPr>
      <w:r>
        <w:rPr>
          <w:b/>
          <w:bCs/>
          <w:color w:val="000000"/>
          <w:sz w:val="26"/>
          <w:szCs w:val="26"/>
        </w:rPr>
        <w:t>ANALYSIS OF A FIVE-STOCK EQUITY PORTFOLIO</w:t>
      </w:r>
    </w:p>
    <w:p w14:paraId="53E5FB8C" w14:textId="77777777" w:rsidR="0023211C" w:rsidRDefault="00000000">
      <w:pPr>
        <w:spacing w:after="120"/>
        <w:jc w:val="center"/>
      </w:pPr>
      <w:r>
        <w:rPr>
          <w:b/>
          <w:bCs/>
          <w:sz w:val="24"/>
          <w:szCs w:val="24"/>
        </w:rPr>
        <w:t>By</w:t>
      </w:r>
    </w:p>
    <w:p w14:paraId="38EFFEE7" w14:textId="77777777" w:rsidR="0023211C" w:rsidRDefault="00000000">
      <w:pPr>
        <w:spacing w:after="300"/>
        <w:jc w:val="center"/>
      </w:pPr>
      <w:r>
        <w:rPr>
          <w:sz w:val="24"/>
          <w:szCs w:val="24"/>
        </w:rPr>
        <w:t>Advait Srivastava          2022A4PS1181H</w:t>
      </w:r>
    </w:p>
    <w:p w14:paraId="6A12C3F9" w14:textId="77777777" w:rsidR="0023211C" w:rsidRDefault="00000000">
      <w:pPr>
        <w:spacing w:after="120"/>
        <w:jc w:val="center"/>
      </w:pPr>
      <w:r>
        <w:rPr>
          <w:b/>
          <w:bCs/>
          <w:color w:val="000000"/>
          <w:sz w:val="24"/>
          <w:szCs w:val="24"/>
        </w:rPr>
        <w:t>BIRLA INSTITUTE OF TECHNOLOGY &amp; SCIENCE, PILANI</w:t>
      </w:r>
    </w:p>
    <w:p w14:paraId="6CF52269" w14:textId="77777777" w:rsidR="0023211C" w:rsidRDefault="00000000">
      <w:pPr>
        <w:spacing w:after="300"/>
        <w:jc w:val="center"/>
      </w:pPr>
      <w:r>
        <w:t>Jun 2025 - Jun 2026</w:t>
      </w:r>
    </w:p>
    <w:p w14:paraId="1336191F" w14:textId="77777777" w:rsidR="0023211C" w:rsidRDefault="00000000">
      <w:pPr>
        <w:spacing w:after="60"/>
        <w:jc w:val="center"/>
      </w:pPr>
      <w:r>
        <w:rPr>
          <w:b/>
          <w:bCs/>
          <w:sz w:val="24"/>
          <w:szCs w:val="24"/>
        </w:rPr>
        <w:t>ON</w:t>
      </w:r>
    </w:p>
    <w:p w14:paraId="1D6E8139" w14:textId="77777777" w:rsidR="0023211C" w:rsidRDefault="00000000">
      <w:pPr>
        <w:spacing w:after="300"/>
        <w:jc w:val="center"/>
      </w:pPr>
      <w:r>
        <w:rPr>
          <w:b/>
          <w:bCs/>
          <w:color w:val="000000"/>
          <w:sz w:val="20"/>
          <w:szCs w:val="20"/>
        </w:rPr>
        <w:t>PORTFOLIO RISK MEASUREMENT USING HISTORICAL SIMULATION AND THE VARIANCE-COVARIANCE METHOD, BUILT ON DAILY EQUITY DATA FROM S&amp;P CAPITAL IQ (WILP FINANCE LAB)</w:t>
      </w:r>
    </w:p>
    <w:p w14:paraId="33601BB5" w14:textId="77777777" w:rsidR="0023211C" w:rsidRDefault="00000000">
      <w:pPr>
        <w:spacing w:after="60"/>
        <w:jc w:val="center"/>
      </w:pPr>
      <w:r>
        <w:t>Prepared as part of the</w:t>
      </w:r>
    </w:p>
    <w:p w14:paraId="0913CAD8" w14:textId="77777777" w:rsidR="0023211C" w:rsidRDefault="00000000">
      <w:pPr>
        <w:spacing w:after="600"/>
        <w:jc w:val="center"/>
      </w:pPr>
      <w:r>
        <w:rPr>
          <w:b/>
          <w:bCs/>
        </w:rPr>
        <w:t>WILP Finance Lab, Risk Management Theme</w:t>
      </w:r>
    </w:p>
    <w:p w14:paraId="57597D02" w14:textId="4C619FB0" w:rsidR="0023211C" w:rsidRDefault="00000000">
      <w:pPr>
        <w:tabs>
          <w:tab w:val="right" w:pos="9026"/>
        </w:tabs>
        <w:spacing w:before="400"/>
      </w:pPr>
      <w:r>
        <w:rPr>
          <w:sz w:val="20"/>
          <w:szCs w:val="20"/>
        </w:rPr>
        <w:tab/>
      </w:r>
    </w:p>
    <w:p w14:paraId="1F1DACF1" w14:textId="77777777" w:rsidR="0023211C" w:rsidRDefault="00000000">
      <w:r>
        <w:br w:type="page"/>
      </w:r>
    </w:p>
    <w:p w14:paraId="50804CA7" w14:textId="77777777" w:rsidR="0023211C" w:rsidRDefault="0023211C">
      <w:pPr>
        <w:sectPr w:rsidR="0023211C">
          <w:pgSz w:w="12240" w:h="15840"/>
          <w:pgMar w:top="1440" w:right="1440" w:bottom="1440" w:left="1440" w:header="708" w:footer="708" w:gutter="0"/>
          <w:cols w:space="720"/>
          <w:docGrid w:linePitch="360"/>
        </w:sectPr>
      </w:pPr>
    </w:p>
    <w:p w14:paraId="650977DC" w14:textId="77777777" w:rsidR="0023211C" w:rsidRDefault="00000000">
      <w:pPr>
        <w:pStyle w:val="Heading1"/>
      </w:pPr>
      <w:r>
        <w:lastRenderedPageBreak/>
        <w:t>1. Introduction</w:t>
      </w:r>
    </w:p>
    <w:p w14:paraId="374820EB" w14:textId="77777777" w:rsidR="0023211C" w:rsidRDefault="00000000">
      <w:pPr>
        <w:spacing w:after="110" w:line="258" w:lineRule="auto"/>
        <w:jc w:val="both"/>
      </w:pPr>
      <w:r>
        <w:rPr>
          <w:sz w:val="21"/>
          <w:szCs w:val="21"/>
        </w:rPr>
        <w:t xml:space="preserve">This report measures the market risk of a five-stock equity portfolio using two </w:t>
      </w:r>
      <w:proofErr w:type="spellStart"/>
      <w:r>
        <w:rPr>
          <w:sz w:val="21"/>
          <w:szCs w:val="21"/>
        </w:rPr>
        <w:t>well known</w:t>
      </w:r>
      <w:proofErr w:type="spellEnd"/>
      <w:r>
        <w:rPr>
          <w:sz w:val="21"/>
          <w:szCs w:val="21"/>
        </w:rPr>
        <w:t xml:space="preserve"> methods: Historical Simulation and the Parametric (Variance-Covariance) method. Both estimate Value at Risk, or </w:t>
      </w:r>
      <w:proofErr w:type="spellStart"/>
      <w:r>
        <w:rPr>
          <w:sz w:val="21"/>
          <w:szCs w:val="21"/>
        </w:rPr>
        <w:t>VaR</w:t>
      </w:r>
      <w:proofErr w:type="spellEnd"/>
      <w:r>
        <w:rPr>
          <w:sz w:val="21"/>
          <w:szCs w:val="21"/>
        </w:rPr>
        <w:t xml:space="preserve">, which is the loss the portfolio is not expected to exceed over a set period at a chosen confidence level. For example, a one-day 95% </w:t>
      </w:r>
      <w:proofErr w:type="spellStart"/>
      <w:r>
        <w:rPr>
          <w:sz w:val="21"/>
          <w:szCs w:val="21"/>
        </w:rPr>
        <w:t>VaR</w:t>
      </w:r>
      <w:proofErr w:type="spellEnd"/>
      <w:r>
        <w:rPr>
          <w:sz w:val="21"/>
          <w:szCs w:val="21"/>
        </w:rPr>
        <w:t xml:space="preserve"> of INR 11,684 means that on 95 days out of 100 the portfolio is not expected to lose more than that amount in a single day. The portfolio holds five large Indian companies in equal amounts, spread across information technology, telecom, infrastructure, and diversified industry. All figures are based on daily price data pulled from S&amp;P Capital IQ through the WILP Finance Lab.</w:t>
      </w:r>
    </w:p>
    <w:p w14:paraId="6523A3B9" w14:textId="77777777" w:rsidR="0023211C" w:rsidRDefault="00000000">
      <w:pPr>
        <w:pStyle w:val="Heading1"/>
      </w:pPr>
      <w:r>
        <w:t>2. Portfolio Composition</w:t>
      </w:r>
    </w:p>
    <w:p w14:paraId="234CCD92" w14:textId="77777777" w:rsidR="0023211C" w:rsidRDefault="00000000">
      <w:pPr>
        <w:spacing w:after="120" w:line="258" w:lineRule="auto"/>
        <w:jc w:val="both"/>
      </w:pPr>
      <w:r>
        <w:rPr>
          <w:sz w:val="21"/>
          <w:szCs w:val="21"/>
        </w:rPr>
        <w:t>The portfolio uses equal weights. Each of the five stocks receives INR 100,000, giving a total value of INR 500,000. Equal weighting keeps the setup simple and makes it easy to see how each stock and the links between them drive total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60"/>
        <w:gridCol w:w="2500"/>
        <w:gridCol w:w="2500"/>
      </w:tblGrid>
      <w:tr w:rsidR="0023211C" w14:paraId="1AC4FA97"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547719F4" w14:textId="77777777" w:rsidR="0023211C" w:rsidRDefault="00000000">
            <w:r>
              <w:rPr>
                <w:b/>
                <w:bCs/>
                <w:color w:val="FFFFFF"/>
                <w:sz w:val="19"/>
                <w:szCs w:val="19"/>
              </w:rPr>
              <w:t>Asset</w:t>
            </w:r>
          </w:p>
        </w:tc>
        <w:tc>
          <w:tcPr>
            <w:tcW w:w="306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782B7D27" w14:textId="77777777" w:rsidR="0023211C" w:rsidRDefault="00000000">
            <w:r>
              <w:rPr>
                <w:b/>
                <w:bCs/>
                <w:color w:val="FFFFFF"/>
                <w:sz w:val="19"/>
                <w:szCs w:val="19"/>
              </w:rPr>
              <w:t>Stock</w:t>
            </w:r>
          </w:p>
        </w:tc>
        <w:tc>
          <w:tcPr>
            <w:tcW w:w="250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376D475E" w14:textId="77777777" w:rsidR="0023211C" w:rsidRDefault="00000000">
            <w:pPr>
              <w:jc w:val="right"/>
            </w:pPr>
            <w:r>
              <w:rPr>
                <w:b/>
                <w:bCs/>
                <w:color w:val="FFFFFF"/>
                <w:sz w:val="19"/>
                <w:szCs w:val="19"/>
              </w:rPr>
              <w:t>Amount (INR)</w:t>
            </w:r>
          </w:p>
        </w:tc>
        <w:tc>
          <w:tcPr>
            <w:tcW w:w="250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7657A0E9" w14:textId="77777777" w:rsidR="0023211C" w:rsidRDefault="00000000">
            <w:pPr>
              <w:jc w:val="right"/>
            </w:pPr>
            <w:r>
              <w:rPr>
                <w:b/>
                <w:bCs/>
                <w:color w:val="FFFFFF"/>
                <w:sz w:val="19"/>
                <w:szCs w:val="19"/>
              </w:rPr>
              <w:t>Weight</w:t>
            </w:r>
          </w:p>
        </w:tc>
      </w:tr>
      <w:tr w:rsidR="0023211C" w14:paraId="738DA533"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1CE3492" w14:textId="77777777" w:rsidR="0023211C" w:rsidRDefault="00000000">
            <w:r>
              <w:rPr>
                <w:sz w:val="19"/>
                <w:szCs w:val="19"/>
              </w:rPr>
              <w:t>Asset 1</w:t>
            </w:r>
          </w:p>
        </w:tc>
        <w:tc>
          <w:tcPr>
            <w:tcW w:w="3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EC383FB" w14:textId="77777777" w:rsidR="0023211C" w:rsidRDefault="00000000">
            <w:r>
              <w:rPr>
                <w:sz w:val="19"/>
                <w:szCs w:val="19"/>
              </w:rPr>
              <w:t>TCS</w:t>
            </w:r>
          </w:p>
        </w:tc>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DAAFDD7" w14:textId="77777777" w:rsidR="0023211C" w:rsidRDefault="00000000">
            <w:pPr>
              <w:jc w:val="right"/>
            </w:pPr>
            <w:r>
              <w:rPr>
                <w:sz w:val="19"/>
                <w:szCs w:val="19"/>
              </w:rPr>
              <w:t>100,000</w:t>
            </w:r>
          </w:p>
        </w:tc>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3D8E9C9" w14:textId="77777777" w:rsidR="0023211C" w:rsidRDefault="00000000">
            <w:pPr>
              <w:jc w:val="right"/>
            </w:pPr>
            <w:r>
              <w:rPr>
                <w:sz w:val="19"/>
                <w:szCs w:val="19"/>
              </w:rPr>
              <w:t>20%</w:t>
            </w:r>
          </w:p>
        </w:tc>
      </w:tr>
      <w:tr w:rsidR="0023211C" w14:paraId="36124695"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1C0785EC" w14:textId="77777777" w:rsidR="0023211C" w:rsidRDefault="00000000">
            <w:r>
              <w:rPr>
                <w:sz w:val="19"/>
                <w:szCs w:val="19"/>
              </w:rPr>
              <w:t>Asset 2</w:t>
            </w:r>
          </w:p>
        </w:tc>
        <w:tc>
          <w:tcPr>
            <w:tcW w:w="306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67A973E4" w14:textId="77777777" w:rsidR="0023211C" w:rsidRDefault="00000000">
            <w:r>
              <w:rPr>
                <w:sz w:val="19"/>
                <w:szCs w:val="19"/>
              </w:rPr>
              <w:t>Wipro</w:t>
            </w:r>
          </w:p>
        </w:tc>
        <w:tc>
          <w:tcPr>
            <w:tcW w:w="250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6ACFE4C4" w14:textId="77777777" w:rsidR="0023211C" w:rsidRDefault="00000000">
            <w:pPr>
              <w:jc w:val="right"/>
            </w:pPr>
            <w:r>
              <w:rPr>
                <w:sz w:val="19"/>
                <w:szCs w:val="19"/>
              </w:rPr>
              <w:t>100,000</w:t>
            </w:r>
          </w:p>
        </w:tc>
        <w:tc>
          <w:tcPr>
            <w:tcW w:w="250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44882578" w14:textId="77777777" w:rsidR="0023211C" w:rsidRDefault="00000000">
            <w:pPr>
              <w:jc w:val="right"/>
            </w:pPr>
            <w:r>
              <w:rPr>
                <w:sz w:val="19"/>
                <w:szCs w:val="19"/>
              </w:rPr>
              <w:t>20%</w:t>
            </w:r>
          </w:p>
        </w:tc>
      </w:tr>
      <w:tr w:rsidR="0023211C" w14:paraId="65859D78"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62AA1BC" w14:textId="77777777" w:rsidR="0023211C" w:rsidRDefault="00000000">
            <w:r>
              <w:rPr>
                <w:sz w:val="19"/>
                <w:szCs w:val="19"/>
              </w:rPr>
              <w:t>Asset 3</w:t>
            </w:r>
          </w:p>
        </w:tc>
        <w:tc>
          <w:tcPr>
            <w:tcW w:w="3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C8BA0CE" w14:textId="77777777" w:rsidR="0023211C" w:rsidRDefault="00000000">
            <w:r>
              <w:rPr>
                <w:sz w:val="19"/>
                <w:szCs w:val="19"/>
              </w:rPr>
              <w:t>Bharti Airtel</w:t>
            </w:r>
          </w:p>
        </w:tc>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3A4F43F" w14:textId="77777777" w:rsidR="0023211C" w:rsidRDefault="00000000">
            <w:pPr>
              <w:jc w:val="right"/>
            </w:pPr>
            <w:r>
              <w:rPr>
                <w:sz w:val="19"/>
                <w:szCs w:val="19"/>
              </w:rPr>
              <w:t>100,000</w:t>
            </w:r>
          </w:p>
        </w:tc>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A3B06EE" w14:textId="77777777" w:rsidR="0023211C" w:rsidRDefault="00000000">
            <w:pPr>
              <w:jc w:val="right"/>
            </w:pPr>
            <w:r>
              <w:rPr>
                <w:sz w:val="19"/>
                <w:szCs w:val="19"/>
              </w:rPr>
              <w:t>20%</w:t>
            </w:r>
          </w:p>
        </w:tc>
      </w:tr>
      <w:tr w:rsidR="0023211C" w14:paraId="275BEA4D"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51F6E999" w14:textId="77777777" w:rsidR="0023211C" w:rsidRDefault="00000000">
            <w:r>
              <w:rPr>
                <w:sz w:val="19"/>
                <w:szCs w:val="19"/>
              </w:rPr>
              <w:t>Asset 4</w:t>
            </w:r>
          </w:p>
        </w:tc>
        <w:tc>
          <w:tcPr>
            <w:tcW w:w="306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086C66BB" w14:textId="77777777" w:rsidR="0023211C" w:rsidRDefault="00000000">
            <w:r>
              <w:rPr>
                <w:sz w:val="19"/>
                <w:szCs w:val="19"/>
              </w:rPr>
              <w:t>Adani Enterprises</w:t>
            </w:r>
          </w:p>
        </w:tc>
        <w:tc>
          <w:tcPr>
            <w:tcW w:w="250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41ADC6BC" w14:textId="77777777" w:rsidR="0023211C" w:rsidRDefault="00000000">
            <w:pPr>
              <w:jc w:val="right"/>
            </w:pPr>
            <w:r>
              <w:rPr>
                <w:sz w:val="19"/>
                <w:szCs w:val="19"/>
              </w:rPr>
              <w:t>100,000</w:t>
            </w:r>
          </w:p>
        </w:tc>
        <w:tc>
          <w:tcPr>
            <w:tcW w:w="250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42ADF9FB" w14:textId="77777777" w:rsidR="0023211C" w:rsidRDefault="00000000">
            <w:pPr>
              <w:jc w:val="right"/>
            </w:pPr>
            <w:r>
              <w:rPr>
                <w:sz w:val="19"/>
                <w:szCs w:val="19"/>
              </w:rPr>
              <w:t>20%</w:t>
            </w:r>
          </w:p>
        </w:tc>
      </w:tr>
      <w:tr w:rsidR="0023211C" w14:paraId="3FADDBB6"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C3856D4" w14:textId="77777777" w:rsidR="0023211C" w:rsidRDefault="00000000">
            <w:r>
              <w:rPr>
                <w:sz w:val="19"/>
                <w:szCs w:val="19"/>
              </w:rPr>
              <w:t>Asset 5</w:t>
            </w:r>
          </w:p>
        </w:tc>
        <w:tc>
          <w:tcPr>
            <w:tcW w:w="3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867C819" w14:textId="77777777" w:rsidR="0023211C" w:rsidRDefault="00000000">
            <w:r>
              <w:rPr>
                <w:sz w:val="19"/>
                <w:szCs w:val="19"/>
              </w:rPr>
              <w:t>Godrej Industries</w:t>
            </w:r>
          </w:p>
        </w:tc>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074530D" w14:textId="77777777" w:rsidR="0023211C" w:rsidRDefault="00000000">
            <w:pPr>
              <w:jc w:val="right"/>
            </w:pPr>
            <w:r>
              <w:rPr>
                <w:sz w:val="19"/>
                <w:szCs w:val="19"/>
              </w:rPr>
              <w:t>100,000</w:t>
            </w:r>
          </w:p>
        </w:tc>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9A3101C" w14:textId="77777777" w:rsidR="0023211C" w:rsidRDefault="00000000">
            <w:pPr>
              <w:jc w:val="right"/>
            </w:pPr>
            <w:r>
              <w:rPr>
                <w:sz w:val="19"/>
                <w:szCs w:val="19"/>
              </w:rPr>
              <w:t>20%</w:t>
            </w:r>
          </w:p>
        </w:tc>
      </w:tr>
      <w:tr w:rsidR="0023211C" w14:paraId="2A53CC28"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0BD2B148" w14:textId="77777777" w:rsidR="0023211C" w:rsidRDefault="00000000">
            <w:r>
              <w:rPr>
                <w:b/>
                <w:bCs/>
                <w:sz w:val="19"/>
                <w:szCs w:val="19"/>
              </w:rPr>
              <w:t>Total</w:t>
            </w:r>
          </w:p>
        </w:tc>
        <w:tc>
          <w:tcPr>
            <w:tcW w:w="306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2CE7DAAB" w14:textId="77777777" w:rsidR="0023211C" w:rsidRDefault="0023211C"/>
        </w:tc>
        <w:tc>
          <w:tcPr>
            <w:tcW w:w="250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55BC9ED9" w14:textId="77777777" w:rsidR="0023211C" w:rsidRDefault="00000000">
            <w:pPr>
              <w:jc w:val="right"/>
            </w:pPr>
            <w:r>
              <w:rPr>
                <w:b/>
                <w:bCs/>
                <w:sz w:val="19"/>
                <w:szCs w:val="19"/>
              </w:rPr>
              <w:t>500,000</w:t>
            </w:r>
          </w:p>
        </w:tc>
        <w:tc>
          <w:tcPr>
            <w:tcW w:w="250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4026C4AC" w14:textId="77777777" w:rsidR="0023211C" w:rsidRDefault="00000000">
            <w:pPr>
              <w:jc w:val="right"/>
            </w:pPr>
            <w:r>
              <w:rPr>
                <w:b/>
                <w:bCs/>
                <w:sz w:val="19"/>
                <w:szCs w:val="19"/>
              </w:rPr>
              <w:t>100%</w:t>
            </w:r>
          </w:p>
        </w:tc>
      </w:tr>
    </w:tbl>
    <w:p w14:paraId="6BCBF3EB" w14:textId="77777777" w:rsidR="0023211C" w:rsidRDefault="00000000">
      <w:pPr>
        <w:spacing w:after="200"/>
        <w:jc w:val="center"/>
      </w:pPr>
      <w:r>
        <w:rPr>
          <w:i/>
          <w:iCs/>
          <w:color w:val="555555"/>
          <w:sz w:val="18"/>
          <w:szCs w:val="18"/>
        </w:rPr>
        <w:t>Table 1. Portfolio holdings and weights.</w:t>
      </w:r>
    </w:p>
    <w:p w14:paraId="0A5972F7" w14:textId="77777777" w:rsidR="0023211C" w:rsidRDefault="00000000">
      <w:pPr>
        <w:pStyle w:val="Heading1"/>
      </w:pPr>
      <w:r>
        <w:t>3. Data and Methodology</w:t>
      </w:r>
    </w:p>
    <w:p w14:paraId="249C131F" w14:textId="77777777" w:rsidR="0023211C" w:rsidRDefault="00000000">
      <w:pPr>
        <w:spacing w:after="110" w:line="258" w:lineRule="auto"/>
        <w:jc w:val="both"/>
      </w:pPr>
      <w:r>
        <w:rPr>
          <w:sz w:val="21"/>
          <w:szCs w:val="21"/>
        </w:rPr>
        <w:t>The analysis uses about one year of daily closing prices, from 13 June 2025 to 11 June 2026, giving roughly 244 daily returns per stock. Closing prices were rebuilt from the cumulative percentage data supplied by S&amp;P Capital IQ using the formula Price = Base Price multiplied by (1 + CIQ Percentage / 100). Daily returns were then found as log returns, the natural log of today's price divided by yesterday's price.</w:t>
      </w:r>
    </w:p>
    <w:p w14:paraId="1296583E" w14:textId="77777777" w:rsidR="0023211C" w:rsidRDefault="00000000">
      <w:pPr>
        <w:spacing w:line="258" w:lineRule="auto"/>
        <w:jc w:val="both"/>
      </w:pPr>
      <w:r>
        <w:rPr>
          <w:sz w:val="21"/>
          <w:szCs w:val="21"/>
        </w:rPr>
        <w:t>Two methods are used. Historical Simulation takes the actual past returns, sorts them from worst to best, and reads off the loss at the chosen confidence level, making no assumption about the shape of the distribution. The Parametric method instead assumes returns follow a normal distribution and uses the portfolio standard deviation together with a z-score. Both one-day and ten-day figures are reported, where the ten-day numbers are scaled from the one-day figure using the square root of time rule, that is by multiplying by the square root of ten.</w:t>
      </w:r>
    </w:p>
    <w:p w14:paraId="2CC3FD0B" w14:textId="77777777" w:rsidR="0023211C" w:rsidRDefault="00000000">
      <w:r>
        <w:br w:type="page"/>
      </w:r>
    </w:p>
    <w:p w14:paraId="75CF6383" w14:textId="77777777" w:rsidR="0023211C" w:rsidRDefault="00000000">
      <w:pPr>
        <w:pStyle w:val="Heading1"/>
      </w:pPr>
      <w:r>
        <w:lastRenderedPageBreak/>
        <w:t>4. Stock Price Behaviour</w:t>
      </w:r>
    </w:p>
    <w:p w14:paraId="30299499" w14:textId="77777777" w:rsidR="0023211C" w:rsidRDefault="00000000">
      <w:pPr>
        <w:spacing w:after="80" w:line="258" w:lineRule="auto"/>
        <w:jc w:val="both"/>
      </w:pPr>
      <w:r>
        <w:rPr>
          <w:sz w:val="21"/>
          <w:szCs w:val="21"/>
        </w:rPr>
        <w:t>Before looking at risk numbers, it helps to see how the five stocks moved over the year. The chart below rebases every stock to a starting value of 100 so they can be compared on the same scale. A value above 100 means a gain over the period, while a value below 100 means a loss.</w:t>
      </w:r>
    </w:p>
    <w:p w14:paraId="46367CBC" w14:textId="77777777" w:rsidR="0023211C" w:rsidRDefault="00000000">
      <w:pPr>
        <w:spacing w:before="120" w:after="60"/>
        <w:jc w:val="center"/>
      </w:pPr>
      <w:r>
        <w:rPr>
          <w:noProof/>
        </w:rPr>
        <w:drawing>
          <wp:inline distT="0" distB="0" distL="0" distR="0" wp14:anchorId="16202992" wp14:editId="6AE78B32">
            <wp:extent cx="5334000" cy="2466975"/>
            <wp:effectExtent l="0" t="0" r="0" b="0"/>
            <wp:docPr id="832429320" name="Picture 83242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66975"/>
                    </a:xfrm>
                    <a:prstGeom prst="rect">
                      <a:avLst/>
                    </a:prstGeom>
                  </pic:spPr>
                </pic:pic>
              </a:graphicData>
            </a:graphic>
          </wp:inline>
        </w:drawing>
      </w:r>
    </w:p>
    <w:p w14:paraId="335C1941" w14:textId="77777777" w:rsidR="0023211C" w:rsidRDefault="00000000">
      <w:pPr>
        <w:spacing w:after="200"/>
        <w:jc w:val="center"/>
      </w:pPr>
      <w:r>
        <w:rPr>
          <w:i/>
          <w:iCs/>
          <w:color w:val="555555"/>
          <w:sz w:val="18"/>
          <w:szCs w:val="18"/>
        </w:rPr>
        <w:t>Figure 1. Indexed price performance, all stocks start at 100.</w:t>
      </w:r>
    </w:p>
    <w:p w14:paraId="6F41AE19" w14:textId="77777777" w:rsidR="0023211C" w:rsidRDefault="00000000">
      <w:pPr>
        <w:spacing w:after="110" w:line="258" w:lineRule="auto"/>
        <w:jc w:val="both"/>
      </w:pPr>
      <w:r>
        <w:rPr>
          <w:sz w:val="21"/>
          <w:szCs w:val="21"/>
        </w:rPr>
        <w:t>The stocks did not move together in a tight pack. Some names trended down for long stretches while others held up better, and the paths cross many times. This spread is what gives a portfolio its diversification benefit, because a gain in one stock can soften a loss in another on the same day.</w:t>
      </w:r>
    </w:p>
    <w:p w14:paraId="45C0ECF8" w14:textId="77777777" w:rsidR="0023211C" w:rsidRDefault="00000000">
      <w:pPr>
        <w:pStyle w:val="Heading1"/>
      </w:pPr>
      <w:r>
        <w:t>5. Individual Risk Statistics</w:t>
      </w:r>
    </w:p>
    <w:p w14:paraId="154FB18D" w14:textId="77777777" w:rsidR="0023211C" w:rsidRDefault="00000000">
      <w:pPr>
        <w:spacing w:after="80" w:line="258" w:lineRule="auto"/>
        <w:jc w:val="both"/>
      </w:pPr>
      <w:r>
        <w:rPr>
          <w:sz w:val="21"/>
          <w:szCs w:val="21"/>
        </w:rPr>
        <w:t>Annualized volatility scales the daily return swings up to a yearly view by multiplying by the square root of 252 trading days. Godrej Industries and Adani Enterprises are the most volatile, near 38% and 35%. Bharti Airtel is the calmest at about 20%, while the two IT names, TCS and Wipro, sit in the middle around 25%. The riskier stocks pull overall portfolio risk up, while the steadier names help bring it down.</w:t>
      </w:r>
    </w:p>
    <w:p w14:paraId="2D5B1E54" w14:textId="77777777" w:rsidR="0023211C" w:rsidRDefault="00000000">
      <w:pPr>
        <w:spacing w:before="120" w:after="60"/>
        <w:jc w:val="center"/>
      </w:pPr>
      <w:r>
        <w:rPr>
          <w:noProof/>
        </w:rPr>
        <w:drawing>
          <wp:inline distT="0" distB="0" distL="0" distR="0" wp14:anchorId="4FD3F01A" wp14:editId="10AF07B7">
            <wp:extent cx="5143500" cy="2219325"/>
            <wp:effectExtent l="0" t="0" r="0" b="0"/>
            <wp:docPr id="1067379220" name="Picture 106737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219325"/>
                    </a:xfrm>
                    <a:prstGeom prst="rect">
                      <a:avLst/>
                    </a:prstGeom>
                  </pic:spPr>
                </pic:pic>
              </a:graphicData>
            </a:graphic>
          </wp:inline>
        </w:drawing>
      </w:r>
    </w:p>
    <w:p w14:paraId="1BA74785" w14:textId="77777777" w:rsidR="0023211C" w:rsidRDefault="00000000">
      <w:pPr>
        <w:spacing w:after="200"/>
        <w:jc w:val="center"/>
      </w:pPr>
      <w:r>
        <w:rPr>
          <w:i/>
          <w:iCs/>
          <w:color w:val="555555"/>
          <w:sz w:val="18"/>
          <w:szCs w:val="18"/>
        </w:rPr>
        <w:t>Figure 2. Annualized volatility by stock.</w:t>
      </w:r>
    </w:p>
    <w:p w14:paraId="7B6F8C55" w14:textId="77777777" w:rsidR="0023211C" w:rsidRDefault="00000000">
      <w:r>
        <w:br w:type="page"/>
      </w:r>
    </w:p>
    <w:p w14:paraId="0167A2FA" w14:textId="77777777" w:rsidR="0023211C" w:rsidRDefault="00000000">
      <w:pPr>
        <w:pStyle w:val="Heading1"/>
      </w:pPr>
      <w:r>
        <w:lastRenderedPageBreak/>
        <w:t>6. How the Stocks Move Together</w:t>
      </w:r>
    </w:p>
    <w:p w14:paraId="7FE3FB4D" w14:textId="77777777" w:rsidR="0023211C" w:rsidRDefault="00000000">
      <w:pPr>
        <w:spacing w:after="70" w:line="258" w:lineRule="auto"/>
        <w:jc w:val="both"/>
      </w:pPr>
      <w:r>
        <w:rPr>
          <w:sz w:val="21"/>
          <w:szCs w:val="21"/>
        </w:rPr>
        <w:t>Risk in a portfolio depends not only on how risky each stock is on its own, but also on how the stocks move in relation to each other. In the matrix below, a value near 1 means two stocks rise and fall together, while a value near 0 means they move largely on their own.</w:t>
      </w:r>
    </w:p>
    <w:p w14:paraId="682CB8CD" w14:textId="77777777" w:rsidR="0023211C" w:rsidRDefault="00000000">
      <w:pPr>
        <w:spacing w:before="120" w:after="60"/>
        <w:jc w:val="center"/>
      </w:pPr>
      <w:r>
        <w:rPr>
          <w:noProof/>
        </w:rPr>
        <w:drawing>
          <wp:inline distT="0" distB="0" distL="0" distR="0" wp14:anchorId="25C7AB08" wp14:editId="77F92A8B">
            <wp:extent cx="2857500" cy="2466975"/>
            <wp:effectExtent l="0" t="0" r="0" b="0"/>
            <wp:docPr id="472747563" name="Picture 47274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466975"/>
                    </a:xfrm>
                    <a:prstGeom prst="rect">
                      <a:avLst/>
                    </a:prstGeom>
                  </pic:spPr>
                </pic:pic>
              </a:graphicData>
            </a:graphic>
          </wp:inline>
        </w:drawing>
      </w:r>
    </w:p>
    <w:p w14:paraId="16BA7135" w14:textId="77777777" w:rsidR="0023211C" w:rsidRDefault="00000000">
      <w:pPr>
        <w:spacing w:after="200"/>
        <w:jc w:val="center"/>
      </w:pPr>
      <w:r>
        <w:rPr>
          <w:i/>
          <w:iCs/>
          <w:color w:val="555555"/>
          <w:sz w:val="18"/>
          <w:szCs w:val="18"/>
        </w:rPr>
        <w:t>Figure 3. Correlation of daily log returns.</w:t>
      </w:r>
    </w:p>
    <w:p w14:paraId="0995C4D7" w14:textId="77777777" w:rsidR="0023211C" w:rsidRDefault="00000000">
      <w:pPr>
        <w:spacing w:after="110" w:line="258" w:lineRule="auto"/>
        <w:jc w:val="both"/>
      </w:pPr>
      <w:r>
        <w:rPr>
          <w:sz w:val="21"/>
          <w:szCs w:val="21"/>
        </w:rPr>
        <w:t>The strongest link is between TCS and Wipro at 0.62, which makes sense as both are large IT services firms. Every other pair is low, mostly between 0.05 and 0.30. These low values are good news, because when stocks do not move in lockstep their swings partly cancel out, leaving the portfolio steadier than the average of its parts.</w:t>
      </w:r>
    </w:p>
    <w:p w14:paraId="51AD23A0" w14:textId="77777777" w:rsidR="0023211C" w:rsidRDefault="00000000">
      <w:pPr>
        <w:pStyle w:val="Heading1"/>
      </w:pPr>
      <w:r>
        <w:t xml:space="preserve">7. Historical Simulation </w:t>
      </w:r>
      <w:proofErr w:type="spellStart"/>
      <w:r>
        <w:t>VaR</w:t>
      </w:r>
      <w:proofErr w:type="spellEnd"/>
    </w:p>
    <w:p w14:paraId="7A3CA1D0" w14:textId="77777777" w:rsidR="0023211C" w:rsidRDefault="00000000">
      <w:pPr>
        <w:spacing w:after="70" w:line="258" w:lineRule="auto"/>
        <w:jc w:val="both"/>
      </w:pPr>
      <w:r>
        <w:rPr>
          <w:sz w:val="21"/>
          <w:szCs w:val="21"/>
        </w:rPr>
        <w:t xml:space="preserve">The Historical Simulation method ranks the actual daily portfolio returns and reads the loss at each confidence level. The chart below shows the spread of daily returns, with the 95% and 99% </w:t>
      </w:r>
      <w:proofErr w:type="spellStart"/>
      <w:r>
        <w:rPr>
          <w:sz w:val="21"/>
          <w:szCs w:val="21"/>
        </w:rPr>
        <w:t>VaR</w:t>
      </w:r>
      <w:proofErr w:type="spellEnd"/>
      <w:r>
        <w:rPr>
          <w:sz w:val="21"/>
          <w:szCs w:val="21"/>
        </w:rPr>
        <w:t xml:space="preserve"> points marked. Most days cluster near zero, but a tail of larger losses on the left drives the </w:t>
      </w:r>
      <w:proofErr w:type="spellStart"/>
      <w:r>
        <w:rPr>
          <w:sz w:val="21"/>
          <w:szCs w:val="21"/>
        </w:rPr>
        <w:t>VaR</w:t>
      </w:r>
      <w:proofErr w:type="spellEnd"/>
      <w:r>
        <w:rPr>
          <w:sz w:val="21"/>
          <w:szCs w:val="21"/>
        </w:rPr>
        <w:t xml:space="preserve"> figures.</w:t>
      </w:r>
    </w:p>
    <w:p w14:paraId="0318AFF6" w14:textId="77777777" w:rsidR="0023211C" w:rsidRDefault="00000000">
      <w:pPr>
        <w:spacing w:before="120" w:after="60"/>
        <w:jc w:val="center"/>
      </w:pPr>
      <w:r>
        <w:rPr>
          <w:noProof/>
        </w:rPr>
        <w:drawing>
          <wp:inline distT="0" distB="0" distL="0" distR="0" wp14:anchorId="2CE21221" wp14:editId="77DE4A96">
            <wp:extent cx="4572000" cy="2247900"/>
            <wp:effectExtent l="0" t="0" r="0" b="0"/>
            <wp:docPr id="788131466" name="Picture 78813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47900"/>
                    </a:xfrm>
                    <a:prstGeom prst="rect">
                      <a:avLst/>
                    </a:prstGeom>
                  </pic:spPr>
                </pic:pic>
              </a:graphicData>
            </a:graphic>
          </wp:inline>
        </w:drawing>
      </w:r>
    </w:p>
    <w:p w14:paraId="65232C88" w14:textId="77777777" w:rsidR="0023211C" w:rsidRDefault="00000000">
      <w:pPr>
        <w:spacing w:after="200"/>
        <w:jc w:val="center"/>
      </w:pPr>
      <w:r>
        <w:rPr>
          <w:i/>
          <w:iCs/>
          <w:color w:val="555555"/>
          <w:sz w:val="18"/>
          <w:szCs w:val="18"/>
        </w:rPr>
        <w:t xml:space="preserve">Figure 4. Distribution of daily portfolio returns with </w:t>
      </w:r>
      <w:proofErr w:type="spellStart"/>
      <w:r>
        <w:rPr>
          <w:i/>
          <w:iCs/>
          <w:color w:val="555555"/>
          <w:sz w:val="18"/>
          <w:szCs w:val="18"/>
        </w:rPr>
        <w:t>VaR</w:t>
      </w:r>
      <w:proofErr w:type="spellEnd"/>
      <w:r>
        <w:rPr>
          <w:i/>
          <w:iCs/>
          <w:color w:val="555555"/>
          <w:sz w:val="18"/>
          <w:szCs w:val="18"/>
        </w:rPr>
        <w:t xml:space="preserve"> levels.</w:t>
      </w:r>
    </w:p>
    <w:p w14:paraId="11705825" w14:textId="77777777" w:rsidR="0023211C" w:rsidRDefault="00000000">
      <w:pPr>
        <w:spacing w:line="258" w:lineRule="auto"/>
        <w:jc w:val="both"/>
      </w:pPr>
      <w:r>
        <w:rPr>
          <w:sz w:val="21"/>
          <w:szCs w:val="21"/>
        </w:rPr>
        <w:t xml:space="preserve">On a one-day view, the portfolio shows a 95% </w:t>
      </w:r>
      <w:proofErr w:type="spellStart"/>
      <w:r>
        <w:rPr>
          <w:sz w:val="21"/>
          <w:szCs w:val="21"/>
        </w:rPr>
        <w:t>VaR</w:t>
      </w:r>
      <w:proofErr w:type="spellEnd"/>
      <w:r>
        <w:rPr>
          <w:sz w:val="21"/>
          <w:szCs w:val="21"/>
        </w:rPr>
        <w:t xml:space="preserve"> of INR 11,684 (about 2.34%) and a 99% </w:t>
      </w:r>
      <w:proofErr w:type="spellStart"/>
      <w:r>
        <w:rPr>
          <w:sz w:val="21"/>
          <w:szCs w:val="21"/>
        </w:rPr>
        <w:t>VaR</w:t>
      </w:r>
      <w:proofErr w:type="spellEnd"/>
      <w:r>
        <w:rPr>
          <w:sz w:val="21"/>
          <w:szCs w:val="21"/>
        </w:rPr>
        <w:t xml:space="preserve"> of INR 14,648 (about 2.93%), which grow to roughly INR 36,948 and INR 46,320 over a ten-day period.</w:t>
      </w:r>
    </w:p>
    <w:p w14:paraId="1DF23BCA" w14:textId="77777777" w:rsidR="0023211C" w:rsidRDefault="00000000">
      <w:pPr>
        <w:pStyle w:val="Heading1"/>
      </w:pPr>
      <w:r>
        <w:lastRenderedPageBreak/>
        <w:t xml:space="preserve">8. Parametric </w:t>
      </w:r>
      <w:proofErr w:type="spellStart"/>
      <w:r>
        <w:t>VaR</w:t>
      </w:r>
      <w:proofErr w:type="spellEnd"/>
    </w:p>
    <w:p w14:paraId="70EC7EA2" w14:textId="77777777" w:rsidR="0023211C" w:rsidRDefault="00000000">
      <w:pPr>
        <w:spacing w:after="110" w:line="258" w:lineRule="auto"/>
        <w:jc w:val="both"/>
      </w:pPr>
      <w:r>
        <w:rPr>
          <w:sz w:val="21"/>
          <w:szCs w:val="21"/>
        </w:rPr>
        <w:t xml:space="preserve">The Parametric method works from the portfolio standard deviation rather than the raw history of returns. Using the weights and the covariance matrix, the daily portfolio standard deviation comes out to about 1.11%, or roughly 17.65% on an annual basis. </w:t>
      </w:r>
      <w:proofErr w:type="spellStart"/>
      <w:r>
        <w:rPr>
          <w:sz w:val="21"/>
          <w:szCs w:val="21"/>
        </w:rPr>
        <w:t>VaR</w:t>
      </w:r>
      <w:proofErr w:type="spellEnd"/>
      <w:r>
        <w:rPr>
          <w:sz w:val="21"/>
          <w:szCs w:val="21"/>
        </w:rPr>
        <w:t xml:space="preserve"> is then found by multiplying this standard deviation by the portfolio value and by a z-score, namely 1.645 for 95% and 2.326 for 99%. This gives a one-day 95% </w:t>
      </w:r>
      <w:proofErr w:type="spellStart"/>
      <w:r>
        <w:rPr>
          <w:sz w:val="21"/>
          <w:szCs w:val="21"/>
        </w:rPr>
        <w:t>VaR</w:t>
      </w:r>
      <w:proofErr w:type="spellEnd"/>
      <w:r>
        <w:rPr>
          <w:sz w:val="21"/>
          <w:szCs w:val="21"/>
        </w:rPr>
        <w:t xml:space="preserve"> of INR 9,142 and a one-day 99% </w:t>
      </w:r>
      <w:proofErr w:type="spellStart"/>
      <w:r>
        <w:rPr>
          <w:sz w:val="21"/>
          <w:szCs w:val="21"/>
        </w:rPr>
        <w:t>VaR</w:t>
      </w:r>
      <w:proofErr w:type="spellEnd"/>
      <w:r>
        <w:rPr>
          <w:sz w:val="21"/>
          <w:szCs w:val="21"/>
        </w:rPr>
        <w:t xml:space="preserve"> of INR 12,927, rising to about INR 28,911 and INR 40,880 over ten days.</w:t>
      </w:r>
    </w:p>
    <w:p w14:paraId="3BC30D47" w14:textId="77777777" w:rsidR="0023211C" w:rsidRDefault="00000000">
      <w:pPr>
        <w:pStyle w:val="Heading1"/>
      </w:pPr>
      <w:r>
        <w:t>9. Comparing the Two Methods</w:t>
      </w:r>
    </w:p>
    <w:p w14:paraId="44E1435F" w14:textId="77777777" w:rsidR="0023211C" w:rsidRDefault="00000000">
      <w:pPr>
        <w:spacing w:after="80" w:line="258" w:lineRule="auto"/>
        <w:jc w:val="both"/>
      </w:pPr>
      <w:r>
        <w:rPr>
          <w:sz w:val="21"/>
          <w:szCs w:val="21"/>
        </w:rPr>
        <w:t>The chart and table below place the two methods side by side. The pattern is clear: the Historical Simulation figures are higher than the Parametric figures in every case.</w:t>
      </w:r>
    </w:p>
    <w:p w14:paraId="10E2608B" w14:textId="77777777" w:rsidR="0023211C" w:rsidRDefault="00000000">
      <w:pPr>
        <w:spacing w:before="120" w:after="60"/>
        <w:jc w:val="center"/>
      </w:pPr>
      <w:r>
        <w:rPr>
          <w:noProof/>
        </w:rPr>
        <w:drawing>
          <wp:inline distT="0" distB="0" distL="0" distR="0" wp14:anchorId="25E04B17" wp14:editId="28AD68BB">
            <wp:extent cx="5048250" cy="2362200"/>
            <wp:effectExtent l="0" t="0" r="0" b="0"/>
            <wp:docPr id="684322844" name="Picture 68432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48250" cy="2362200"/>
                    </a:xfrm>
                    <a:prstGeom prst="rect">
                      <a:avLst/>
                    </a:prstGeom>
                  </pic:spPr>
                </pic:pic>
              </a:graphicData>
            </a:graphic>
          </wp:inline>
        </w:drawing>
      </w:r>
    </w:p>
    <w:p w14:paraId="579E5D7B" w14:textId="77777777" w:rsidR="0023211C" w:rsidRDefault="00000000">
      <w:pPr>
        <w:spacing w:after="200"/>
        <w:jc w:val="center"/>
      </w:pPr>
      <w:r>
        <w:rPr>
          <w:i/>
          <w:iCs/>
          <w:color w:val="555555"/>
          <w:sz w:val="18"/>
          <w:szCs w:val="18"/>
        </w:rPr>
        <w:t xml:space="preserve">Figure 5. Historical Simulation </w:t>
      </w:r>
      <w:proofErr w:type="spellStart"/>
      <w:r>
        <w:rPr>
          <w:i/>
          <w:iCs/>
          <w:color w:val="555555"/>
          <w:sz w:val="18"/>
          <w:szCs w:val="18"/>
        </w:rPr>
        <w:t>VaR</w:t>
      </w:r>
      <w:proofErr w:type="spellEnd"/>
      <w:r>
        <w:rPr>
          <w:i/>
          <w:iCs/>
          <w:color w:val="555555"/>
          <w:sz w:val="18"/>
          <w:szCs w:val="18"/>
        </w:rPr>
        <w:t xml:space="preserve"> against Parametric </w:t>
      </w:r>
      <w:proofErr w:type="spellStart"/>
      <w:r>
        <w:rPr>
          <w:i/>
          <w:iCs/>
          <w:color w:val="555555"/>
          <w:sz w:val="18"/>
          <w:szCs w:val="18"/>
        </w:rPr>
        <w:t>VaR.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550"/>
        <w:gridCol w:w="1550"/>
        <w:gridCol w:w="1550"/>
        <w:gridCol w:w="1550"/>
      </w:tblGrid>
      <w:tr w:rsidR="0023211C" w14:paraId="1315BA25" w14:textId="77777777">
        <w:tblPrEx>
          <w:tblCellMar>
            <w:top w:w="0" w:type="dxa"/>
            <w:bottom w:w="0" w:type="dxa"/>
          </w:tblCellMar>
        </w:tblPrEx>
        <w:trPr>
          <w:tblHeader/>
        </w:trPr>
        <w:tc>
          <w:tcPr>
            <w:tcW w:w="316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71751F3B" w14:textId="77777777" w:rsidR="0023211C" w:rsidRDefault="00000000">
            <w:r>
              <w:rPr>
                <w:b/>
                <w:bCs/>
                <w:color w:val="FFFFFF"/>
                <w:sz w:val="19"/>
                <w:szCs w:val="19"/>
              </w:rPr>
              <w:t>Method</w:t>
            </w:r>
          </w:p>
        </w:tc>
        <w:tc>
          <w:tcPr>
            <w:tcW w:w="155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353C1BB0" w14:textId="77777777" w:rsidR="0023211C" w:rsidRDefault="00000000">
            <w:pPr>
              <w:jc w:val="right"/>
            </w:pPr>
            <w:r>
              <w:rPr>
                <w:b/>
                <w:bCs/>
                <w:color w:val="FFFFFF"/>
                <w:sz w:val="19"/>
                <w:szCs w:val="19"/>
              </w:rPr>
              <w:t>95% 1-day</w:t>
            </w:r>
          </w:p>
        </w:tc>
        <w:tc>
          <w:tcPr>
            <w:tcW w:w="155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5DFEEF26" w14:textId="77777777" w:rsidR="0023211C" w:rsidRDefault="00000000">
            <w:pPr>
              <w:jc w:val="right"/>
            </w:pPr>
            <w:r>
              <w:rPr>
                <w:b/>
                <w:bCs/>
                <w:color w:val="FFFFFF"/>
                <w:sz w:val="19"/>
                <w:szCs w:val="19"/>
              </w:rPr>
              <w:t>99% 1-day</w:t>
            </w:r>
          </w:p>
        </w:tc>
        <w:tc>
          <w:tcPr>
            <w:tcW w:w="155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18297832" w14:textId="77777777" w:rsidR="0023211C" w:rsidRDefault="00000000">
            <w:pPr>
              <w:jc w:val="right"/>
            </w:pPr>
            <w:r>
              <w:rPr>
                <w:b/>
                <w:bCs/>
                <w:color w:val="FFFFFF"/>
                <w:sz w:val="19"/>
                <w:szCs w:val="19"/>
              </w:rPr>
              <w:t>95% 10-day</w:t>
            </w:r>
          </w:p>
        </w:tc>
        <w:tc>
          <w:tcPr>
            <w:tcW w:w="155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09F4E584" w14:textId="77777777" w:rsidR="0023211C" w:rsidRDefault="00000000">
            <w:pPr>
              <w:jc w:val="right"/>
            </w:pPr>
            <w:r>
              <w:rPr>
                <w:b/>
                <w:bCs/>
                <w:color w:val="FFFFFF"/>
                <w:sz w:val="19"/>
                <w:szCs w:val="19"/>
              </w:rPr>
              <w:t>99% 10-day</w:t>
            </w:r>
          </w:p>
        </w:tc>
      </w:tr>
      <w:tr w:rsidR="0023211C" w14:paraId="4C4C0525" w14:textId="77777777">
        <w:tblPrEx>
          <w:tblCellMar>
            <w:top w:w="0" w:type="dxa"/>
            <w:bottom w:w="0" w:type="dxa"/>
          </w:tblCellMar>
        </w:tblPrEx>
        <w:tc>
          <w:tcPr>
            <w:tcW w:w="3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392D1F7" w14:textId="77777777" w:rsidR="0023211C" w:rsidRDefault="00000000">
            <w:r>
              <w:rPr>
                <w:sz w:val="19"/>
                <w:szCs w:val="19"/>
              </w:rPr>
              <w:t>Historical Simulation</w:t>
            </w:r>
          </w:p>
        </w:tc>
        <w:tc>
          <w:tcPr>
            <w:tcW w:w="155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28DD73B" w14:textId="77777777" w:rsidR="0023211C" w:rsidRDefault="00000000">
            <w:pPr>
              <w:jc w:val="right"/>
            </w:pPr>
            <w:r>
              <w:rPr>
                <w:sz w:val="19"/>
                <w:szCs w:val="19"/>
              </w:rPr>
              <w:t>11,683.91</w:t>
            </w:r>
          </w:p>
        </w:tc>
        <w:tc>
          <w:tcPr>
            <w:tcW w:w="155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686DEDB" w14:textId="77777777" w:rsidR="0023211C" w:rsidRDefault="00000000">
            <w:pPr>
              <w:jc w:val="right"/>
            </w:pPr>
            <w:r>
              <w:rPr>
                <w:sz w:val="19"/>
                <w:szCs w:val="19"/>
              </w:rPr>
              <w:t>14,647.67</w:t>
            </w:r>
          </w:p>
        </w:tc>
        <w:tc>
          <w:tcPr>
            <w:tcW w:w="155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F204B1B" w14:textId="77777777" w:rsidR="0023211C" w:rsidRDefault="00000000">
            <w:pPr>
              <w:jc w:val="right"/>
            </w:pPr>
            <w:r>
              <w:rPr>
                <w:sz w:val="19"/>
                <w:szCs w:val="19"/>
              </w:rPr>
              <w:t>36,947.77</w:t>
            </w:r>
          </w:p>
        </w:tc>
        <w:tc>
          <w:tcPr>
            <w:tcW w:w="155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4EE1297" w14:textId="77777777" w:rsidR="0023211C" w:rsidRDefault="00000000">
            <w:pPr>
              <w:jc w:val="right"/>
            </w:pPr>
            <w:r>
              <w:rPr>
                <w:sz w:val="19"/>
                <w:szCs w:val="19"/>
              </w:rPr>
              <w:t>46,319.99</w:t>
            </w:r>
          </w:p>
        </w:tc>
      </w:tr>
      <w:tr w:rsidR="0023211C" w14:paraId="0E06B590" w14:textId="77777777">
        <w:tblPrEx>
          <w:tblCellMar>
            <w:top w:w="0" w:type="dxa"/>
            <w:bottom w:w="0" w:type="dxa"/>
          </w:tblCellMar>
        </w:tblPrEx>
        <w:tc>
          <w:tcPr>
            <w:tcW w:w="316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1B6E3190" w14:textId="77777777" w:rsidR="0023211C" w:rsidRDefault="00000000">
            <w:r>
              <w:rPr>
                <w:sz w:val="19"/>
                <w:szCs w:val="19"/>
              </w:rPr>
              <w:t>Parametric (Var-Cov)</w:t>
            </w:r>
          </w:p>
        </w:tc>
        <w:tc>
          <w:tcPr>
            <w:tcW w:w="155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6D7021F9" w14:textId="77777777" w:rsidR="0023211C" w:rsidRDefault="00000000">
            <w:pPr>
              <w:jc w:val="right"/>
            </w:pPr>
            <w:r>
              <w:rPr>
                <w:sz w:val="19"/>
                <w:szCs w:val="19"/>
              </w:rPr>
              <w:t>9,142.48</w:t>
            </w:r>
          </w:p>
        </w:tc>
        <w:tc>
          <w:tcPr>
            <w:tcW w:w="155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01D4444C" w14:textId="77777777" w:rsidR="0023211C" w:rsidRDefault="00000000">
            <w:pPr>
              <w:jc w:val="right"/>
            </w:pPr>
            <w:r>
              <w:rPr>
                <w:sz w:val="19"/>
                <w:szCs w:val="19"/>
              </w:rPr>
              <w:t>12,927.30</w:t>
            </w:r>
          </w:p>
        </w:tc>
        <w:tc>
          <w:tcPr>
            <w:tcW w:w="155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474CCE3B" w14:textId="77777777" w:rsidR="0023211C" w:rsidRDefault="00000000">
            <w:pPr>
              <w:jc w:val="right"/>
            </w:pPr>
            <w:r>
              <w:rPr>
                <w:sz w:val="19"/>
                <w:szCs w:val="19"/>
              </w:rPr>
              <w:t>28,911.05</w:t>
            </w:r>
          </w:p>
        </w:tc>
        <w:tc>
          <w:tcPr>
            <w:tcW w:w="1550" w:type="dxa"/>
            <w:tcBorders>
              <w:top w:val="single" w:sz="1" w:space="0" w:color="BBBBBB"/>
              <w:left w:val="single" w:sz="1" w:space="0" w:color="BBBBBB"/>
              <w:bottom w:val="single" w:sz="1" w:space="0" w:color="BBBBBB"/>
              <w:right w:val="single" w:sz="1" w:space="0" w:color="BBBBBB"/>
            </w:tcBorders>
            <w:shd w:val="clear" w:color="auto" w:fill="EAF1F7"/>
            <w:tcMar>
              <w:top w:w="70" w:type="dxa"/>
              <w:left w:w="120" w:type="dxa"/>
              <w:bottom w:w="70" w:type="dxa"/>
              <w:right w:w="120" w:type="dxa"/>
            </w:tcMar>
            <w:vAlign w:val="center"/>
          </w:tcPr>
          <w:p w14:paraId="6890973C" w14:textId="77777777" w:rsidR="0023211C" w:rsidRDefault="00000000">
            <w:pPr>
              <w:jc w:val="right"/>
            </w:pPr>
            <w:r>
              <w:rPr>
                <w:sz w:val="19"/>
                <w:szCs w:val="19"/>
              </w:rPr>
              <w:t>40,879.70</w:t>
            </w:r>
          </w:p>
        </w:tc>
      </w:tr>
      <w:tr w:rsidR="0023211C" w14:paraId="6E77302F" w14:textId="77777777">
        <w:tblPrEx>
          <w:tblCellMar>
            <w:top w:w="0" w:type="dxa"/>
            <w:bottom w:w="0" w:type="dxa"/>
          </w:tblCellMar>
        </w:tblPrEx>
        <w:tc>
          <w:tcPr>
            <w:tcW w:w="316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327003D8" w14:textId="77777777" w:rsidR="0023211C" w:rsidRDefault="00000000">
            <w:r>
              <w:rPr>
                <w:b/>
                <w:bCs/>
                <w:sz w:val="19"/>
                <w:szCs w:val="19"/>
              </w:rPr>
              <w:t>Difference (HS - Parametric)</w:t>
            </w:r>
          </w:p>
        </w:tc>
        <w:tc>
          <w:tcPr>
            <w:tcW w:w="155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0E504798" w14:textId="77777777" w:rsidR="0023211C" w:rsidRDefault="00000000">
            <w:pPr>
              <w:jc w:val="right"/>
            </w:pPr>
            <w:r>
              <w:rPr>
                <w:b/>
                <w:bCs/>
                <w:sz w:val="19"/>
                <w:szCs w:val="19"/>
              </w:rPr>
              <w:t>2,541.43</w:t>
            </w:r>
          </w:p>
        </w:tc>
        <w:tc>
          <w:tcPr>
            <w:tcW w:w="155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38D748B1" w14:textId="77777777" w:rsidR="0023211C" w:rsidRDefault="00000000">
            <w:pPr>
              <w:jc w:val="right"/>
            </w:pPr>
            <w:r>
              <w:rPr>
                <w:b/>
                <w:bCs/>
                <w:sz w:val="19"/>
                <w:szCs w:val="19"/>
              </w:rPr>
              <w:t>1,720.37</w:t>
            </w:r>
          </w:p>
        </w:tc>
        <w:tc>
          <w:tcPr>
            <w:tcW w:w="155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360C8A2A" w14:textId="77777777" w:rsidR="0023211C" w:rsidRDefault="00000000">
            <w:pPr>
              <w:jc w:val="right"/>
            </w:pPr>
            <w:r>
              <w:rPr>
                <w:b/>
                <w:bCs/>
                <w:sz w:val="19"/>
                <w:szCs w:val="19"/>
              </w:rPr>
              <w:t>8,036.72</w:t>
            </w:r>
          </w:p>
        </w:tc>
        <w:tc>
          <w:tcPr>
            <w:tcW w:w="1550" w:type="dxa"/>
            <w:tcBorders>
              <w:top w:val="single" w:sz="1" w:space="0" w:color="BBBBBB"/>
              <w:left w:val="single" w:sz="1" w:space="0" w:color="BBBBBB"/>
              <w:bottom w:val="single" w:sz="1" w:space="0" w:color="BBBBBB"/>
              <w:right w:val="single" w:sz="1" w:space="0" w:color="BBBBBB"/>
            </w:tcBorders>
            <w:shd w:val="clear" w:color="auto" w:fill="D9E2EC"/>
            <w:tcMar>
              <w:top w:w="70" w:type="dxa"/>
              <w:left w:w="120" w:type="dxa"/>
              <w:bottom w:w="70" w:type="dxa"/>
              <w:right w:w="120" w:type="dxa"/>
            </w:tcMar>
            <w:vAlign w:val="center"/>
          </w:tcPr>
          <w:p w14:paraId="1A1D3B43" w14:textId="77777777" w:rsidR="0023211C" w:rsidRDefault="00000000">
            <w:pPr>
              <w:jc w:val="right"/>
            </w:pPr>
            <w:r>
              <w:rPr>
                <w:b/>
                <w:bCs/>
                <w:sz w:val="19"/>
                <w:szCs w:val="19"/>
              </w:rPr>
              <w:t>5,440.29</w:t>
            </w:r>
          </w:p>
        </w:tc>
      </w:tr>
    </w:tbl>
    <w:p w14:paraId="6D8079C7" w14:textId="77777777" w:rsidR="0023211C" w:rsidRDefault="00000000">
      <w:pPr>
        <w:spacing w:after="200"/>
        <w:jc w:val="center"/>
      </w:pPr>
      <w:r>
        <w:rPr>
          <w:i/>
          <w:iCs/>
          <w:color w:val="555555"/>
          <w:sz w:val="18"/>
          <w:szCs w:val="18"/>
        </w:rPr>
        <w:t xml:space="preserve">Table 2. Side-by-side comparison of </w:t>
      </w:r>
      <w:proofErr w:type="spellStart"/>
      <w:r>
        <w:rPr>
          <w:i/>
          <w:iCs/>
          <w:color w:val="555555"/>
          <w:sz w:val="18"/>
          <w:szCs w:val="18"/>
        </w:rPr>
        <w:t>VaR</w:t>
      </w:r>
      <w:proofErr w:type="spellEnd"/>
      <w:r>
        <w:rPr>
          <w:i/>
          <w:iCs/>
          <w:color w:val="555555"/>
          <w:sz w:val="18"/>
          <w:szCs w:val="18"/>
        </w:rPr>
        <w:t xml:space="preserve"> estimates (INR).</w:t>
      </w:r>
    </w:p>
    <w:p w14:paraId="74CCA720" w14:textId="77777777" w:rsidR="0023211C" w:rsidRDefault="00000000">
      <w:pPr>
        <w:spacing w:after="110" w:line="258" w:lineRule="auto"/>
        <w:jc w:val="both"/>
      </w:pPr>
      <w:r>
        <w:rPr>
          <w:sz w:val="21"/>
          <w:szCs w:val="21"/>
        </w:rPr>
        <w:t>The gap between the methods is the most useful result. Historical Simulation is larger because the actual returns have fatter tails than a normal distribution assumes, a feature known as leptokurtosis. In plain terms, big down days happened more often than a bell curve would predict, so the Parametric method understates how bad the worst days can be.</w:t>
      </w:r>
    </w:p>
    <w:p w14:paraId="6A345CC0" w14:textId="77777777" w:rsidR="0023211C" w:rsidRDefault="00000000">
      <w:pPr>
        <w:pStyle w:val="Heading1"/>
      </w:pPr>
      <w:r>
        <w:t>10. Conclusion and Recommendations</w:t>
      </w:r>
    </w:p>
    <w:p w14:paraId="75D721C4" w14:textId="77777777" w:rsidR="0023211C" w:rsidRDefault="00000000">
      <w:pPr>
        <w:spacing w:line="258" w:lineRule="auto"/>
        <w:jc w:val="both"/>
      </w:pPr>
      <w:r>
        <w:rPr>
          <w:sz w:val="21"/>
          <w:szCs w:val="21"/>
        </w:rPr>
        <w:t xml:space="preserve">Both methods agree on the broad scale of risk but differ on the tails. For this portfolio the Historical Simulation method gives a more cautious and realistic picture, since it captures the larger losses that actually occurred, while the Parametric method remains useful as a quick, clean estimate. Going forward, the portfolio could be back tested to check how often real losses breached the </w:t>
      </w:r>
      <w:proofErr w:type="spellStart"/>
      <w:r>
        <w:rPr>
          <w:sz w:val="21"/>
          <w:szCs w:val="21"/>
        </w:rPr>
        <w:t>VaR</w:t>
      </w:r>
      <w:proofErr w:type="spellEnd"/>
      <w:r>
        <w:rPr>
          <w:sz w:val="21"/>
          <w:szCs w:val="21"/>
        </w:rPr>
        <w:t xml:space="preserve"> levels, an Expected Shortfall measure could be added to capture the average loss beyond the </w:t>
      </w:r>
      <w:proofErr w:type="spellStart"/>
      <w:r>
        <w:rPr>
          <w:sz w:val="21"/>
          <w:szCs w:val="21"/>
        </w:rPr>
        <w:t>VaR</w:t>
      </w:r>
      <w:proofErr w:type="spellEnd"/>
      <w:r>
        <w:rPr>
          <w:sz w:val="21"/>
          <w:szCs w:val="21"/>
        </w:rPr>
        <w:t xml:space="preserve"> point, and the weights of the most volatile names, Godrej Industries and Adani Enterprises, could be reviewed to lower overall risk if desired.</w:t>
      </w:r>
    </w:p>
    <w:sectPr w:rsidR="0023211C">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877B" w14:textId="77777777" w:rsidR="0067582D" w:rsidRDefault="0067582D">
      <w:r>
        <w:separator/>
      </w:r>
    </w:p>
  </w:endnote>
  <w:endnote w:type="continuationSeparator" w:id="0">
    <w:p w14:paraId="7CA12B5A" w14:textId="77777777" w:rsidR="0067582D" w:rsidRDefault="00675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C964" w14:textId="77777777" w:rsidR="0023211C" w:rsidRDefault="00000000">
    <w:pPr>
      <w:pBdr>
        <w:top w:val="single" w:sz="4" w:space="6" w:color="1F3A5F"/>
      </w:pBdr>
      <w:jc w:val="center"/>
    </w:pPr>
    <w:proofErr w:type="spellStart"/>
    <w:r>
      <w:rPr>
        <w:color w:val="555555"/>
        <w:sz w:val="16"/>
        <w:szCs w:val="16"/>
      </w:rPr>
      <w:t>VaR</w:t>
    </w:r>
    <w:proofErr w:type="spellEnd"/>
    <w:r>
      <w:rPr>
        <w:color w:val="555555"/>
        <w:sz w:val="16"/>
        <w:szCs w:val="16"/>
      </w:rPr>
      <w:t xml:space="preserve"> Report  |  Advait Srivastava  |  2022A4PS1181H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6440E5">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CADD" w14:textId="77777777" w:rsidR="0067582D" w:rsidRDefault="0067582D">
      <w:r>
        <w:separator/>
      </w:r>
    </w:p>
  </w:footnote>
  <w:footnote w:type="continuationSeparator" w:id="0">
    <w:p w14:paraId="2445CAB3" w14:textId="77777777" w:rsidR="0067582D" w:rsidRDefault="00675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4F3"/>
    <w:multiLevelType w:val="hybridMultilevel"/>
    <w:tmpl w:val="0270DFAC"/>
    <w:lvl w:ilvl="0" w:tplc="68FC1520">
      <w:start w:val="1"/>
      <w:numFmt w:val="bullet"/>
      <w:lvlText w:val="●"/>
      <w:lvlJc w:val="left"/>
      <w:pPr>
        <w:ind w:left="720" w:hanging="360"/>
      </w:pPr>
    </w:lvl>
    <w:lvl w:ilvl="1" w:tplc="D2D246B6">
      <w:start w:val="1"/>
      <w:numFmt w:val="bullet"/>
      <w:lvlText w:val="○"/>
      <w:lvlJc w:val="left"/>
      <w:pPr>
        <w:ind w:left="1440" w:hanging="360"/>
      </w:pPr>
    </w:lvl>
    <w:lvl w:ilvl="2" w:tplc="36D84884">
      <w:start w:val="1"/>
      <w:numFmt w:val="bullet"/>
      <w:lvlText w:val="■"/>
      <w:lvlJc w:val="left"/>
      <w:pPr>
        <w:ind w:left="2160" w:hanging="360"/>
      </w:pPr>
    </w:lvl>
    <w:lvl w:ilvl="3" w:tplc="5A62B3B0">
      <w:start w:val="1"/>
      <w:numFmt w:val="bullet"/>
      <w:lvlText w:val="●"/>
      <w:lvlJc w:val="left"/>
      <w:pPr>
        <w:ind w:left="2880" w:hanging="360"/>
      </w:pPr>
    </w:lvl>
    <w:lvl w:ilvl="4" w:tplc="F49EDDFE">
      <w:start w:val="1"/>
      <w:numFmt w:val="bullet"/>
      <w:lvlText w:val="○"/>
      <w:lvlJc w:val="left"/>
      <w:pPr>
        <w:ind w:left="3600" w:hanging="360"/>
      </w:pPr>
    </w:lvl>
    <w:lvl w:ilvl="5" w:tplc="D33C41E2">
      <w:start w:val="1"/>
      <w:numFmt w:val="bullet"/>
      <w:lvlText w:val="■"/>
      <w:lvlJc w:val="left"/>
      <w:pPr>
        <w:ind w:left="4320" w:hanging="360"/>
      </w:pPr>
    </w:lvl>
    <w:lvl w:ilvl="6" w:tplc="DB7A7456">
      <w:start w:val="1"/>
      <w:numFmt w:val="bullet"/>
      <w:lvlText w:val="●"/>
      <w:lvlJc w:val="left"/>
      <w:pPr>
        <w:ind w:left="5040" w:hanging="360"/>
      </w:pPr>
    </w:lvl>
    <w:lvl w:ilvl="7" w:tplc="A1FE2814">
      <w:start w:val="1"/>
      <w:numFmt w:val="bullet"/>
      <w:lvlText w:val="●"/>
      <w:lvlJc w:val="left"/>
      <w:pPr>
        <w:ind w:left="5760" w:hanging="360"/>
      </w:pPr>
    </w:lvl>
    <w:lvl w:ilvl="8" w:tplc="D832A386">
      <w:start w:val="1"/>
      <w:numFmt w:val="bullet"/>
      <w:lvlText w:val="●"/>
      <w:lvlJc w:val="left"/>
      <w:pPr>
        <w:ind w:left="6480" w:hanging="360"/>
      </w:pPr>
    </w:lvl>
  </w:abstractNum>
  <w:num w:numId="1" w16cid:durableId="1694259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11C"/>
    <w:rsid w:val="000A2F64"/>
    <w:rsid w:val="0023211C"/>
    <w:rsid w:val="006440E5"/>
    <w:rsid w:val="00675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F626C3"/>
  <w15:docId w15:val="{153A457E-F37A-C24C-B6DB-C22009896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3E7CB1"/>
      </w:pBdr>
      <w:spacing w:before="160" w:after="90"/>
      <w:outlineLvl w:val="0"/>
    </w:pPr>
    <w:rPr>
      <w:b/>
      <w:bCs/>
      <w:color w:val="1F3A5F"/>
      <w:sz w:val="25"/>
      <w:szCs w:val="25"/>
    </w:rPr>
  </w:style>
  <w:style w:type="paragraph" w:styleId="Heading2">
    <w:name w:val="heading 2"/>
    <w:uiPriority w:val="9"/>
    <w:semiHidden/>
    <w:unhideWhenUsed/>
    <w:qFormat/>
    <w:pPr>
      <w:spacing w:before="180" w:after="100"/>
      <w:outlineLvl w:val="1"/>
    </w:pPr>
    <w:rPr>
      <w:b/>
      <w:bCs/>
      <w:color w:val="1F3A5F"/>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1084</Words>
  <Characters>6181</Characters>
  <Application>Microsoft Office Word</Application>
  <DocSecurity>0</DocSecurity>
  <Lines>51</Lines>
  <Paragraphs>14</Paragraphs>
  <ScaleCrop>false</ScaleCrop>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Srivastava</cp:lastModifiedBy>
  <cp:revision>2</cp:revision>
  <dcterms:created xsi:type="dcterms:W3CDTF">2026-06-14T11:40:00Z</dcterms:created>
  <dcterms:modified xsi:type="dcterms:W3CDTF">2026-06-14T11:42:00Z</dcterms:modified>
</cp:coreProperties>
</file>