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D9772B"/>
          <w:sz w:val="28"/>
          <w:szCs w:val="28"/>
        </w:rPr>
        <w:t xml:space="preserve">PRODUCT REQUIREMENTS DOCUMENT</w:t>
      </w:r>
    </w:p>
    <w:p>
      <w:pPr>
        <w:pBdr>
          <w:bottom w:val="single" w:color="1F3354" w:sz="12" w:space="4"/>
        </w:pBdr>
        <w:spacing w:after="0" w:before="240"/>
      </w:pPr>
      <w:r>
        <w:rPr>
          <w:b/>
          <w:bCs/>
          <w:color w:val="1F3354"/>
          <w:sz w:val="56"/>
          <w:szCs w:val="56"/>
        </w:rPr>
        <w:t xml:space="preserve">Enterprise Autonomous Decision</w:t>
      </w:r>
    </w:p>
    <w:p>
      <w:pPr>
        <w:spacing w:after="200" w:before="60"/>
      </w:pPr>
      <w:r>
        <w:rPr>
          <w:b/>
          <w:bCs/>
          <w:color w:val="1F3354"/>
          <w:sz w:val="56"/>
          <w:szCs w:val="56"/>
        </w:rPr>
        <w:t xml:space="preserve">Intelligence Platform (EADIP)</w:t>
      </w:r>
    </w:p>
    <w:p>
      <w:pPr>
        <w:spacing w:after="600"/>
      </w:pPr>
      <w:r>
        <w:rPr>
          <w:i/>
          <w:iCs/>
          <w:color w:val="6B7280"/>
          <w:sz w:val="26"/>
          <w:szCs w:val="26"/>
        </w:rPr>
        <w:t xml:space="preserve">An Enterprise AI Operating System for Autonomous Decision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Document type</w:t>
            </w:r>
          </w:p>
        </w:tc>
        <w:tc>
          <w:tcPr>
            <w:tcW w:type="dxa" w:w="6560"/>
            <w:tcBorders>
              <w:top w:val="single" w:color="C7D2E0" w:sz="1"/>
              <w:left w:val="single" w:color="C7D2E0" w:sz="1"/>
              <w:bottom w:val="single" w:color="C7D2E0" w:sz="1"/>
              <w:right w:val="single" w:color="C7D2E0" w:sz="1"/>
            </w:tcBorders>
            <w:shd w:fill="EAF0F7" w:val="clear"/>
            <w:tcMar>
              <w:top w:type="dxa" w:w="60"/>
              <w:left w:type="dxa" w:w="110"/>
              <w:bottom w:type="dxa" w:w="60"/>
              <w:right w:type="dxa" w:w="110"/>
            </w:tcMar>
            <w:vAlign w:val="center"/>
          </w:tcPr>
          <w:p>
            <w:pPr>
              <w:spacing w:after="0" w:line="252"/>
            </w:pPr>
            <w:r>
              <w:rPr>
                <w:sz w:val="19"/>
                <w:szCs w:val="19"/>
              </w:rPr>
              <w:t xml:space="preserve">Product Requirements Document (PRD)</w:t>
            </w:r>
          </w:p>
        </w:tc>
      </w:tr>
      <w:tr>
        <w:tc>
          <w:tcPr>
            <w:tcW w:type="dxa" w:w="28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Status</w:t>
            </w:r>
          </w:p>
        </w:tc>
        <w:tc>
          <w:tcPr>
            <w:tcW w:type="dxa" w:w="65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Draft for Principal review — v1.0</w:t>
            </w:r>
          </w:p>
        </w:tc>
      </w:tr>
      <w:tr>
        <w:tc>
          <w:tcPr>
            <w:tcW w:type="dxa" w:w="28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Classification</w:t>
            </w:r>
          </w:p>
        </w:tc>
        <w:tc>
          <w:tcPr>
            <w:tcW w:type="dxa" w:w="6560"/>
            <w:tcBorders>
              <w:top w:val="single" w:color="C7D2E0" w:sz="1"/>
              <w:left w:val="single" w:color="C7D2E0" w:sz="1"/>
              <w:bottom w:val="single" w:color="C7D2E0" w:sz="1"/>
              <w:right w:val="single" w:color="C7D2E0" w:sz="1"/>
            </w:tcBorders>
            <w:shd w:fill="EAF0F7" w:val="clear"/>
            <w:tcMar>
              <w:top w:type="dxa" w:w="60"/>
              <w:left w:type="dxa" w:w="110"/>
              <w:bottom w:type="dxa" w:w="60"/>
              <w:right w:type="dxa" w:w="110"/>
            </w:tcMar>
            <w:vAlign w:val="center"/>
          </w:tcPr>
          <w:p>
            <w:pPr>
              <w:spacing w:after="0" w:line="252"/>
            </w:pPr>
            <w:r>
              <w:rPr>
                <w:sz w:val="19"/>
                <w:szCs w:val="19"/>
              </w:rPr>
              <w:t xml:space="preserve">Internal / Confidential</w:t>
            </w:r>
          </w:p>
        </w:tc>
      </w:tr>
      <w:tr>
        <w:tc>
          <w:tcPr>
            <w:tcW w:type="dxa" w:w="28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Owner</w:t>
            </w:r>
          </w:p>
        </w:tc>
        <w:tc>
          <w:tcPr>
            <w:tcW w:type="dxa" w:w="65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Product Management — Decision Intelligence</w:t>
            </w:r>
          </w:p>
        </w:tc>
      </w:tr>
      <w:tr>
        <w:tc>
          <w:tcPr>
            <w:tcW w:type="dxa" w:w="28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Reviewers</w:t>
            </w:r>
          </w:p>
        </w:tc>
        <w:tc>
          <w:tcPr>
            <w:tcW w:type="dxa" w:w="6560"/>
            <w:tcBorders>
              <w:top w:val="single" w:color="C7D2E0" w:sz="1"/>
              <w:left w:val="single" w:color="C7D2E0" w:sz="1"/>
              <w:bottom w:val="single" w:color="C7D2E0" w:sz="1"/>
              <w:right w:val="single" w:color="C7D2E0" w:sz="1"/>
            </w:tcBorders>
            <w:shd w:fill="EAF0F7" w:val="clear"/>
            <w:tcMar>
              <w:top w:type="dxa" w:w="60"/>
              <w:left w:type="dxa" w:w="110"/>
              <w:bottom w:type="dxa" w:w="60"/>
              <w:right w:type="dxa" w:w="110"/>
            </w:tcMar>
            <w:vAlign w:val="center"/>
          </w:tcPr>
          <w:p>
            <w:pPr>
              <w:spacing w:after="0" w:line="252"/>
            </w:pPr>
            <w:r>
              <w:rPr>
                <w:sz w:val="19"/>
                <w:szCs w:val="19"/>
              </w:rPr>
              <w:t xml:space="preserve">Principal Engineering, AI Architecture, Security, Privacy/Legal</w:t>
            </w:r>
          </w:p>
        </w:tc>
      </w:tr>
      <w:tr>
        <w:tc>
          <w:tcPr>
            <w:tcW w:type="dxa" w:w="28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Companion document</w:t>
            </w:r>
          </w:p>
        </w:tc>
        <w:tc>
          <w:tcPr>
            <w:tcW w:type="dxa" w:w="65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Technical Architecture Document (TAD), EADIP-TAD-v1.0</w:t>
            </w:r>
          </w:p>
        </w:tc>
      </w:tr>
      <w:tr>
        <w:tc>
          <w:tcPr>
            <w:tcW w:type="dxa" w:w="28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Date</w:t>
            </w:r>
          </w:p>
        </w:tc>
        <w:tc>
          <w:tcPr>
            <w:tcW w:type="dxa" w:w="6560"/>
            <w:tcBorders>
              <w:top w:val="single" w:color="C7D2E0" w:sz="1"/>
              <w:left w:val="single" w:color="C7D2E0" w:sz="1"/>
              <w:bottom w:val="single" w:color="C7D2E0" w:sz="1"/>
              <w:right w:val="single" w:color="C7D2E0" w:sz="1"/>
            </w:tcBorders>
            <w:shd w:fill="EAF0F7" w:val="clear"/>
            <w:tcMar>
              <w:top w:type="dxa" w:w="60"/>
              <w:left w:type="dxa" w:w="110"/>
              <w:bottom w:type="dxa" w:w="60"/>
              <w:right w:type="dxa" w:w="110"/>
            </w:tcMar>
            <w:vAlign w:val="center"/>
          </w:tcPr>
          <w:p>
            <w:pPr>
              <w:spacing w:after="0" w:line="252"/>
            </w:pPr>
            <w:r>
              <w:rPr>
                <w:sz w:val="19"/>
                <w:szCs w:val="19"/>
              </w:rPr>
              <w:t xml:space="preserve">2026</w:t>
            </w:r>
          </w:p>
        </w:tc>
      </w:tr>
    </w:tbl>
    <w:p>
      <w:pPr>
        <w:spacing w:before="500"/>
      </w:pPr>
      <w:r>
        <w:rPr>
          <w:i/>
          <w:iCs/>
          <w:color w:val="6B7280"/>
          <w:sz w:val="17"/>
          <w:szCs w:val="17"/>
        </w:rPr>
        <w:t xml:space="preserve">Confidential — do not distribute outside the organization. This document describes a target-state product and is written to be implementable; figures and projections are planning estimates, not commitments.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The Enterprise Autonomous Decision Intelligence Platform (EADIP) is an enterprise AI operating system that turns natural-language business questions into verified, explainable, evidence-backed recommendations. Unlike a chat assistant that returns text, EADIP autonomously interprets a goal, plans a multi-step investigation, retrieves enterprise knowledge, queries governed data, calls enterprise tools through the Model Context Protocol (MCP), reasons over the assembled evidence, verifies its own conclusions, and produces an executive-grade answer with full provenance.</w:t>
      </w:r>
    </w:p>
    <w:p>
      <w:pPr>
        <w:spacing w:after="120" w:line="276"/>
      </w:pPr>
      <w:r>
        <w:t xml:space="preserve">The platform is designed for questions that today require a cross-functional analyst team and several days of work — “Why did revenue decrease this quarter?”, “Which suppliers are becoming risky?”, “What should leadership prioritize this week?” EADIP compresses that work from days to minutes while keeping a human in the loop for any action with material consequence.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0F7" w:sz="2"/>
              <w:left w:val="single" w:color="D9772B" w:sz="18"/>
              <w:bottom w:val="single" w:color="EAF0F7" w:sz="2"/>
              <w:right w:val="single" w:color="EAF0F7" w:sz="2"/>
            </w:tcBorders>
            <w:shd w:fill="EAF0F7" w:val="clear"/>
            <w:tcMar>
              <w:top w:type="dxa" w:w="120"/>
              <w:left w:type="dxa" w:w="160"/>
              <w:bottom w:type="dxa" w:w="120"/>
              <w:right w:type="dxa" w:w="160"/>
            </w:tcMar>
          </w:tcPr>
          <w:p>
            <w:pPr>
              <w:spacing w:after="60"/>
            </w:pPr>
            <w:r>
              <w:rPr>
                <w:b/>
                <w:bCs/>
                <w:color w:val="1F3354"/>
                <w:sz w:val="20"/>
                <w:szCs w:val="20"/>
              </w:rPr>
              <w:t xml:space="preserve">What makes EADIP different</w:t>
            </w:r>
          </w:p>
          <w:p>
            <w:pPr>
              <w:spacing w:after="40" w:line="264"/>
            </w:pPr>
            <w:r>
              <w:rPr>
                <w:sz w:val="19"/>
                <w:szCs w:val="19"/>
              </w:rPr>
              <w:t xml:space="preserve">MCP-first: every enterprise system is treated as a governed tool, so the platform extends without bespoke integration code.</w:t>
            </w:r>
          </w:p>
          <w:p>
            <w:pPr>
              <w:spacing w:after="40" w:line="264"/>
            </w:pPr>
            <w:r>
              <w:rPr>
                <w:sz w:val="19"/>
                <w:szCs w:val="19"/>
              </w:rPr>
              <w:t xml:space="preserve">Verification-native: a dedicated Verification Agent independently re-checks every quantitative claim before it reaches a user.</w:t>
            </w:r>
          </w:p>
          <w:p>
            <w:pPr>
              <w:spacing w:after="40" w:line="264"/>
            </w:pPr>
            <w:r>
              <w:rPr>
                <w:sz w:val="19"/>
                <w:szCs w:val="19"/>
              </w:rPr>
              <w:t xml:space="preserve">Explainable by construction: every recommendation ships with its plan, evidence, queries run, and confidence — not just an answer.</w:t>
            </w:r>
          </w:p>
          <w:p>
            <w:pPr>
              <w:spacing w:after="40" w:line="264"/>
            </w:pPr>
            <w:r>
              <w:rPr>
                <w:sz w:val="19"/>
                <w:szCs w:val="19"/>
              </w:rPr>
              <w:t xml:space="preserve">Governed autonomy: the system acts freely on read-only investigation but routes any write or high-impact action through human approval.</w:t>
            </w:r>
          </w:p>
        </w:tc>
      </w:tr>
    </w:tbl>
    <w:p>
      <w:pPr>
        <w:spacing w:after="120" w:line="276"/>
      </w:pPr>
      <w:r>
        <w:rPr>
          <w:b/>
          <w:bCs/>
        </w:rPr>
        <w:t xml:space="preserve">Primary outcome. </w:t>
      </w:r>
      <w:r>
        <w:t xml:space="preserve">Reduce the time-to-insight for complex, multi-source business questions from days to minutes, while raising trust through transparent evidence and independent verification.</w:t>
      </w:r>
    </w:p>
    <w:p>
      <w:pPr>
        <w:spacing w:after="120" w:line="276"/>
      </w:pPr>
      <w:r>
        <w:rPr>
          <w:b/>
          <w:bCs/>
        </w:rPr>
        <w:t xml:space="preserve">Why now. </w:t>
      </w:r>
      <w:r>
        <w:t xml:space="preserve">Three capabilities have matured simultaneously: reliable tool-calling and structured outputs from frontier models, a standard protocol (MCP) for connecting models to enterprise systems, and production-grade agent orchestration (LangGraph) with retries, loops, and human-in-the-loop checkpoints. EADIP is the integration of these into a governed product.</w:t>
      </w:r>
    </w:p>
    <w:p>
      <w:pPr>
        <w:spacing w:after="120" w:line="276"/>
      </w:pPr>
      <w:r>
        <w:rPr>
          <w:b/>
          <w:bCs/>
        </w:rPr>
        <w:t xml:space="preserve">Scope of this document. </w:t>
      </w:r>
      <w:r>
        <w:t xml:space="preserve">This PRD defines the product: the problem, customers, personas, market, requirements (functional and non-functional), success metrics, scope boundaries, risks, security/privacy/compliance posture, and the release plan. The companion Technical Architecture Document (TAD) specifies how the system is built.</w:t>
      </w:r>
    </w:p>
    <w:p>
      <w:pPr>
        <w:pStyle w:val="Heading1"/>
      </w:pPr>
      <w:r>
        <w:t xml:space="preserve">2. Product Vision</w:t>
      </w:r>
    </w:p>
    <w:p>
      <w:pPr>
        <w:spacing w:after="120" w:line="276"/>
      </w:pPr>
      <w:r>
        <w:t xml:space="preserve">Every employee should be able to ask the organization a hard question in plain language and receive an answer of the same quality a senior analyst would produce after days of work — in minutes, with the evidence attached.</w:t>
      </w:r>
    </w:p>
    <w:p>
      <w:pPr>
        <w:spacing w:after="120" w:line="276"/>
      </w:pPr>
      <w:r>
        <w:t xml:space="preserve">EADIP is positioned as an Enterprise AI Operating System for decision intelligence: a single platform that sits above the enterprise data and tool estate, understands intent, orchestrates specialized agents, and returns verified recommendations. It is explicitly not a chatbot and not a single large prompt. It is an autonomous investigator with governed access to the systems where the answers actually live.</w:t>
      </w:r>
    </w:p>
    <w:p>
      <w:pPr>
        <w:pStyle w:val="Heading2"/>
      </w:pPr>
      <w:r>
        <w:t xml:space="preserve">2.1 Vision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Pillar</w:t>
            </w:r>
          </w:p>
        </w:tc>
        <w:tc>
          <w:tcPr>
            <w:tcW w:type="dxa" w:w="36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What it means</w:t>
            </w:r>
          </w:p>
        </w:tc>
        <w:tc>
          <w:tcPr>
            <w:tcW w:type="dxa" w:w="36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How EADIP delivers it</w:t>
            </w:r>
          </w:p>
        </w:tc>
      </w:tr>
      <w:tr>
        <w:tc>
          <w:tcPr>
            <w:tcW w:type="dxa" w:w="2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Autonomy with guardrails</w:t>
            </w:r>
          </w:p>
        </w:tc>
        <w:tc>
          <w:tcPr>
            <w:tcW w:type="dxa" w:w="36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The system plans and executes investigations on its own, but never takes consequential action without approval.</w:t>
            </w:r>
          </w:p>
        </w:tc>
        <w:tc>
          <w:tcPr>
            <w:tcW w:type="dxa" w:w="36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Planner + Orchestrator run read-only investigations freely; a Human Approval node gates all writes and high-impact actions.</w:t>
            </w:r>
          </w:p>
        </w:tc>
      </w:tr>
      <w:tr>
        <w:tc>
          <w:tcPr>
            <w:tcW w:type="dxa" w:w="2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Truth over fluency</w:t>
            </w:r>
          </w:p>
        </w:tc>
        <w:tc>
          <w:tcPr>
            <w:tcW w:type="dxa" w:w="36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A confident-sounding answer is worthless if it is wrong. Correctness is the product.</w:t>
            </w:r>
          </w:p>
        </w:tc>
        <w:tc>
          <w:tcPr>
            <w:tcW w:type="dxa" w:w="36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Independent Verification Agent re-derives quantitative claims; unverifiable claims are flagged, not hidden.</w:t>
            </w:r>
          </w:p>
        </w:tc>
      </w:tr>
      <w:tr>
        <w:tc>
          <w:tcPr>
            <w:tcW w:type="dxa" w:w="2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Explainability by default</w:t>
            </w:r>
          </w:p>
        </w:tc>
        <w:tc>
          <w:tcPr>
            <w:tcW w:type="dxa" w:w="36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Decision-makers must see why, not just what.</w:t>
            </w:r>
          </w:p>
        </w:tc>
        <w:tc>
          <w:tcPr>
            <w:tcW w:type="dxa" w:w="36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Every answer carries plan, queries, sources, assumptions, and a calibrated confidence score.</w:t>
            </w:r>
          </w:p>
        </w:tc>
      </w:tr>
      <w:tr>
        <w:tc>
          <w:tcPr>
            <w:tcW w:type="dxa" w:w="2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Connect, don't rebuild</w:t>
            </w:r>
          </w:p>
        </w:tc>
        <w:tc>
          <w:tcPr>
            <w:tcW w:type="dxa" w:w="36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The platform must extend to new systems without months of integration.</w:t>
            </w:r>
          </w:p>
        </w:tc>
        <w:tc>
          <w:tcPr>
            <w:tcW w:type="dxa" w:w="36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MCP-first architecture: new systems are onboarded as MCP servers with declarative permissions.</w:t>
            </w:r>
          </w:p>
        </w:tc>
      </w:tr>
      <w:tr>
        <w:tc>
          <w:tcPr>
            <w:tcW w:type="dxa" w:w="2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Governed access</w:t>
            </w:r>
          </w:p>
        </w:tc>
        <w:tc>
          <w:tcPr>
            <w:tcW w:type="dxa" w:w="36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Answers must respect the same permissions as the source systems.</w:t>
            </w:r>
          </w:p>
        </w:tc>
        <w:tc>
          <w:tcPr>
            <w:tcW w:type="dxa" w:w="36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Row/column-level access is enforced at retrieval and query time, per user identity.</w:t>
            </w:r>
          </w:p>
        </w:tc>
      </w:tr>
    </w:tbl>
    <w:p>
      <w:pPr>
        <w:pStyle w:val="Heading1"/>
      </w:pPr>
      <w:r>
        <w:t xml:space="preserve">3. Product Goals</w:t>
      </w:r>
    </w:p>
    <w:p>
      <w:pPr>
        <w:spacing w:after="120" w:line="276"/>
      </w:pPr>
      <w:r>
        <w:t xml:space="preserve">The product is steered by a small number of measurable goals. Each goal has a target that is restated quantitatively in Sections 13–14.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60"/>
        <w:gridCol w:w="4300"/>
      </w:tblGrid>
      <w:tr>
        <w:trPr>
          <w:tblHeader/>
        </w:trPr>
        <w:tc>
          <w:tcPr>
            <w:tcW w:type="dxa" w:w="7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w:t>
            </w:r>
          </w:p>
        </w:tc>
        <w:tc>
          <w:tcPr>
            <w:tcW w:type="dxa" w:w="43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Goal</w:t>
            </w:r>
          </w:p>
        </w:tc>
        <w:tc>
          <w:tcPr>
            <w:tcW w:type="dxa" w:w="43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Target (12 months post-GA)</w:t>
            </w:r>
          </w:p>
        </w:tc>
      </w:tr>
      <w:tr>
        <w:tc>
          <w:tcPr>
            <w:tcW w:type="dxa" w:w="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G1</w:t>
            </w:r>
          </w:p>
        </w:tc>
        <w:tc>
          <w:tcPr>
            <w:tcW w:type="dxa" w:w="43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Compress time-to-insight for complex questions</w:t>
            </w:r>
          </w:p>
        </w:tc>
        <w:tc>
          <w:tcPr>
            <w:tcW w:type="dxa" w:w="4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Median end-to-end investigation under 4 minutes for benchmark question set</w:t>
            </w:r>
          </w:p>
        </w:tc>
      </w:tr>
      <w:tr>
        <w:tc>
          <w:tcPr>
            <w:tcW w:type="dxa" w:w="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G2</w:t>
            </w:r>
          </w:p>
        </w:tc>
        <w:tc>
          <w:tcPr>
            <w:tcW w:type="dxa" w:w="43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Earn analyst trust through verified accuracy</w:t>
            </w:r>
          </w:p>
        </w:tc>
        <w:tc>
          <w:tcPr>
            <w:tcW w:type="dxa" w:w="4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 92% factual accuracy on the gold-standard evaluation set; verified-claim coverage ≥ 95%</w:t>
            </w:r>
          </w:p>
        </w:tc>
      </w:tr>
      <w:tr>
        <w:tc>
          <w:tcPr>
            <w:tcW w:type="dxa" w:w="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G3</w:t>
            </w:r>
          </w:p>
        </w:tc>
        <w:tc>
          <w:tcPr>
            <w:tcW w:type="dxa" w:w="43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Make every answer explainable and auditable</w:t>
            </w:r>
          </w:p>
        </w:tc>
        <w:tc>
          <w:tcPr>
            <w:tcW w:type="dxa" w:w="4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100% of answers carry plan + evidence + provenance; full audit trail retained</w:t>
            </w:r>
          </w:p>
        </w:tc>
      </w:tr>
      <w:tr>
        <w:tc>
          <w:tcPr>
            <w:tcW w:type="dxa" w:w="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G4</w:t>
            </w:r>
          </w:p>
        </w:tc>
        <w:tc>
          <w:tcPr>
            <w:tcW w:type="dxa" w:w="43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Extend cheaply via MCP</w:t>
            </w:r>
          </w:p>
        </w:tc>
        <w:tc>
          <w:tcPr>
            <w:tcW w:type="dxa" w:w="4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New enterprise system onboarded as a tool in ≤ 5 engineering-days median</w:t>
            </w:r>
          </w:p>
        </w:tc>
      </w:tr>
      <w:tr>
        <w:tc>
          <w:tcPr>
            <w:tcW w:type="dxa" w:w="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G5</w:t>
            </w:r>
          </w:p>
        </w:tc>
        <w:tc>
          <w:tcPr>
            <w:tcW w:type="dxa" w:w="43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Keep autonomy safe</w:t>
            </w:r>
          </w:p>
        </w:tc>
        <w:tc>
          <w:tcPr>
            <w:tcW w:type="dxa" w:w="4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Zero unapproved write actions in production; 100% of high-impact actions human-approved</w:t>
            </w:r>
          </w:p>
        </w:tc>
      </w:tr>
      <w:tr>
        <w:tc>
          <w:tcPr>
            <w:tcW w:type="dxa" w:w="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G6</w:t>
            </w:r>
          </w:p>
        </w:tc>
        <w:tc>
          <w:tcPr>
            <w:tcW w:type="dxa" w:w="43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Drive adoption and stickiness</w:t>
            </w:r>
          </w:p>
        </w:tc>
        <w:tc>
          <w:tcPr>
            <w:tcW w:type="dxa" w:w="4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 40% weekly active rate among licensed analysts; ≥ 60% answer-acceptance rate</w:t>
            </w:r>
          </w:p>
        </w:tc>
      </w:tr>
    </w:tbl>
    <w:p>
      <w:pPr>
        <w:pStyle w:val="Heading1"/>
      </w:pPr>
      <w:r>
        <w:t xml:space="preserve">4. Business Problem</w:t>
      </w:r>
    </w:p>
    <w:p>
      <w:pPr>
        <w:spacing w:after="120" w:line="276"/>
      </w:pPr>
      <w:r>
        <w:t xml:space="preserve">Enterprises sit on enormous, well-instrumented data estates yet still struggle to answer pointed business questions quickly. The bottleneck is not data availability — it is the human labor of assembling, cross-checking, and explaining evidence that lives across dozens of systems.</w:t>
      </w:r>
    </w:p>
    <w:p>
      <w:pPr>
        <w:pStyle w:val="Heading2"/>
      </w:pPr>
      <w:r>
        <w:t xml:space="preserve">4.1 The cost of the status quo</w:t>
      </w:r>
    </w:p>
    <w:p>
      <w:pPr>
        <w:pStyle w:val="ListParagraph"/>
        <w:numPr>
          <w:ilvl w:val="0"/>
          <w:numId w:val="2"/>
        </w:numPr>
        <w:spacing w:after="60" w:line="268"/>
      </w:pPr>
      <w:r>
        <w:rPr>
          <w:b w:val="false"/>
          <w:bCs w:val="false"/>
        </w:rPr>
        <w:t xml:space="preserve">Insight latency. A question like “why did margin fall in EMEA?” routinely takes an analyst team 2–5 days: pulling warehouse extracts, reconciling definitions, checking dashboards, chasing context in docs and Slack.</w:t>
      </w:r>
    </w:p>
    <w:p>
      <w:pPr>
        <w:pStyle w:val="ListParagraph"/>
        <w:numPr>
          <w:ilvl w:val="0"/>
          <w:numId w:val="2"/>
        </w:numPr>
        <w:spacing w:after="60" w:line="268"/>
      </w:pPr>
      <w:r>
        <w:rPr>
          <w:b w:val="false"/>
          <w:bCs w:val="false"/>
        </w:rPr>
        <w:t xml:space="preserve">Fragmented knowledge. The answer is split across the warehouse (numbers), BI tools (definitions), wikis/Confluence (context), tickets and email (events), and people's heads (judgment). No single tool spans all five.</w:t>
      </w:r>
    </w:p>
    <w:p>
      <w:pPr>
        <w:pStyle w:val="ListParagraph"/>
        <w:numPr>
          <w:ilvl w:val="0"/>
          <w:numId w:val="2"/>
        </w:numPr>
        <w:spacing w:after="60" w:line="268"/>
      </w:pPr>
      <w:r>
        <w:rPr>
          <w:b w:val="false"/>
          <w:bCs w:val="false"/>
        </w:rPr>
        <w:t xml:space="preserve">Inconsistent definitions. The same KPI is computed differently across teams, so answers conflict and trust erodes.</w:t>
      </w:r>
    </w:p>
    <w:p>
      <w:pPr>
        <w:pStyle w:val="ListParagraph"/>
        <w:numPr>
          <w:ilvl w:val="0"/>
          <w:numId w:val="2"/>
        </w:numPr>
        <w:spacing w:after="60" w:line="268"/>
      </w:pPr>
      <w:r>
        <w:rPr>
          <w:b w:val="false"/>
          <w:bCs w:val="false"/>
        </w:rPr>
        <w:t xml:space="preserve">Unscalable expertise. Only a handful of senior analysts can run an end-to-end investigation; everyone else queues behind them.</w:t>
      </w:r>
    </w:p>
    <w:p>
      <w:pPr>
        <w:pStyle w:val="ListParagraph"/>
        <w:numPr>
          <w:ilvl w:val="0"/>
          <w:numId w:val="2"/>
        </w:numPr>
        <w:spacing w:after="60" w:line="268"/>
      </w:pPr>
      <w:r>
        <w:rPr>
          <w:b w:val="false"/>
          <w:bCs w:val="false"/>
        </w:rPr>
        <w:t xml:space="preserve">Opaque AI tools. First-generation copilots answer fluently but cannot show their work or guarantee a number, so they are untrusted for decisions that matter.</w:t>
      </w:r>
    </w:p>
    <w:p>
      <w:pPr>
        <w:pStyle w:val="Heading2"/>
      </w:pPr>
      <w:r>
        <w:t xml:space="preserve">4.2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7FB" w:sz="2"/>
              <w:left w:val="single" w:color="D9772B" w:sz="18"/>
              <w:bottom w:val="single" w:color="F4F7FB" w:sz="2"/>
              <w:right w:val="single" w:color="F4F7FB" w:sz="2"/>
            </w:tcBorders>
            <w:shd w:fill="F4F7FB" w:val="clear"/>
            <w:tcMar>
              <w:top w:type="dxa" w:w="120"/>
              <w:left w:type="dxa" w:w="160"/>
              <w:bottom w:type="dxa" w:w="120"/>
              <w:right w:type="dxa" w:w="160"/>
            </w:tcMar>
          </w:tcPr>
          <w:p>
            <w:pPr>
              <w:spacing w:after="40" w:line="264"/>
            </w:pPr>
            <w:r>
              <w:rPr>
                <w:sz w:val="19"/>
                <w:szCs w:val="19"/>
              </w:rPr>
              <w:t xml:space="preserve">Knowledge workers cannot get fast, trustworthy, explainable answers to complex business questions because the evidence is fragmented across many governed systems and assembling it requires scarce expert labor. Existing AI assistants are fluent but unverified and opaque, so they are not trusted for consequential decisions.</w:t>
            </w:r>
          </w:p>
        </w:tc>
      </w:tr>
    </w:tbl>
    <w:p>
      <w:pPr>
        <w:pStyle w:val="Heading2"/>
      </w:pPr>
      <w:r>
        <w:t xml:space="preserve">4.3 Why existing tooling does not solve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rPr>
          <w:tblHeader/>
        </w:trPr>
        <w:tc>
          <w:tcPr>
            <w:tcW w:type="dxa" w:w="20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Tooling category</w:t>
            </w:r>
          </w:p>
        </w:tc>
        <w:tc>
          <w:tcPr>
            <w:tcW w:type="dxa" w:w="33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What it does well</w:t>
            </w:r>
          </w:p>
        </w:tc>
        <w:tc>
          <w:tcPr>
            <w:tcW w:type="dxa" w:w="40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Where it falls short for this problem</w:t>
            </w:r>
          </w:p>
        </w:tc>
      </w:tr>
      <w:tr>
        <w:tc>
          <w:tcPr>
            <w:tcW w:type="dxa" w:w="20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BI dashboards</w:t>
            </w:r>
          </w:p>
        </w:tc>
        <w:tc>
          <w:tcPr>
            <w:tcW w:type="dxa" w:w="3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Pre-defined metrics, fast visual reads</w:t>
            </w:r>
          </w:p>
        </w:tc>
        <w:tc>
          <w:tcPr>
            <w:tcW w:type="dxa" w:w="40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Answer “what” not “why”; cannot investigate novel questions</w:t>
            </w:r>
          </w:p>
        </w:tc>
      </w:tr>
      <w:tr>
        <w:tc>
          <w:tcPr>
            <w:tcW w:type="dxa" w:w="20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Enterprise search</w:t>
            </w:r>
          </w:p>
        </w:tc>
        <w:tc>
          <w:tcPr>
            <w:tcW w:type="dxa" w:w="3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Finds documents</w:t>
            </w:r>
          </w:p>
        </w:tc>
        <w:tc>
          <w:tcPr>
            <w:tcW w:type="dxa" w:w="40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Returns links, not synthesized answers or numbers</w:t>
            </w:r>
          </w:p>
        </w:tc>
      </w:tr>
      <w:tr>
        <w:tc>
          <w:tcPr>
            <w:tcW w:type="dxa" w:w="20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SQL notebooks</w:t>
            </w:r>
          </w:p>
        </w:tc>
        <w:tc>
          <w:tcPr>
            <w:tcW w:type="dxa" w:w="3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Flexible analysis</w:t>
            </w:r>
          </w:p>
        </w:tc>
        <w:tc>
          <w:tcPr>
            <w:tcW w:type="dxa" w:w="40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Require expert authors; no autonomy, no verification</w:t>
            </w:r>
          </w:p>
        </w:tc>
      </w:tr>
      <w:tr>
        <w:tc>
          <w:tcPr>
            <w:tcW w:type="dxa" w:w="20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Generic LLM chat</w:t>
            </w:r>
          </w:p>
        </w:tc>
        <w:tc>
          <w:tcPr>
            <w:tcW w:type="dxa" w:w="3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Fluent natural language</w:t>
            </w:r>
          </w:p>
        </w:tc>
        <w:tc>
          <w:tcPr>
            <w:tcW w:type="dxa" w:w="40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No governed data access, no verification, no provenance</w:t>
            </w:r>
          </w:p>
        </w:tc>
      </w:tr>
      <w:tr>
        <w:tc>
          <w:tcPr>
            <w:tcW w:type="dxa" w:w="20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Point copilots</w:t>
            </w:r>
          </w:p>
        </w:tc>
        <w:tc>
          <w:tcPr>
            <w:tcW w:type="dxa" w:w="3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In-app assistance</w:t>
            </w:r>
          </w:p>
        </w:tc>
        <w:tc>
          <w:tcPr>
            <w:tcW w:type="dxa" w:w="40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Siloed to one tool; cannot reason across the estate</w:t>
            </w:r>
          </w:p>
        </w:tc>
      </w:tr>
    </w:tbl>
    <w:p>
      <w:pPr>
        <w:pStyle w:val="Heading1"/>
      </w:pPr>
      <w:r>
        <w:t xml:space="preserve">5. Target Customers</w:t>
      </w:r>
    </w:p>
    <w:p>
      <w:pPr>
        <w:spacing w:after="120" w:line="276"/>
      </w:pPr>
      <w:r>
        <w:t xml:space="preserve">EADIP targets large and upper-mid-market enterprises with mature data estates, multiple source systems, and a regulatory obligation to explain decisions.</w:t>
      </w:r>
    </w:p>
    <w:p>
      <w:pPr>
        <w:pStyle w:val="Heading2"/>
      </w:pPr>
      <w:r>
        <w:t xml:space="preserve">5.1 Firmographics (ideal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Attribute</w:t>
            </w:r>
          </w:p>
        </w:tc>
        <w:tc>
          <w:tcPr>
            <w:tcW w:type="dxa" w:w="69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Ideal profile</w:t>
            </w:r>
          </w:p>
        </w:tc>
      </w:tr>
      <w:tr>
        <w:tc>
          <w:tcPr>
            <w:tcW w:type="dxa" w:w="24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Company size</w:t>
            </w:r>
          </w:p>
        </w:tc>
        <w:tc>
          <w:tcPr>
            <w:tcW w:type="dxa" w:w="69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1,000+ employees; data/analytics function of 20+ people</w:t>
            </w:r>
          </w:p>
        </w:tc>
      </w:tr>
      <w:tr>
        <w:tc>
          <w:tcPr>
            <w:tcW w:type="dxa" w:w="24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Industry</w:t>
            </w:r>
          </w:p>
        </w:tc>
        <w:tc>
          <w:tcPr>
            <w:tcW w:type="dxa" w:w="69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Financial services, insurance, logistics/airlines, healthcare payers, manufacturing, telecom, energy, public sector</w:t>
            </w:r>
          </w:p>
        </w:tc>
      </w:tr>
      <w:tr>
        <w:tc>
          <w:tcPr>
            <w:tcW w:type="dxa" w:w="24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Data maturity</w:t>
            </w:r>
          </w:p>
        </w:tc>
        <w:tc>
          <w:tcPr>
            <w:tcW w:type="dxa" w:w="69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Cloud warehouse (Snowflake/BigQuery/Databricks), BI tooling, documented metrics layer</w:t>
            </w:r>
          </w:p>
        </w:tc>
      </w:tr>
      <w:tr>
        <w:tc>
          <w:tcPr>
            <w:tcW w:type="dxa" w:w="24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Systems estate</w:t>
            </w:r>
          </w:p>
        </w:tc>
        <w:tc>
          <w:tcPr>
            <w:tcW w:type="dxa" w:w="69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10+ systems of record reachable via API or database (ERP, CRM, ticketing, wiki, comms)</w:t>
            </w:r>
          </w:p>
        </w:tc>
      </w:tr>
      <w:tr>
        <w:tc>
          <w:tcPr>
            <w:tcW w:type="dxa" w:w="24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Buying center</w:t>
            </w:r>
          </w:p>
        </w:tc>
        <w:tc>
          <w:tcPr>
            <w:tcW w:type="dxa" w:w="69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Chief Data Officer / VP Analytics as economic buyer; CISO and Head of Compliance as approvers</w:t>
            </w:r>
          </w:p>
        </w:tc>
      </w:tr>
      <w:tr>
        <w:tc>
          <w:tcPr>
            <w:tcW w:type="dxa" w:w="24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Regulatory pressure</w:t>
            </w:r>
          </w:p>
        </w:tc>
        <w:tc>
          <w:tcPr>
            <w:tcW w:type="dxa" w:w="69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Operates under SOX, GDPR, HIPAA, or sector regulators requiring decision auditability</w:t>
            </w:r>
          </w:p>
        </w:tc>
      </w:tr>
    </w:tbl>
    <w:p>
      <w:pPr>
        <w:pStyle w:val="Heading2"/>
      </w:pPr>
      <w:r>
        <w:t xml:space="preserve">5.2 Buying triggers</w:t>
      </w:r>
    </w:p>
    <w:p>
      <w:pPr>
        <w:pStyle w:val="ListParagraph"/>
        <w:numPr>
          <w:ilvl w:val="0"/>
          <w:numId w:val="2"/>
        </w:numPr>
        <w:spacing w:after="60" w:line="268"/>
      </w:pPr>
      <w:r>
        <w:rPr>
          <w:b w:val="false"/>
          <w:bCs w:val="false"/>
        </w:rPr>
        <w:t xml:space="preserve">A board-level mandate to “become AI-native” with measurable productivity outcomes.</w:t>
      </w:r>
    </w:p>
    <w:p>
      <w:pPr>
        <w:pStyle w:val="ListParagraph"/>
        <w:numPr>
          <w:ilvl w:val="0"/>
          <w:numId w:val="2"/>
        </w:numPr>
        <w:spacing w:after="60" w:line="268"/>
      </w:pPr>
      <w:r>
        <w:rPr>
          <w:b w:val="false"/>
          <w:bCs w:val="false"/>
        </w:rPr>
        <w:t xml:space="preserve">Analyst hiring cannot keep pace with demand for ad-hoc investigations.</w:t>
      </w:r>
    </w:p>
    <w:p>
      <w:pPr>
        <w:pStyle w:val="ListParagraph"/>
        <w:numPr>
          <w:ilvl w:val="0"/>
          <w:numId w:val="2"/>
        </w:numPr>
        <w:spacing w:after="60" w:line="268"/>
      </w:pPr>
      <w:r>
        <w:rPr>
          <w:b w:val="false"/>
          <w:bCs w:val="false"/>
        </w:rPr>
        <w:t xml:space="preserve">A failed or distrusted first-generation copilot rollout that lacked verification and governance.</w:t>
      </w:r>
    </w:p>
    <w:p>
      <w:pPr>
        <w:pStyle w:val="ListParagraph"/>
        <w:numPr>
          <w:ilvl w:val="0"/>
          <w:numId w:val="2"/>
        </w:numPr>
        <w:spacing w:after="60" w:line="268"/>
      </w:pPr>
      <w:r>
        <w:rPr>
          <w:b w:val="false"/>
          <w:bCs w:val="false"/>
        </w:rPr>
        <w:t xml:space="preserve">An audit or incident that exposed how slow and manual root-cause analysis is today.</w:t>
      </w:r>
    </w:p>
    <w:p>
      <w:pPr>
        <w:pStyle w:val="Heading1"/>
      </w:pPr>
      <w:r>
        <w:t xml:space="preserve">6. User Personas</w:t>
      </w:r>
    </w:p>
    <w:p>
      <w:pPr>
        <w:spacing w:after="120" w:line="276"/>
      </w:pPr>
      <w:r>
        <w:t xml:space="preserve">EADIP serves four primary personas and two secondary (administrative) personas. Requirements throughout this document trace back to these personas.</w:t>
      </w:r>
    </w:p>
    <w:p>
      <w:pPr>
        <w:pStyle w:val="Heading3"/>
      </w:pPr>
      <w:r>
        <w:t xml:space="preserve">P1 — Priya, Senior Business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Dimension</w:t>
            </w:r>
          </w:p>
        </w:tc>
        <w:tc>
          <w:tcPr>
            <w:tcW w:type="dxa" w:w="72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Detail</w:t>
            </w:r>
          </w:p>
        </w:tc>
      </w:tr>
      <w:tr>
        <w:tc>
          <w:tcPr>
            <w:tcW w:type="dxa" w:w="2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Role</w:t>
            </w:r>
          </w:p>
        </w:tc>
        <w:tc>
          <w:tcPr>
            <w:tcW w:type="dxa" w:w="7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Runs ad-hoc investigations for a business unit; the person everyone queues behind.</w:t>
            </w:r>
          </w:p>
        </w:tc>
      </w:tr>
      <w:tr>
        <w:tc>
          <w:tcPr>
            <w:tcW w:type="dxa" w:w="2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Top goals</w:t>
            </w:r>
          </w:p>
        </w:tc>
        <w:tc>
          <w:tcPr>
            <w:tcW w:type="dxa" w:w="7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Answer “why” questions fast; defend every number; stop being a bottleneck.</w:t>
            </w:r>
          </w:p>
        </w:tc>
      </w:tr>
      <w:tr>
        <w:tc>
          <w:tcPr>
            <w:tcW w:type="dxa" w:w="2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Key pains today</w:t>
            </w:r>
          </w:p>
        </w:tc>
        <w:tc>
          <w:tcPr>
            <w:tcW w:type="dxa" w:w="7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Days lost reconciling data across systems; repetitive root-cause work; no time for strategic analysis.</w:t>
            </w:r>
          </w:p>
        </w:tc>
      </w:tr>
      <w:tr>
        <w:tc>
          <w:tcPr>
            <w:tcW w:type="dxa" w:w="2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What success looks like</w:t>
            </w:r>
          </w:p>
        </w:tc>
        <w:tc>
          <w:tcPr>
            <w:tcW w:type="dxa" w:w="7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Hands routine investigations to EADIP, reviews and signs off in minutes, focuses on judgment.</w:t>
            </w:r>
          </w:p>
        </w:tc>
      </w:tr>
    </w:tbl>
    <w:p>
      <w:pPr>
        <w:spacing w:after="80"/>
      </w:pPr>
      <w:r>
        <w:t xml:space="preserve"/>
      </w:r>
    </w:p>
    <w:p>
      <w:pPr>
        <w:pStyle w:val="Heading3"/>
      </w:pPr>
      <w:r>
        <w:t xml:space="preserve">P2 — David, VP / Functional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Dimension</w:t>
            </w:r>
          </w:p>
        </w:tc>
        <w:tc>
          <w:tcPr>
            <w:tcW w:type="dxa" w:w="72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Detail</w:t>
            </w:r>
          </w:p>
        </w:tc>
      </w:tr>
      <w:tr>
        <w:tc>
          <w:tcPr>
            <w:tcW w:type="dxa" w:w="2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Role</w:t>
            </w:r>
          </w:p>
        </w:tc>
        <w:tc>
          <w:tcPr>
            <w:tcW w:type="dxa" w:w="7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Owns a P&amp;L or operational area; needs decisions, not dashboards.</w:t>
            </w:r>
          </w:p>
        </w:tc>
      </w:tr>
      <w:tr>
        <w:tc>
          <w:tcPr>
            <w:tcW w:type="dxa" w:w="2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Top goals</w:t>
            </w:r>
          </w:p>
        </w:tc>
        <w:tc>
          <w:tcPr>
            <w:tcW w:type="dxa" w:w="7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Understand drivers behind a metric move; know what to prioritize this week.</w:t>
            </w:r>
          </w:p>
        </w:tc>
      </w:tr>
      <w:tr>
        <w:tc>
          <w:tcPr>
            <w:tcW w:type="dxa" w:w="2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Key pains today</w:t>
            </w:r>
          </w:p>
        </w:tc>
        <w:tc>
          <w:tcPr>
            <w:tcW w:type="dxa" w:w="7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Waits days for analyst answers; receives conflicting numbers; cannot self-serve.</w:t>
            </w:r>
          </w:p>
        </w:tc>
      </w:tr>
      <w:tr>
        <w:tc>
          <w:tcPr>
            <w:tcW w:type="dxa" w:w="2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What success looks like</w:t>
            </w:r>
          </w:p>
        </w:tc>
        <w:tc>
          <w:tcPr>
            <w:tcW w:type="dxa" w:w="7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Asks a question directly, gets a verified recommendation with evidence he can trust in a meeting.</w:t>
            </w:r>
          </w:p>
        </w:tc>
      </w:tr>
    </w:tbl>
    <w:p>
      <w:pPr>
        <w:spacing w:after="80"/>
      </w:pPr>
      <w:r>
        <w:t xml:space="preserve"/>
      </w:r>
    </w:p>
    <w:p>
      <w:pPr>
        <w:pStyle w:val="Heading3"/>
      </w:pPr>
      <w:r>
        <w:t xml:space="preserve">P3 — Sara, Data/Platform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Dimension</w:t>
            </w:r>
          </w:p>
        </w:tc>
        <w:tc>
          <w:tcPr>
            <w:tcW w:type="dxa" w:w="72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Detail</w:t>
            </w:r>
          </w:p>
        </w:tc>
      </w:tr>
      <w:tr>
        <w:tc>
          <w:tcPr>
            <w:tcW w:type="dxa" w:w="2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Role</w:t>
            </w:r>
          </w:p>
        </w:tc>
        <w:tc>
          <w:tcPr>
            <w:tcW w:type="dxa" w:w="7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Owns the data platform and the systems EADIP connects to.</w:t>
            </w:r>
          </w:p>
        </w:tc>
      </w:tr>
      <w:tr>
        <w:tc>
          <w:tcPr>
            <w:tcW w:type="dxa" w:w="2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Top goals</w:t>
            </w:r>
          </w:p>
        </w:tc>
        <w:tc>
          <w:tcPr>
            <w:tcW w:type="dxa" w:w="7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Onboard new sources safely; keep access governed; avoid bespoke integration debt.</w:t>
            </w:r>
          </w:p>
        </w:tc>
      </w:tr>
      <w:tr>
        <w:tc>
          <w:tcPr>
            <w:tcW w:type="dxa" w:w="2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Key pains today</w:t>
            </w:r>
          </w:p>
        </w:tc>
        <w:tc>
          <w:tcPr>
            <w:tcW w:type="dxa" w:w="7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Every new AI tool wants custom pipelines; hard to enforce permissions across tools.</w:t>
            </w:r>
          </w:p>
        </w:tc>
      </w:tr>
      <w:tr>
        <w:tc>
          <w:tcPr>
            <w:tcW w:type="dxa" w:w="2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What success looks like</w:t>
            </w:r>
          </w:p>
        </w:tc>
        <w:tc>
          <w:tcPr>
            <w:tcW w:type="dxa" w:w="7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Registers a system as an MCP server with declarative permissions; governance is automatic.</w:t>
            </w:r>
          </w:p>
        </w:tc>
      </w:tr>
    </w:tbl>
    <w:p>
      <w:pPr>
        <w:spacing w:after="80"/>
      </w:pPr>
      <w:r>
        <w:t xml:space="preserve"/>
      </w:r>
    </w:p>
    <w:p>
      <w:pPr>
        <w:pStyle w:val="Heading3"/>
      </w:pPr>
      <w:r>
        <w:t xml:space="preserve">P4 — Marcus, Executive (C-suite)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Dimension</w:t>
            </w:r>
          </w:p>
        </w:tc>
        <w:tc>
          <w:tcPr>
            <w:tcW w:type="dxa" w:w="72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Detail</w:t>
            </w:r>
          </w:p>
        </w:tc>
      </w:tr>
      <w:tr>
        <w:tc>
          <w:tcPr>
            <w:tcW w:type="dxa" w:w="2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Role</w:t>
            </w:r>
          </w:p>
        </w:tc>
        <w:tc>
          <w:tcPr>
            <w:tcW w:type="dxa" w:w="7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Consumes the highest-level outputs; accountable for decisions.</w:t>
            </w:r>
          </w:p>
        </w:tc>
      </w:tr>
      <w:tr>
        <w:tc>
          <w:tcPr>
            <w:tcW w:type="dxa" w:w="2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Top goals</w:t>
            </w:r>
          </w:p>
        </w:tc>
        <w:tc>
          <w:tcPr>
            <w:tcW w:type="dxa" w:w="7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Trust the recommendation; see the reasoning at a glance; act with confidence.</w:t>
            </w:r>
          </w:p>
        </w:tc>
      </w:tr>
      <w:tr>
        <w:tc>
          <w:tcPr>
            <w:tcW w:type="dxa" w:w="2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Key pains today</w:t>
            </w:r>
          </w:p>
        </w:tc>
        <w:tc>
          <w:tcPr>
            <w:tcW w:type="dxa" w:w="7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Opaque AI he cannot defend to the board; slow human reporting cycles.</w:t>
            </w:r>
          </w:p>
        </w:tc>
      </w:tr>
      <w:tr>
        <w:tc>
          <w:tcPr>
            <w:tcW w:type="dxa" w:w="2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What success looks like</w:t>
            </w:r>
          </w:p>
        </w:tc>
        <w:tc>
          <w:tcPr>
            <w:tcW w:type="dxa" w:w="7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Reads a one-page executive brief with confidence and provenance; drills down only if needed.</w:t>
            </w:r>
          </w:p>
        </w:tc>
      </w:tr>
    </w:tbl>
    <w:p>
      <w:pPr>
        <w:spacing w:after="80"/>
      </w:pPr>
      <w:r>
        <w:t xml:space="preserve"/>
      </w:r>
    </w:p>
    <w:p>
      <w:pPr>
        <w:pStyle w:val="Heading2"/>
      </w:pPr>
      <w:r>
        <w:t xml:space="preserve">6.1 Secondary personas</w:t>
      </w:r>
    </w:p>
    <w:p>
      <w:pPr>
        <w:pStyle w:val="Heading3"/>
      </w:pPr>
      <w:r>
        <w:t xml:space="preserve">P5 — Lena, Platform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Dimension</w:t>
            </w:r>
          </w:p>
        </w:tc>
        <w:tc>
          <w:tcPr>
            <w:tcW w:type="dxa" w:w="72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Detail</w:t>
            </w:r>
          </w:p>
        </w:tc>
      </w:tr>
      <w:tr>
        <w:tc>
          <w:tcPr>
            <w:tcW w:type="dxa" w:w="2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Role</w:t>
            </w:r>
          </w:p>
        </w:tc>
        <w:tc>
          <w:tcPr>
            <w:tcW w:type="dxa" w:w="7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Configures tenants, roles, models, prompts, and connectors.</w:t>
            </w:r>
          </w:p>
        </w:tc>
      </w:tr>
      <w:tr>
        <w:tc>
          <w:tcPr>
            <w:tcW w:type="dxa" w:w="2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Top goals</w:t>
            </w:r>
          </w:p>
        </w:tc>
        <w:tc>
          <w:tcPr>
            <w:tcW w:type="dxa" w:w="7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Control cost and access; manage prompt versions and model routing safely.</w:t>
            </w:r>
          </w:p>
        </w:tc>
      </w:tr>
      <w:tr>
        <w:tc>
          <w:tcPr>
            <w:tcW w:type="dxa" w:w="2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Key pains today</w:t>
            </w:r>
          </w:p>
        </w:tc>
        <w:tc>
          <w:tcPr>
            <w:tcW w:type="dxa" w:w="7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No central place to govern AI behavior, spend, and permissions.</w:t>
            </w:r>
          </w:p>
        </w:tc>
      </w:tr>
      <w:tr>
        <w:tc>
          <w:tcPr>
            <w:tcW w:type="dxa" w:w="2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What success looks like</w:t>
            </w:r>
          </w:p>
        </w:tc>
        <w:tc>
          <w:tcPr>
            <w:tcW w:type="dxa" w:w="7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Uses the Administration Portal to manage RBAC, prompts, model routing, and budgets.</w:t>
            </w:r>
          </w:p>
        </w:tc>
      </w:tr>
    </w:tbl>
    <w:p>
      <w:pPr>
        <w:spacing w:after="80"/>
      </w:pPr>
      <w:r>
        <w:t xml:space="preserve"/>
      </w:r>
    </w:p>
    <w:p>
      <w:pPr>
        <w:pStyle w:val="Heading3"/>
      </w:pPr>
      <w:r>
        <w:t xml:space="preserve">P6 — Omar, Compliance / Risk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Dimension</w:t>
            </w:r>
          </w:p>
        </w:tc>
        <w:tc>
          <w:tcPr>
            <w:tcW w:type="dxa" w:w="72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Detail</w:t>
            </w:r>
          </w:p>
        </w:tc>
      </w:tr>
      <w:tr>
        <w:tc>
          <w:tcPr>
            <w:tcW w:type="dxa" w:w="2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Role</w:t>
            </w:r>
          </w:p>
        </w:tc>
        <w:tc>
          <w:tcPr>
            <w:tcW w:type="dxa" w:w="7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Ensures decisions and data handling are auditable and compliant.</w:t>
            </w:r>
          </w:p>
        </w:tc>
      </w:tr>
      <w:tr>
        <w:tc>
          <w:tcPr>
            <w:tcW w:type="dxa" w:w="2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Top goals</w:t>
            </w:r>
          </w:p>
        </w:tc>
        <w:tc>
          <w:tcPr>
            <w:tcW w:type="dxa" w:w="7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Prove every answer's lineage; enforce data-handling policy; review autonomy.</w:t>
            </w:r>
          </w:p>
        </w:tc>
      </w:tr>
      <w:tr>
        <w:tc>
          <w:tcPr>
            <w:tcW w:type="dxa" w:w="2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Key pains today</w:t>
            </w:r>
          </w:p>
        </w:tc>
        <w:tc>
          <w:tcPr>
            <w:tcW w:type="dxa" w:w="7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AI tools that cannot explain or log what they did.</w:t>
            </w:r>
          </w:p>
        </w:tc>
      </w:tr>
      <w:tr>
        <w:tc>
          <w:tcPr>
            <w:tcW w:type="dxa" w:w="2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What success looks like</w:t>
            </w:r>
          </w:p>
        </w:tc>
        <w:tc>
          <w:tcPr>
            <w:tcW w:type="dxa" w:w="7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Reviews complete audit logs and approval records; signs off on autonomy policy.</w:t>
            </w:r>
          </w:p>
        </w:tc>
      </w:tr>
    </w:tbl>
    <w:p>
      <w:pPr>
        <w:spacing w:after="80"/>
      </w:pPr>
      <w:r>
        <w:t xml:space="preserve"/>
      </w:r>
    </w:p>
    <w:p>
      <w:pPr>
        <w:pStyle w:val="Heading1"/>
      </w:pPr>
      <w:r>
        <w:t xml:space="preserve">7. Market Opportunity</w:t>
      </w:r>
    </w:p>
    <w:p>
      <w:pPr>
        <w:spacing w:after="120" w:line="276"/>
      </w:pPr>
      <w:r>
        <w:t xml:space="preserve">EADIP sits at the intersection of four established and fast-growing software markets: enterprise AI platforms, business intelligence and analytics, enterprise search/knowledge, and the emerging category of agentic AI. The wedge is the combination — autonomous, verified, governed investigation — which no single incumbent category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0F7" w:sz="2"/>
              <w:left w:val="single" w:color="D9772B" w:sz="18"/>
              <w:bottom w:val="single" w:color="EAF0F7" w:sz="2"/>
              <w:right w:val="single" w:color="EAF0F7" w:sz="2"/>
            </w:tcBorders>
            <w:shd w:fill="EAF0F7" w:val="clear"/>
            <w:tcMar>
              <w:top w:type="dxa" w:w="120"/>
              <w:left w:type="dxa" w:w="160"/>
              <w:bottom w:type="dxa" w:w="120"/>
              <w:right w:type="dxa" w:w="160"/>
            </w:tcMar>
          </w:tcPr>
          <w:p>
            <w:pPr>
              <w:spacing w:after="60"/>
            </w:pPr>
            <w:r>
              <w:rPr>
                <w:b/>
                <w:bCs/>
                <w:color w:val="1F3354"/>
                <w:sz w:val="20"/>
                <w:szCs w:val="20"/>
              </w:rPr>
              <w:t xml:space="preserve">Market sizing approach (planning estimate, not a forecast)</w:t>
            </w:r>
          </w:p>
          <w:p>
            <w:pPr>
              <w:spacing w:after="40" w:line="264"/>
            </w:pPr>
            <w:r>
              <w:rPr>
                <w:sz w:val="19"/>
                <w:szCs w:val="19"/>
              </w:rPr>
              <w:t xml:space="preserve">Bottoms-up: target enterprises (≈ knowledge-worker-heavy organizations with 1,000+ staff) × analyst-and-leader seats × per-seat platform price.</w:t>
            </w:r>
          </w:p>
          <w:p>
            <w:pPr>
              <w:spacing w:after="40" w:line="264"/>
            </w:pPr>
            <w:r>
              <w:rPr>
                <w:sz w:val="19"/>
                <w:szCs w:val="19"/>
              </w:rPr>
              <w:t xml:space="preserve">Anchor categories — enterprise AI platforms, BI/analytics, and enterprise search — are each multi-tens-of-billions USD annually and growing double-digits.</w:t>
            </w:r>
          </w:p>
          <w:p>
            <w:pPr>
              <w:spacing w:after="40" w:line="264"/>
            </w:pPr>
            <w:r>
              <w:rPr>
                <w:sz w:val="19"/>
                <w:szCs w:val="19"/>
              </w:rPr>
              <w:t xml:space="preserve">EADIP's serviceable wedge is the spend currently absorbed by manual analyst investigation plus first-gen copilot budgets that are being re-evaluated for trust.</w:t>
            </w:r>
          </w:p>
        </w:tc>
      </w:tr>
    </w:tbl>
    <w:p>
      <w:pPr>
        <w:pStyle w:val="Heading2"/>
      </w:pPr>
      <w:r>
        <w:t xml:space="preserve">7.1 Why the timing is right</w:t>
      </w:r>
    </w:p>
    <w:p>
      <w:pPr>
        <w:pStyle w:val="ListParagraph"/>
        <w:numPr>
          <w:ilvl w:val="0"/>
          <w:numId w:val="2"/>
        </w:numPr>
        <w:spacing w:after="60" w:line="268"/>
      </w:pPr>
      <w:r>
        <w:rPr>
          <w:b w:val="false"/>
          <w:bCs w:val="false"/>
        </w:rPr>
        <w:t xml:space="preserve">Frontier models now support reliable tool-calling and structured outputs, the prerequisite for autonomous investigation.</w:t>
      </w:r>
    </w:p>
    <w:p>
      <w:pPr>
        <w:pStyle w:val="ListParagraph"/>
        <w:numPr>
          <w:ilvl w:val="0"/>
          <w:numId w:val="2"/>
        </w:numPr>
        <w:spacing w:after="60" w:line="268"/>
      </w:pPr>
      <w:r>
        <w:rPr>
          <w:b w:val="false"/>
          <w:bCs w:val="false"/>
        </w:rPr>
        <w:t xml:space="preserve">MCP has emerged as a connection standard, collapsing integration cost.</w:t>
      </w:r>
    </w:p>
    <w:p>
      <w:pPr>
        <w:pStyle w:val="ListParagraph"/>
        <w:numPr>
          <w:ilvl w:val="0"/>
          <w:numId w:val="2"/>
        </w:numPr>
        <w:spacing w:after="60" w:line="268"/>
      </w:pPr>
      <w:r>
        <w:rPr>
          <w:b w:val="false"/>
          <w:bCs w:val="false"/>
        </w:rPr>
        <w:t xml:space="preserve">Agent orchestration (LangGraph and peers) is production-ready, with retries, loops, and human-in-the-loop checkpoints.</w:t>
      </w:r>
    </w:p>
    <w:p>
      <w:pPr>
        <w:pStyle w:val="ListParagraph"/>
        <w:numPr>
          <w:ilvl w:val="0"/>
          <w:numId w:val="2"/>
        </w:numPr>
        <w:spacing w:after="60" w:line="268"/>
      </w:pPr>
      <w:r>
        <w:rPr>
          <w:b w:val="false"/>
          <w:bCs w:val="false"/>
        </w:rPr>
        <w:t xml:space="preserve">Enterprises are actively retiring distrusted first-gen copilots and seeking governed, explainable replacements.</w:t>
      </w:r>
    </w:p>
    <w:p>
      <w:pPr>
        <w:pStyle w:val="Heading1"/>
      </w:pPr>
      <w:r>
        <w:t xml:space="preserve">8. Competitive Analysis</w:t>
      </w:r>
    </w:p>
    <w:p>
      <w:pPr>
        <w:spacing w:after="120" w:line="276"/>
      </w:pPr>
      <w:r>
        <w:t xml:space="preserve">EADIP competes with adjacent platforms rather than a single direct rival. The strategic insight is that incumbents are strong on one axis (data ops, productivity, BI, or research) but none combine autonomous multi-source investigation, independent verification, MCP-first extensibility, and governed autonomy.</w:t>
      </w:r>
    </w:p>
    <w:p>
      <w:pPr>
        <w:pStyle w:val="Heading2"/>
      </w:pPr>
      <w:r>
        <w:t xml:space="preserve">8.1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Competitor / category</w:t>
            </w:r>
          </w:p>
        </w:tc>
        <w:tc>
          <w:tcPr>
            <w:tcW w:type="dxa" w:w="32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Strength</w:t>
            </w:r>
          </w:p>
        </w:tc>
        <w:tc>
          <w:tcPr>
            <w:tcW w:type="dxa" w:w="36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Gap EADIP exploits</w:t>
            </w:r>
          </w:p>
        </w:tc>
      </w:tr>
      <w:tr>
        <w:tc>
          <w:tcPr>
            <w:tcW w:type="dxa" w:w="25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Palantir AIP</w:t>
            </w:r>
          </w:p>
        </w:tc>
        <w:tc>
          <w:tcPr>
            <w:tcW w:type="dxa" w:w="32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Deep ontology + operational data integration</w:t>
            </w:r>
          </w:p>
        </w:tc>
        <w:tc>
          <w:tcPr>
            <w:tcW w:type="dxa" w:w="36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Heavy services; less open MCP-style extensibility; verification not a first-class product surface</w:t>
            </w:r>
          </w:p>
        </w:tc>
      </w:tr>
      <w:tr>
        <w:tc>
          <w:tcPr>
            <w:tcW w:type="dxa" w:w="25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Microsoft Copilot</w:t>
            </w:r>
          </w:p>
        </w:tc>
        <w:tc>
          <w:tcPr>
            <w:tcW w:type="dxa" w:w="32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Ubiquitous productivity surface</w:t>
            </w:r>
          </w:p>
        </w:tc>
        <w:tc>
          <w:tcPr>
            <w:tcW w:type="dxa" w:w="36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Document/productivity-centric; limited autonomous cross-system investigation and verification</w:t>
            </w:r>
          </w:p>
        </w:tc>
      </w:tr>
      <w:tr>
        <w:tc>
          <w:tcPr>
            <w:tcW w:type="dxa" w:w="25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Databricks AI/BI</w:t>
            </w:r>
          </w:p>
        </w:tc>
        <w:tc>
          <w:tcPr>
            <w:tcW w:type="dxa" w:w="32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Strong on the warehouse and ML lifecycle</w:t>
            </w:r>
          </w:p>
        </w:tc>
        <w:tc>
          <w:tcPr>
            <w:tcW w:type="dxa" w:w="36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Anchored to its lakehouse; not an MCP-first cross-estate investigator</w:t>
            </w:r>
          </w:p>
        </w:tc>
      </w:tr>
      <w:tr>
        <w:tc>
          <w:tcPr>
            <w:tcW w:type="dxa" w:w="25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OpenAI Deep Research</w:t>
            </w:r>
          </w:p>
        </w:tc>
        <w:tc>
          <w:tcPr>
            <w:tcW w:type="dxa" w:w="32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Excellent open-web synthesis</w:t>
            </w:r>
          </w:p>
        </w:tc>
        <w:tc>
          <w:tcPr>
            <w:tcW w:type="dxa" w:w="36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Not governed enterprise data; no enterprise RBAC, audit, or write-action approval</w:t>
            </w:r>
          </w:p>
        </w:tc>
      </w:tr>
      <w:tr>
        <w:tc>
          <w:tcPr>
            <w:tcW w:type="dxa" w:w="25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Enterprise search vendors</w:t>
            </w:r>
          </w:p>
        </w:tc>
        <w:tc>
          <w:tcPr>
            <w:tcW w:type="dxa" w:w="32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Document retrieval at scale</w:t>
            </w:r>
          </w:p>
        </w:tc>
        <w:tc>
          <w:tcPr>
            <w:tcW w:type="dxa" w:w="36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Returns documents, not verified numerical answers or recommendations</w:t>
            </w:r>
          </w:p>
        </w:tc>
      </w:tr>
      <w:tr>
        <w:tc>
          <w:tcPr>
            <w:tcW w:type="dxa" w:w="25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Agentic RAG point tools</w:t>
            </w:r>
          </w:p>
        </w:tc>
        <w:tc>
          <w:tcPr>
            <w:tcW w:type="dxa" w:w="32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Flexible retrieval pipelines</w:t>
            </w:r>
          </w:p>
        </w:tc>
        <w:tc>
          <w:tcPr>
            <w:tcW w:type="dxa" w:w="36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Single-purpose; lack orchestration, verification, governance, and admin tooling</w:t>
            </w:r>
          </w:p>
        </w:tc>
      </w:tr>
    </w:tbl>
    <w:p>
      <w:pPr>
        <w:pStyle w:val="Heading2"/>
      </w:pPr>
      <w:r>
        <w:t xml:space="preserve">8.2 Differentiation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Capability</w:t>
            </w:r>
          </w:p>
        </w:tc>
        <w:tc>
          <w:tcPr>
            <w:tcW w:type="dxa" w:w="132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EADIP</w:t>
            </w:r>
          </w:p>
        </w:tc>
        <w:tc>
          <w:tcPr>
            <w:tcW w:type="dxa" w:w="132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AIP</w:t>
            </w:r>
          </w:p>
        </w:tc>
        <w:tc>
          <w:tcPr>
            <w:tcW w:type="dxa" w:w="132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Copilot</w:t>
            </w:r>
          </w:p>
        </w:tc>
        <w:tc>
          <w:tcPr>
            <w:tcW w:type="dxa" w:w="132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AI/BI</w:t>
            </w:r>
          </w:p>
        </w:tc>
        <w:tc>
          <w:tcPr>
            <w:tcW w:type="dxa" w:w="132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Deep Research</w:t>
            </w:r>
          </w:p>
        </w:tc>
      </w:tr>
      <w:tr>
        <w:tc>
          <w:tcPr>
            <w:tcW w:type="dxa" w:w="2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Autonomous multi-step investigation</w:t>
            </w:r>
          </w:p>
        </w:tc>
        <w:tc>
          <w:tcPr>
            <w:tcW w:type="dxa" w:w="132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b/>
                <w:bCs/>
                <w:color w:val="1F6E43"/>
                <w:sz w:val="19"/>
                <w:szCs w:val="19"/>
              </w:rPr>
              <w:t xml:space="preserve">Full</w:t>
            </w:r>
          </w:p>
        </w:tc>
        <w:tc>
          <w:tcPr>
            <w:tcW w:type="dxa" w:w="132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Partial</w:t>
            </w:r>
          </w:p>
        </w:tc>
        <w:tc>
          <w:tcPr>
            <w:tcW w:type="dxa" w:w="132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Partial</w:t>
            </w:r>
          </w:p>
        </w:tc>
        <w:tc>
          <w:tcPr>
            <w:tcW w:type="dxa" w:w="132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Partial</w:t>
            </w:r>
          </w:p>
        </w:tc>
        <w:tc>
          <w:tcPr>
            <w:tcW w:type="dxa" w:w="132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Full*</w:t>
            </w:r>
          </w:p>
        </w:tc>
      </w:tr>
      <w:tr>
        <w:tc>
          <w:tcPr>
            <w:tcW w:type="dxa" w:w="2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Governed enterprise data access (RBAC)</w:t>
            </w:r>
          </w:p>
        </w:tc>
        <w:tc>
          <w:tcPr>
            <w:tcW w:type="dxa" w:w="132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b/>
                <w:bCs/>
                <w:color w:val="1F6E43"/>
                <w:sz w:val="19"/>
                <w:szCs w:val="19"/>
              </w:rPr>
              <w:t xml:space="preserve">Full</w:t>
            </w:r>
          </w:p>
        </w:tc>
        <w:tc>
          <w:tcPr>
            <w:tcW w:type="dxa" w:w="132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Full</w:t>
            </w:r>
          </w:p>
        </w:tc>
        <w:tc>
          <w:tcPr>
            <w:tcW w:type="dxa" w:w="132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Partial</w:t>
            </w:r>
          </w:p>
        </w:tc>
        <w:tc>
          <w:tcPr>
            <w:tcW w:type="dxa" w:w="132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Full</w:t>
            </w:r>
          </w:p>
        </w:tc>
        <w:tc>
          <w:tcPr>
            <w:tcW w:type="dxa" w:w="132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color w:val="9A2A2A"/>
                <w:sz w:val="19"/>
                <w:szCs w:val="19"/>
              </w:rPr>
              <w:t xml:space="preserve">None</w:t>
            </w:r>
          </w:p>
        </w:tc>
      </w:tr>
      <w:tr>
        <w:tc>
          <w:tcPr>
            <w:tcW w:type="dxa" w:w="2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Independent verification of claims</w:t>
            </w:r>
          </w:p>
        </w:tc>
        <w:tc>
          <w:tcPr>
            <w:tcW w:type="dxa" w:w="132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b/>
                <w:bCs/>
                <w:color w:val="1F6E43"/>
                <w:sz w:val="19"/>
                <w:szCs w:val="19"/>
              </w:rPr>
              <w:t xml:space="preserve">Full</w:t>
            </w:r>
          </w:p>
        </w:tc>
        <w:tc>
          <w:tcPr>
            <w:tcW w:type="dxa" w:w="132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Partial</w:t>
            </w:r>
          </w:p>
        </w:tc>
        <w:tc>
          <w:tcPr>
            <w:tcW w:type="dxa" w:w="132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color w:val="9A2A2A"/>
                <w:sz w:val="19"/>
                <w:szCs w:val="19"/>
              </w:rPr>
              <w:t xml:space="preserve">None</w:t>
            </w:r>
          </w:p>
        </w:tc>
        <w:tc>
          <w:tcPr>
            <w:tcW w:type="dxa" w:w="132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Partial</w:t>
            </w:r>
          </w:p>
        </w:tc>
        <w:tc>
          <w:tcPr>
            <w:tcW w:type="dxa" w:w="132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Partial</w:t>
            </w:r>
          </w:p>
        </w:tc>
      </w:tr>
      <w:tr>
        <w:tc>
          <w:tcPr>
            <w:tcW w:type="dxa" w:w="2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MCP-first extensibility</w:t>
            </w:r>
          </w:p>
        </w:tc>
        <w:tc>
          <w:tcPr>
            <w:tcW w:type="dxa" w:w="132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b/>
                <w:bCs/>
                <w:color w:val="1F6E43"/>
                <w:sz w:val="19"/>
                <w:szCs w:val="19"/>
              </w:rPr>
              <w:t xml:space="preserve">Full</w:t>
            </w:r>
          </w:p>
        </w:tc>
        <w:tc>
          <w:tcPr>
            <w:tcW w:type="dxa" w:w="132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Partial</w:t>
            </w:r>
          </w:p>
        </w:tc>
        <w:tc>
          <w:tcPr>
            <w:tcW w:type="dxa" w:w="132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Partial</w:t>
            </w:r>
          </w:p>
        </w:tc>
        <w:tc>
          <w:tcPr>
            <w:tcW w:type="dxa" w:w="132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color w:val="9A2A2A"/>
                <w:sz w:val="19"/>
                <w:szCs w:val="19"/>
              </w:rPr>
              <w:t xml:space="preserve">None</w:t>
            </w:r>
          </w:p>
        </w:tc>
        <w:tc>
          <w:tcPr>
            <w:tcW w:type="dxa" w:w="132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color w:val="9A2A2A"/>
                <w:sz w:val="19"/>
                <w:szCs w:val="19"/>
              </w:rPr>
              <w:t xml:space="preserve">None</w:t>
            </w:r>
          </w:p>
        </w:tc>
      </w:tr>
      <w:tr>
        <w:tc>
          <w:tcPr>
            <w:tcW w:type="dxa" w:w="2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Explainable provenance per answer</w:t>
            </w:r>
          </w:p>
        </w:tc>
        <w:tc>
          <w:tcPr>
            <w:tcW w:type="dxa" w:w="132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b/>
                <w:bCs/>
                <w:color w:val="1F6E43"/>
                <w:sz w:val="19"/>
                <w:szCs w:val="19"/>
              </w:rPr>
              <w:t xml:space="preserve">Full</w:t>
            </w:r>
          </w:p>
        </w:tc>
        <w:tc>
          <w:tcPr>
            <w:tcW w:type="dxa" w:w="132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Partial</w:t>
            </w:r>
          </w:p>
        </w:tc>
        <w:tc>
          <w:tcPr>
            <w:tcW w:type="dxa" w:w="132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Partial</w:t>
            </w:r>
          </w:p>
        </w:tc>
        <w:tc>
          <w:tcPr>
            <w:tcW w:type="dxa" w:w="132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Partial</w:t>
            </w:r>
          </w:p>
        </w:tc>
        <w:tc>
          <w:tcPr>
            <w:tcW w:type="dxa" w:w="132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Partial</w:t>
            </w:r>
          </w:p>
        </w:tc>
      </w:tr>
      <w:tr>
        <w:tc>
          <w:tcPr>
            <w:tcW w:type="dxa" w:w="2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Governed autonomy (approval of writes)</w:t>
            </w:r>
          </w:p>
        </w:tc>
        <w:tc>
          <w:tcPr>
            <w:tcW w:type="dxa" w:w="132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b/>
                <w:bCs/>
                <w:color w:val="1F6E43"/>
                <w:sz w:val="19"/>
                <w:szCs w:val="19"/>
              </w:rPr>
              <w:t xml:space="preserve">Full</w:t>
            </w:r>
          </w:p>
        </w:tc>
        <w:tc>
          <w:tcPr>
            <w:tcW w:type="dxa" w:w="132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Partial</w:t>
            </w:r>
          </w:p>
        </w:tc>
        <w:tc>
          <w:tcPr>
            <w:tcW w:type="dxa" w:w="132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Partial</w:t>
            </w:r>
          </w:p>
        </w:tc>
        <w:tc>
          <w:tcPr>
            <w:tcW w:type="dxa" w:w="132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color w:val="9A2A2A"/>
                <w:sz w:val="19"/>
                <w:szCs w:val="19"/>
              </w:rPr>
              <w:t xml:space="preserve">None</w:t>
            </w:r>
          </w:p>
        </w:tc>
        <w:tc>
          <w:tcPr>
            <w:tcW w:type="dxa" w:w="132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color w:val="9A2A2A"/>
                <w:sz w:val="19"/>
                <w:szCs w:val="19"/>
              </w:rPr>
              <w:t xml:space="preserve">None</w:t>
            </w:r>
          </w:p>
        </w:tc>
      </w:tr>
    </w:tbl>
    <w:p>
      <w:pPr>
        <w:spacing w:after="120" w:line="276"/>
      </w:pPr>
      <w:r>
        <w:rPr>
          <w:i/>
          <w:iCs/>
          <w:color w:val="6B7280"/>
          <w:sz w:val="17"/>
          <w:szCs w:val="17"/>
        </w:rPr>
        <w:t xml:space="preserve">* OpenAI Deep Research is autonomous over the open web, not over governed enterprise systems.</w:t>
      </w:r>
    </w:p>
    <w:p>
      <w:pPr>
        <w:pStyle w:val="Heading1"/>
      </w:pPr>
      <w:r>
        <w:t xml:space="preserve">9. Functional Requirements</w:t>
      </w:r>
    </w:p>
    <w:p>
      <w:pPr>
        <w:spacing w:after="120" w:line="276"/>
      </w:pPr>
      <w:r>
        <w:t xml:space="preserve">Functional requirements are grouped by capability area and mapped to the 30 functional modules named in the project brief. Each requirement has a stable identifier (FR-xxx), a priority (M/S/C/W per MoSCoW, Section 33), and traces to one or more modules. Priorities: M = Must, S = Should, C = Could, W = Won't (this release).</w:t>
      </w:r>
    </w:p>
    <w:p>
      <w:pPr>
        <w:pStyle w:val="Heading2"/>
      </w:pPr>
      <w:r>
        <w:t xml:space="preserve">9.1 Intake, planning &amp;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900"/>
        <w:gridCol w:w="800"/>
      </w:tblGrid>
      <w:tr>
        <w:trPr>
          <w:tblHeader/>
        </w:trPr>
        <w:tc>
          <w:tcPr>
            <w:tcW w:type="dxa" w:w="9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ID</w:t>
            </w:r>
          </w:p>
        </w:tc>
        <w:tc>
          <w:tcPr>
            <w:tcW w:type="dxa" w:w="57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Requirement</w:t>
            </w:r>
          </w:p>
        </w:tc>
        <w:tc>
          <w:tcPr>
            <w:tcW w:type="dxa" w:w="19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Module(s)</w:t>
            </w:r>
          </w:p>
        </w:tc>
        <w:tc>
          <w:tcPr>
            <w:tcW w:type="dxa" w:w="8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Pri</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FR-001</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Accept natural-language business questions via UI and API, with optional structured context (timeframe, scope, KPIs).</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UI, API Gateway</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FR-002</w:t>
            </w:r>
          </w:p>
        </w:tc>
        <w:tc>
          <w:tcPr>
            <w:tcW w:type="dxa" w:w="5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Interpret the goal into a structured objective (entities, metrics, timeframe, intent) before planning.</w:t>
            </w:r>
          </w:p>
        </w:tc>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Goal Interpreter</w:t>
            </w:r>
          </w:p>
        </w:tc>
        <w:tc>
          <w:tcPr>
            <w:tcW w:type="dxa" w:w="8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FR-003</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Decompose the objective into an ordered, dependency-aware task plan.</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Task Decomposition</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FR-004</w:t>
            </w:r>
          </w:p>
        </w:tc>
        <w:tc>
          <w:tcPr>
            <w:tcW w:type="dxa" w:w="5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Orchestrate specialized agents to execute the plan, including parallel branches where safe.</w:t>
            </w:r>
          </w:p>
        </w:tc>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Multi-Agent Orchestrator</w:t>
            </w:r>
          </w:p>
        </w:tc>
        <w:tc>
          <w:tcPr>
            <w:tcW w:type="dxa" w:w="8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FR-005</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Stream intermediate progress (current step, tool calls, partial findings) to the user.</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UI, Orchestrator</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FR-006</w:t>
            </w:r>
          </w:p>
        </w:tc>
        <w:tc>
          <w:tcPr>
            <w:tcW w:type="dxa" w:w="5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Re-plan dynamically when a step fails or evidence contradicts the current hypothesis.</w:t>
            </w:r>
          </w:p>
        </w:tc>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Planner, Reflection</w:t>
            </w:r>
          </w:p>
        </w:tc>
        <w:tc>
          <w:tcPr>
            <w:tcW w:type="dxa" w:w="8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w:t>
            </w:r>
          </w:p>
        </w:tc>
      </w:tr>
    </w:tbl>
    <w:p>
      <w:pPr>
        <w:spacing w:after="80"/>
      </w:pPr>
      <w:r>
        <w:t xml:space="preserve"/>
      </w:r>
    </w:p>
    <w:p>
      <w:pPr>
        <w:pStyle w:val="Heading2"/>
      </w:pPr>
      <w:r>
        <w:t xml:space="preserve">9.2 Retrieval &amp;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900"/>
        <w:gridCol w:w="800"/>
      </w:tblGrid>
      <w:tr>
        <w:trPr>
          <w:tblHeader/>
        </w:trPr>
        <w:tc>
          <w:tcPr>
            <w:tcW w:type="dxa" w:w="9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ID</w:t>
            </w:r>
          </w:p>
        </w:tc>
        <w:tc>
          <w:tcPr>
            <w:tcW w:type="dxa" w:w="57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Requirement</w:t>
            </w:r>
          </w:p>
        </w:tc>
        <w:tc>
          <w:tcPr>
            <w:tcW w:type="dxa" w:w="19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Module(s)</w:t>
            </w:r>
          </w:p>
        </w:tc>
        <w:tc>
          <w:tcPr>
            <w:tcW w:type="dxa" w:w="8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Pri</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FR-010</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Retrieve relevant knowledge using hybrid search (dense + sparse/BM25) with reranking.</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Hybrid Search, Retrieval Agent</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FR-011</w:t>
            </w:r>
          </w:p>
        </w:tc>
        <w:tc>
          <w:tcPr>
            <w:tcW w:type="dxa" w:w="5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Support metadata filtering and time-aware retrieval (as-of and recency).</w:t>
            </w:r>
          </w:p>
        </w:tc>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Hybrid Search</w:t>
            </w:r>
          </w:p>
        </w:tc>
        <w:tc>
          <w:tcPr>
            <w:tcW w:type="dxa" w:w="8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FR-012</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Expand a query into multiple sub-queries and fuse results (multi-query retrieval).</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Retrieval Agent</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FR-013</w:t>
            </w:r>
          </w:p>
        </w:tc>
        <w:tc>
          <w:tcPr>
            <w:tcW w:type="dxa" w:w="5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Traverse a knowledge graph to answer relationship and multi-hop questions (GraphRAG).</w:t>
            </w:r>
          </w:p>
        </w:tc>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GraphRAG Engine</w:t>
            </w:r>
          </w:p>
        </w:tc>
        <w:tc>
          <w:tcPr>
            <w:tcW w:type="dxa" w:w="8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FR-014</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Compress retrieved context to fit model budgets without losing decisive evidence.</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Retrieval Agent</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FR-015</w:t>
            </w:r>
          </w:p>
        </w:tc>
        <w:tc>
          <w:tcPr>
            <w:tcW w:type="dxa" w:w="5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Ingest and chunk documents (PDF, Office, HTML, tables) into the knowledge base.</w:t>
            </w:r>
          </w:p>
        </w:tc>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Document Pipeline, Knowledge Base</w:t>
            </w:r>
          </w:p>
        </w:tc>
        <w:tc>
          <w:tcPr>
            <w:tcW w:type="dxa" w:w="8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FR-016</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Generate and store embeddings with versioned models in the vector store.</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Embedding Pipeline</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w:t>
            </w:r>
          </w:p>
        </w:tc>
      </w:tr>
    </w:tbl>
    <w:p>
      <w:pPr>
        <w:spacing w:after="80"/>
      </w:pPr>
      <w:r>
        <w:t xml:space="preserve"/>
      </w:r>
    </w:p>
    <w:p>
      <w:pPr>
        <w:pStyle w:val="Heading2"/>
      </w:pPr>
      <w:r>
        <w:t xml:space="preserve">9.3 Analytics &amp; 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900"/>
        <w:gridCol w:w="800"/>
      </w:tblGrid>
      <w:tr>
        <w:trPr>
          <w:tblHeader/>
        </w:trPr>
        <w:tc>
          <w:tcPr>
            <w:tcW w:type="dxa" w:w="9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ID</w:t>
            </w:r>
          </w:p>
        </w:tc>
        <w:tc>
          <w:tcPr>
            <w:tcW w:type="dxa" w:w="57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Requirement</w:t>
            </w:r>
          </w:p>
        </w:tc>
        <w:tc>
          <w:tcPr>
            <w:tcW w:type="dxa" w:w="19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Module(s)</w:t>
            </w:r>
          </w:p>
        </w:tc>
        <w:tc>
          <w:tcPr>
            <w:tcW w:type="dxa" w:w="8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Pri</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FR-020</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Generate SQL from natural language against governed schemas and execute it safely.</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SQL Analytics Agent</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FR-021</w:t>
            </w:r>
          </w:p>
        </w:tc>
        <w:tc>
          <w:tcPr>
            <w:tcW w:type="dxa" w:w="5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Validate generated SQL (read-only, cost limits, schema-aware) before execution.</w:t>
            </w:r>
          </w:p>
        </w:tc>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SQL Analytics Agent</w:t>
            </w:r>
          </w:p>
        </w:tc>
        <w:tc>
          <w:tcPr>
            <w:tcW w:type="dxa" w:w="8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FR-022</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Run statistical analysis: trend, variance decomposition, correlation, anomaly detection.</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BI Agent</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FR-023</w:t>
            </w:r>
          </w:p>
        </w:tc>
        <w:tc>
          <w:tcPr>
            <w:tcW w:type="dxa" w:w="5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Produce KPI movement explanations (what changed, by how much, and likely drivers).</w:t>
            </w:r>
          </w:p>
        </w:tc>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BI Agent</w:t>
            </w:r>
          </w:p>
        </w:tc>
        <w:tc>
          <w:tcPr>
            <w:tcW w:type="dxa" w:w="8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FR-024</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Generate forecasts with uncertainty intervals for selected metrics.</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BI Agent</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w:t>
            </w:r>
          </w:p>
        </w:tc>
      </w:tr>
    </w:tbl>
    <w:p>
      <w:pPr>
        <w:spacing w:after="80"/>
      </w:pPr>
      <w:r>
        <w:t xml:space="preserve"/>
      </w:r>
    </w:p>
    <w:p>
      <w:pPr>
        <w:pStyle w:val="Heading2"/>
      </w:pPr>
      <w:r>
        <w:t xml:space="preserve">9.4 Tools, MCP &amp;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900"/>
        <w:gridCol w:w="800"/>
      </w:tblGrid>
      <w:tr>
        <w:trPr>
          <w:tblHeader/>
        </w:trPr>
        <w:tc>
          <w:tcPr>
            <w:tcW w:type="dxa" w:w="9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ID</w:t>
            </w:r>
          </w:p>
        </w:tc>
        <w:tc>
          <w:tcPr>
            <w:tcW w:type="dxa" w:w="57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Requirement</w:t>
            </w:r>
          </w:p>
        </w:tc>
        <w:tc>
          <w:tcPr>
            <w:tcW w:type="dxa" w:w="19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Module(s)</w:t>
            </w:r>
          </w:p>
        </w:tc>
        <w:tc>
          <w:tcPr>
            <w:tcW w:type="dxa" w:w="8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Pri</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FR-030</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Discover, register, and health-check MCP servers and their tools.</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MCP Manager</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FR-031</w:t>
            </w:r>
          </w:p>
        </w:tc>
        <w:tc>
          <w:tcPr>
            <w:tcW w:type="dxa" w:w="5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Select the appropriate tool for a task and pass validated, typed arguments.</w:t>
            </w:r>
          </w:p>
        </w:tc>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Tool Calling Agent</w:t>
            </w:r>
          </w:p>
        </w:tc>
        <w:tc>
          <w:tcPr>
            <w:tcW w:type="dxa" w:w="8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FR-032</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Enforce per-tool permissions scoped to the requesting user's identity.</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MCP Manager, Security</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FR-033</w:t>
            </w:r>
          </w:p>
        </w:tc>
        <w:tc>
          <w:tcPr>
            <w:tcW w:type="dxa" w:w="5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Fall back to an alternative tool or path when a tool is unavailable.</w:t>
            </w:r>
          </w:p>
        </w:tc>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MCP Manager, Orchestrator</w:t>
            </w:r>
          </w:p>
        </w:tc>
        <w:tc>
          <w:tcPr>
            <w:tcW w:type="dxa" w:w="8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S</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FR-034</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Route any write or high-impact action through the human approval workflow.</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Human Approval, Tool Agent</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w:t>
            </w:r>
          </w:p>
        </w:tc>
      </w:tr>
    </w:tbl>
    <w:p>
      <w:pPr>
        <w:spacing w:after="80"/>
      </w:pPr>
      <w:r>
        <w:t xml:space="preserve"/>
      </w:r>
    </w:p>
    <w:p>
      <w:pPr>
        <w:pStyle w:val="Heading2"/>
      </w:pPr>
      <w:r>
        <w:t xml:space="preserve">9.5 Reasoning, verification &amp;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900"/>
        <w:gridCol w:w="800"/>
      </w:tblGrid>
      <w:tr>
        <w:trPr>
          <w:tblHeader/>
        </w:trPr>
        <w:tc>
          <w:tcPr>
            <w:tcW w:type="dxa" w:w="9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ID</w:t>
            </w:r>
          </w:p>
        </w:tc>
        <w:tc>
          <w:tcPr>
            <w:tcW w:type="dxa" w:w="57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Requirement</w:t>
            </w:r>
          </w:p>
        </w:tc>
        <w:tc>
          <w:tcPr>
            <w:tcW w:type="dxa" w:w="19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Module(s)</w:t>
            </w:r>
          </w:p>
        </w:tc>
        <w:tc>
          <w:tcPr>
            <w:tcW w:type="dxa" w:w="8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Pri</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FR-040</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Reflect on intermediate results and decide whether evidence is sufficient.</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Reflection Agent</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FR-041</w:t>
            </w:r>
          </w:p>
        </w:tc>
        <w:tc>
          <w:tcPr>
            <w:tcW w:type="dxa" w:w="5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Independently verify quantitative claims by re-deriving them from source evidence.</w:t>
            </w:r>
          </w:p>
        </w:tc>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Verification Agent</w:t>
            </w:r>
          </w:p>
        </w:tc>
        <w:tc>
          <w:tcPr>
            <w:tcW w:type="dxa" w:w="8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FR-042</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Attach a calibrated confidence score and list of assumptions to each conclusion.</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Verification, Recommendation</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FR-043</w:t>
            </w:r>
          </w:p>
        </w:tc>
        <w:tc>
          <w:tcPr>
            <w:tcW w:type="dxa" w:w="5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Generate ranked, explainable recommendations tied to evidence.</w:t>
            </w:r>
          </w:p>
        </w:tc>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Recommendation Engine</w:t>
            </w:r>
          </w:p>
        </w:tc>
        <w:tc>
          <w:tcPr>
            <w:tcW w:type="dxa" w:w="8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FR-044</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Produce an executive report (summary, drivers, evidence, provenance) in multiple formats.</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Executive Report Generator</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FR-045</w:t>
            </w:r>
          </w:p>
        </w:tc>
        <w:tc>
          <w:tcPr>
            <w:tcW w:type="dxa" w:w="5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Persist conversation, plan, and findings to short- and long-term memory.</w:t>
            </w:r>
          </w:p>
        </w:tc>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Memory Manager</w:t>
            </w:r>
          </w:p>
        </w:tc>
        <w:tc>
          <w:tcPr>
            <w:tcW w:type="dxa" w:w="8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w:t>
            </w:r>
          </w:p>
        </w:tc>
      </w:tr>
    </w:tbl>
    <w:p>
      <w:pPr>
        <w:spacing w:after="80"/>
      </w:pPr>
      <w:r>
        <w:t xml:space="preserve"/>
      </w:r>
    </w:p>
    <w:p>
      <w:pPr>
        <w:pStyle w:val="Heading2"/>
      </w:pPr>
      <w:r>
        <w:t xml:space="preserve">9.6 Platform, governance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900"/>
        <w:gridCol w:w="800"/>
      </w:tblGrid>
      <w:tr>
        <w:trPr>
          <w:tblHeader/>
        </w:trPr>
        <w:tc>
          <w:tcPr>
            <w:tcW w:type="dxa" w:w="9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ID</w:t>
            </w:r>
          </w:p>
        </w:tc>
        <w:tc>
          <w:tcPr>
            <w:tcW w:type="dxa" w:w="57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Requirement</w:t>
            </w:r>
          </w:p>
        </w:tc>
        <w:tc>
          <w:tcPr>
            <w:tcW w:type="dxa" w:w="19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Module(s)</w:t>
            </w:r>
          </w:p>
        </w:tc>
        <w:tc>
          <w:tcPr>
            <w:tcW w:type="dxa" w:w="8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Pri</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FR-050</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Authenticate via SSO/OAuth and authorize via RBAC at tenant, role, and resource scope.</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Authentication, Security</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FR-051</w:t>
            </w:r>
          </w:p>
        </w:tc>
        <w:tc>
          <w:tcPr>
            <w:tcW w:type="dxa" w:w="5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Record an immutable audit log of every plan, query, tool call, and approval.</w:t>
            </w:r>
          </w:p>
        </w:tc>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Audit Logging</w:t>
            </w:r>
          </w:p>
        </w:tc>
        <w:tc>
          <w:tcPr>
            <w:tcW w:type="dxa" w:w="8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FR-052</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Manage prompts as versioned, testable artifacts with rollback.</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Prompt Management</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FR-053</w:t>
            </w:r>
          </w:p>
        </w:tc>
        <w:tc>
          <w:tcPr>
            <w:tcW w:type="dxa" w:w="5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Route requests across models by task, cost, and latency policy.</w:t>
            </w:r>
          </w:p>
        </w:tc>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Model Routing</w:t>
            </w:r>
          </w:p>
        </w:tc>
        <w:tc>
          <w:tcPr>
            <w:tcW w:type="dxa" w:w="8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FR-054</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Run an offline + online evaluation suite against gold datasets.</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Evaluation Framework</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FR-055</w:t>
            </w:r>
          </w:p>
        </w:tc>
        <w:tc>
          <w:tcPr>
            <w:tcW w:type="dxa" w:w="5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Emit traces, metrics, and logs for every request to the observability stack.</w:t>
            </w:r>
          </w:p>
        </w:tc>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Monitoring</w:t>
            </w:r>
          </w:p>
        </w:tc>
        <w:tc>
          <w:tcPr>
            <w:tcW w:type="dxa" w:w="8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FR-056</w:t>
            </w:r>
          </w:p>
        </w:tc>
        <w:tc>
          <w:tcPr>
            <w:tcW w:type="dxa" w:w="5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Notify users of completion, approvals required, and anomalies via configured channels.</w:t>
            </w:r>
          </w:p>
        </w:tc>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Notification System</w:t>
            </w:r>
          </w:p>
        </w:tc>
        <w:tc>
          <w:tcPr>
            <w:tcW w:type="dxa" w:w="8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FR-057</w:t>
            </w:r>
          </w:p>
        </w:tc>
        <w:tc>
          <w:tcPr>
            <w:tcW w:type="dxa" w:w="5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Administer tenants, users, roles, connectors, budgets, and feature flags.</w:t>
            </w:r>
          </w:p>
        </w:tc>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Administration Portal</w:t>
            </w:r>
          </w:p>
        </w:tc>
        <w:tc>
          <w:tcPr>
            <w:tcW w:type="dxa" w:w="8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w:t>
            </w:r>
          </w:p>
        </w:tc>
      </w:tr>
    </w:tbl>
    <w:p>
      <w:pPr>
        <w:spacing w:after="80"/>
      </w:pPr>
      <w:r>
        <w:t xml:space="preserve"/>
      </w:r>
    </w:p>
    <w:p>
      <w:pPr>
        <w:pStyle w:val="Heading1"/>
      </w:pPr>
      <w:r>
        <w:t xml:space="preserve">10. Non-Functional Requirements</w:t>
      </w:r>
    </w:p>
    <w:p>
      <w:pPr>
        <w:spacing w:after="120" w:line="276"/>
      </w:pPr>
      <w:r>
        <w:t xml:space="preserve">Non-functional requirements (NFRs) define the qualities the system must exhibit. Targets are restated as measurable SLOs in Section 13 and in the TAD.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760"/>
      </w:tblGrid>
      <w:tr>
        <w:trPr>
          <w:tblHeader/>
        </w:trPr>
        <w:tc>
          <w:tcPr>
            <w:tcW w:type="dxa" w:w="9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ID</w:t>
            </w:r>
          </w:p>
        </w:tc>
        <w:tc>
          <w:tcPr>
            <w:tcW w:type="dxa" w:w="17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Category</w:t>
            </w:r>
          </w:p>
        </w:tc>
        <w:tc>
          <w:tcPr>
            <w:tcW w:type="dxa" w:w="67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Requirement / target</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NFR-01</w:t>
            </w:r>
          </w:p>
        </w:tc>
        <w:tc>
          <w:tcPr>
            <w:tcW w:type="dxa" w:w="1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Latency</w:t>
            </w:r>
          </w:p>
        </w:tc>
        <w:tc>
          <w:tcPr>
            <w:tcW w:type="dxa" w:w="6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First streamed token &lt; 3 s; simple lookups &lt; 20 s end-to-end; complex investigations median &lt; 4 min</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NFR-02</w:t>
            </w:r>
          </w:p>
        </w:tc>
        <w:tc>
          <w:tcPr>
            <w:tcW w:type="dxa" w:w="1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Throughput</w:t>
            </w:r>
          </w:p>
        </w:tc>
        <w:tc>
          <w:tcPr>
            <w:tcW w:type="dxa" w:w="6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Sustain 200 concurrent investigations per tenant cluster without SLO breach</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NFR-03</w:t>
            </w:r>
          </w:p>
        </w:tc>
        <w:tc>
          <w:tcPr>
            <w:tcW w:type="dxa" w:w="1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Availability</w:t>
            </w:r>
          </w:p>
        </w:tc>
        <w:tc>
          <w:tcPr>
            <w:tcW w:type="dxa" w:w="6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99.9% monthly for the control plane; graceful degradation if a single connector is down</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NFR-04</w:t>
            </w:r>
          </w:p>
        </w:tc>
        <w:tc>
          <w:tcPr>
            <w:tcW w:type="dxa" w:w="1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Scalability</w:t>
            </w:r>
          </w:p>
        </w:tc>
        <w:tc>
          <w:tcPr>
            <w:tcW w:type="dxa" w:w="6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Horizontal scale of agent workers and retrieval; no single-node bottleneck on the hot path</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NFR-05</w:t>
            </w:r>
          </w:p>
        </w:tc>
        <w:tc>
          <w:tcPr>
            <w:tcW w:type="dxa" w:w="1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Reliability</w:t>
            </w:r>
          </w:p>
        </w:tc>
        <w:tc>
          <w:tcPr>
            <w:tcW w:type="dxa" w:w="6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Idempotent steps; automatic retry with backoff; no duplicate side effects on retry</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NFR-06</w:t>
            </w:r>
          </w:p>
        </w:tc>
        <w:tc>
          <w:tcPr>
            <w:tcW w:type="dxa" w:w="1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Accuracy</w:t>
            </w:r>
          </w:p>
        </w:tc>
        <w:tc>
          <w:tcPr>
            <w:tcW w:type="dxa" w:w="6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 92% on gold eval set; ≥ 95% of quantitative claims independently verified</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NFR-07</w:t>
            </w:r>
          </w:p>
        </w:tc>
        <w:tc>
          <w:tcPr>
            <w:tcW w:type="dxa" w:w="1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Security</w:t>
            </w:r>
          </w:p>
        </w:tc>
        <w:tc>
          <w:tcPr>
            <w:tcW w:type="dxa" w:w="6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Encryption in transit and at rest; least-privilege tool scopes; secrets in a vault</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NFR-08</w:t>
            </w:r>
          </w:p>
        </w:tc>
        <w:tc>
          <w:tcPr>
            <w:tcW w:type="dxa" w:w="1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Privacy</w:t>
            </w:r>
          </w:p>
        </w:tc>
        <w:tc>
          <w:tcPr>
            <w:tcW w:type="dxa" w:w="6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PII minimization and redaction; configurable data residency; no training on customer data by default</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NFR-09</w:t>
            </w:r>
          </w:p>
        </w:tc>
        <w:tc>
          <w:tcPr>
            <w:tcW w:type="dxa" w:w="1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Observability</w:t>
            </w:r>
          </w:p>
        </w:tc>
        <w:tc>
          <w:tcPr>
            <w:tcW w:type="dxa" w:w="6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100% request tracing; per-step cost and token accounting; alerting on SLO breach</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NFR-10</w:t>
            </w:r>
          </w:p>
        </w:tc>
        <w:tc>
          <w:tcPr>
            <w:tcW w:type="dxa" w:w="1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Cost</w:t>
            </w:r>
          </w:p>
        </w:tc>
        <w:tc>
          <w:tcPr>
            <w:tcW w:type="dxa" w:w="6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Per-investigation cost tracked and capped; model routing optimizes cost/quality</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NFR-11</w:t>
            </w:r>
          </w:p>
        </w:tc>
        <w:tc>
          <w:tcPr>
            <w:tcW w:type="dxa" w:w="1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Maintainability</w:t>
            </w:r>
          </w:p>
        </w:tc>
        <w:tc>
          <w:tcPr>
            <w:tcW w:type="dxa" w:w="6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Clean architecture, typed interfaces, ≥ 80% coverage on core logic</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NFR-12</w:t>
            </w:r>
          </w:p>
        </w:tc>
        <w:tc>
          <w:tcPr>
            <w:tcW w:type="dxa" w:w="1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Portability</w:t>
            </w:r>
          </w:p>
        </w:tc>
        <w:tc>
          <w:tcPr>
            <w:tcW w:type="dxa" w:w="6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Containerized; Kubernetes-ready; cloud-agnostic core</w:t>
            </w:r>
          </w:p>
        </w:tc>
      </w:tr>
      <w:tr>
        <w:tc>
          <w:tcPr>
            <w:tcW w:type="dxa" w:w="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NFR-13</w:t>
            </w:r>
          </w:p>
        </w:tc>
        <w:tc>
          <w:tcPr>
            <w:tcW w:type="dxa" w:w="1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Accessibility</w:t>
            </w:r>
          </w:p>
        </w:tc>
        <w:tc>
          <w:tcPr>
            <w:tcW w:type="dxa" w:w="6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WCAG 2.1 AA for all end-user surfaces</w:t>
            </w:r>
          </w:p>
        </w:tc>
      </w:tr>
      <w:tr>
        <w:tc>
          <w:tcPr>
            <w:tcW w:type="dxa" w:w="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NFR-14</w:t>
            </w:r>
          </w:p>
        </w:tc>
        <w:tc>
          <w:tcPr>
            <w:tcW w:type="dxa" w:w="1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Internationalization</w:t>
            </w:r>
          </w:p>
        </w:tc>
        <w:tc>
          <w:tcPr>
            <w:tcW w:type="dxa" w:w="6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UTF-8 throughout; locale-aware number/date formatting; English UI at GA, i18n-ready</w:t>
            </w:r>
          </w:p>
        </w:tc>
      </w:tr>
    </w:tbl>
    <w:p>
      <w:pPr>
        <w:pStyle w:val="Heading1"/>
      </w:pPr>
      <w:r>
        <w:t xml:space="preserve">11. User Stories</w:t>
      </w:r>
    </w:p>
    <w:p>
      <w:pPr>
        <w:spacing w:after="120" w:line="276"/>
      </w:pPr>
      <w:r>
        <w:t xml:space="preserve">User stories express requirements from each persona's perspective. They are grouped by epic; acceptance criteria for representative stories appear in Section 12.</w:t>
      </w:r>
    </w:p>
    <w:p>
      <w:pPr>
        <w:pStyle w:val="Heading2"/>
      </w:pPr>
      <w:r>
        <w:t xml:space="preserve">11.1 Epic A — Ask a complex question</w:t>
      </w:r>
    </w:p>
    <w:p>
      <w:pPr>
        <w:pStyle w:val="ListParagraph"/>
        <w:numPr>
          <w:ilvl w:val="0"/>
          <w:numId w:val="2"/>
        </w:numPr>
        <w:spacing w:after="60" w:line="268"/>
      </w:pPr>
      <w:r>
        <w:rPr>
          <w:b w:val="false"/>
          <w:bCs w:val="false"/>
        </w:rPr>
        <w:t xml:space="preserve">US-A1: As Priya (analyst), I want to ask “why did EMEA margin fall last quarter?” in plain language so that I get a driver-level answer without writing SQL.</w:t>
      </w:r>
    </w:p>
    <w:p>
      <w:pPr>
        <w:pStyle w:val="ListParagraph"/>
        <w:numPr>
          <w:ilvl w:val="0"/>
          <w:numId w:val="2"/>
        </w:numPr>
        <w:spacing w:after="60" w:line="268"/>
      </w:pPr>
      <w:r>
        <w:rPr>
          <w:b w:val="false"/>
          <w:bCs w:val="false"/>
        </w:rPr>
        <w:t xml:space="preserve">US-A2: As Priya, I want to see the plan EADIP intends to run before it executes so that I can trust and, if needed, adjust the approach.</w:t>
      </w:r>
    </w:p>
    <w:p>
      <w:pPr>
        <w:pStyle w:val="ListParagraph"/>
        <w:numPr>
          <w:ilvl w:val="0"/>
          <w:numId w:val="2"/>
        </w:numPr>
        <w:spacing w:after="60" w:line="268"/>
      </w:pPr>
      <w:r>
        <w:rPr>
          <w:b w:val="false"/>
          <w:bCs w:val="false"/>
        </w:rPr>
        <w:t xml:space="preserve">US-A3: As David (VP), I want to ask a question and watch progress stream so that I know the system is working and roughly when it will finish.</w:t>
      </w:r>
    </w:p>
    <w:p>
      <w:pPr>
        <w:pStyle w:val="Heading2"/>
      </w:pPr>
      <w:r>
        <w:t xml:space="preserve">11.2 Epic B — Trust the answer</w:t>
      </w:r>
    </w:p>
    <w:p>
      <w:pPr>
        <w:pStyle w:val="ListParagraph"/>
        <w:numPr>
          <w:ilvl w:val="0"/>
          <w:numId w:val="2"/>
        </w:numPr>
        <w:spacing w:after="60" w:line="268"/>
      </w:pPr>
      <w:r>
        <w:rPr>
          <w:b w:val="false"/>
          <w:bCs w:val="false"/>
        </w:rPr>
        <w:t xml:space="preserve">US-B1: As Priya, I want every number in the answer linked to the query or document it came from so that I can defend it.</w:t>
      </w:r>
    </w:p>
    <w:p>
      <w:pPr>
        <w:pStyle w:val="ListParagraph"/>
        <w:numPr>
          <w:ilvl w:val="0"/>
          <w:numId w:val="2"/>
        </w:numPr>
        <w:spacing w:after="60" w:line="268"/>
      </w:pPr>
      <w:r>
        <w:rPr>
          <w:b w:val="false"/>
          <w:bCs w:val="false"/>
        </w:rPr>
        <w:t xml:space="preserve">US-B2: As Omar (compliance), I want a complete audit trail of queries, tools, and approvals so that I can demonstrate lineage to an auditor.</w:t>
      </w:r>
    </w:p>
    <w:p>
      <w:pPr>
        <w:pStyle w:val="ListParagraph"/>
        <w:numPr>
          <w:ilvl w:val="0"/>
          <w:numId w:val="2"/>
        </w:numPr>
        <w:spacing w:after="60" w:line="268"/>
      </w:pPr>
      <w:r>
        <w:rPr>
          <w:b w:val="false"/>
          <w:bCs w:val="false"/>
        </w:rPr>
        <w:t xml:space="preserve">US-B3: As David, I want a confidence score and the assumptions behind it so that I know how much weight to put on the recommendation.</w:t>
      </w:r>
    </w:p>
    <w:p>
      <w:pPr>
        <w:pStyle w:val="Heading2"/>
      </w:pPr>
      <w:r>
        <w:t xml:space="preserve">11.3 Epic C — Act safely</w:t>
      </w:r>
    </w:p>
    <w:p>
      <w:pPr>
        <w:pStyle w:val="ListParagraph"/>
        <w:numPr>
          <w:ilvl w:val="0"/>
          <w:numId w:val="2"/>
        </w:numPr>
        <w:spacing w:after="60" w:line="268"/>
      </w:pPr>
      <w:r>
        <w:rPr>
          <w:b w:val="false"/>
          <w:bCs w:val="false"/>
        </w:rPr>
        <w:t xml:space="preserve">US-C1: As David, I want any action that changes a system (e.g., open a ticket) to require my approval so that the AI never acts unilaterally.</w:t>
      </w:r>
    </w:p>
    <w:p>
      <w:pPr>
        <w:pStyle w:val="ListParagraph"/>
        <w:numPr>
          <w:ilvl w:val="0"/>
          <w:numId w:val="2"/>
        </w:numPr>
        <w:spacing w:after="60" w:line="268"/>
      </w:pPr>
      <w:r>
        <w:rPr>
          <w:b w:val="false"/>
          <w:bCs w:val="false"/>
        </w:rPr>
        <w:t xml:space="preserve">US-C2: As Omar, I want autonomy policy to be configurable per action type so that read-only stays automatic and writes stay gated.</w:t>
      </w:r>
    </w:p>
    <w:p>
      <w:pPr>
        <w:pStyle w:val="Heading2"/>
      </w:pPr>
      <w:r>
        <w:t xml:space="preserve">11.4 Epic D — Extend &amp; administer</w:t>
      </w:r>
    </w:p>
    <w:p>
      <w:pPr>
        <w:pStyle w:val="ListParagraph"/>
        <w:numPr>
          <w:ilvl w:val="0"/>
          <w:numId w:val="2"/>
        </w:numPr>
        <w:spacing w:after="60" w:line="268"/>
      </w:pPr>
      <w:r>
        <w:rPr>
          <w:b w:val="false"/>
          <w:bCs w:val="false"/>
        </w:rPr>
        <w:t xml:space="preserve">US-D1: As Sara (platform engineer), I want to register a new system as an MCP server with declarative permissions so that onboarding does not require bespoke pipelines.</w:t>
      </w:r>
    </w:p>
    <w:p>
      <w:pPr>
        <w:pStyle w:val="ListParagraph"/>
        <w:numPr>
          <w:ilvl w:val="0"/>
          <w:numId w:val="2"/>
        </w:numPr>
        <w:spacing w:after="60" w:line="268"/>
      </w:pPr>
      <w:r>
        <w:rPr>
          <w:b w:val="false"/>
          <w:bCs w:val="false"/>
        </w:rPr>
        <w:t xml:space="preserve">US-D2: As Lena (admin), I want to manage prompt versions and roll back a bad prompt so that I can control behavior safely.</w:t>
      </w:r>
    </w:p>
    <w:p>
      <w:pPr>
        <w:pStyle w:val="ListParagraph"/>
        <w:numPr>
          <w:ilvl w:val="0"/>
          <w:numId w:val="2"/>
        </w:numPr>
        <w:spacing w:after="60" w:line="268"/>
      </w:pPr>
      <w:r>
        <w:rPr>
          <w:b w:val="false"/>
          <w:bCs w:val="false"/>
        </w:rPr>
        <w:t xml:space="preserve">US-D3: As Lena, I want to set per-tenant budgets and routing policy so that cost stays predictable.</w:t>
      </w:r>
    </w:p>
    <w:p>
      <w:pPr>
        <w:pStyle w:val="Heading2"/>
      </w:pPr>
      <w:r>
        <w:t xml:space="preserve">11.5 Epic E — Executive consumption</w:t>
      </w:r>
    </w:p>
    <w:p>
      <w:pPr>
        <w:pStyle w:val="ListParagraph"/>
        <w:numPr>
          <w:ilvl w:val="0"/>
          <w:numId w:val="2"/>
        </w:numPr>
        <w:spacing w:after="60" w:line="268"/>
      </w:pPr>
      <w:r>
        <w:rPr>
          <w:b w:val="false"/>
          <w:bCs w:val="false"/>
        </w:rPr>
        <w:t xml:space="preserve">US-E1: As Marcus (executive), I want a one-page brief with the recommendation, top drivers, and confidence so that I can decide quickly.</w:t>
      </w:r>
    </w:p>
    <w:p>
      <w:pPr>
        <w:pStyle w:val="ListParagraph"/>
        <w:numPr>
          <w:ilvl w:val="0"/>
          <w:numId w:val="2"/>
        </w:numPr>
        <w:spacing w:after="60" w:line="268"/>
      </w:pPr>
      <w:r>
        <w:rPr>
          <w:b w:val="false"/>
          <w:bCs w:val="false"/>
        </w:rPr>
        <w:t xml:space="preserve">US-E2: As Marcus, I want to drill from the brief into the underlying evidence so that I can verify before a board discussion.</w:t>
      </w:r>
    </w:p>
    <w:p>
      <w:pPr>
        <w:pStyle w:val="Heading1"/>
      </w:pPr>
      <w:r>
        <w:t xml:space="preserve">12. Acceptance Criteria</w:t>
      </w:r>
    </w:p>
    <w:p>
      <w:pPr>
        <w:spacing w:after="120" w:line="276"/>
      </w:pPr>
      <w:r>
        <w:t xml:space="preserve">Acceptance criteria are written in Given/When/Then form for representative stories. Each criterion is testable and maps to the evaluation suite (FR-054).</w:t>
      </w:r>
    </w:p>
    <w:p>
      <w:pPr>
        <w:pStyle w:val="Heading3"/>
      </w:pPr>
      <w:r>
        <w:t xml:space="preserve">US-A1 — Ask a complex question</w:t>
      </w:r>
    </w:p>
    <w:p>
      <w:pPr>
        <w:pStyle w:val="ListParagraph"/>
        <w:numPr>
          <w:ilvl w:val="0"/>
          <w:numId w:val="2"/>
        </w:numPr>
        <w:spacing w:after="60" w:line="268"/>
      </w:pPr>
      <w:r>
        <w:rPr>
          <w:b/>
          <w:bCs/>
        </w:rPr>
        <w:t xml:space="preserve">Given: </w:t>
      </w:r>
      <w:r>
        <w:t xml:space="preserve">an authenticated analyst with access to the EMEA finance schema</w:t>
      </w:r>
    </w:p>
    <w:p>
      <w:pPr>
        <w:pStyle w:val="ListParagraph"/>
        <w:numPr>
          <w:ilvl w:val="0"/>
          <w:numId w:val="2"/>
        </w:numPr>
        <w:spacing w:after="60" w:line="268"/>
      </w:pPr>
      <w:r>
        <w:rPr>
          <w:b/>
          <w:bCs/>
        </w:rPr>
        <w:t xml:space="preserve">When: </w:t>
      </w:r>
      <w:r>
        <w:t xml:space="preserve">they submit “why did EMEA margin fall last quarter?”</w:t>
      </w:r>
    </w:p>
    <w:p>
      <w:pPr>
        <w:pStyle w:val="ListParagraph"/>
        <w:numPr>
          <w:ilvl w:val="0"/>
          <w:numId w:val="2"/>
        </w:numPr>
        <w:spacing w:after="60" w:line="268"/>
      </w:pPr>
      <w:r>
        <w:rPr>
          <w:b/>
          <w:bCs/>
        </w:rPr>
        <w:t xml:space="preserve">Then: </w:t>
      </w:r>
      <w:r>
        <w:t xml:space="preserve">EADIP returns a driver-level explanation naming the top contributors with magnitudes, each linked to its source query, within the latency SLO</w:t>
      </w:r>
    </w:p>
    <w:p>
      <w:pPr>
        <w:pStyle w:val="ListParagraph"/>
        <w:numPr>
          <w:ilvl w:val="0"/>
          <w:numId w:val="2"/>
        </w:numPr>
        <w:spacing w:after="60" w:line="268"/>
      </w:pPr>
      <w:r>
        <w:rPr>
          <w:b/>
          <w:bCs/>
        </w:rPr>
        <w:t xml:space="preserve">And: </w:t>
      </w:r>
      <w:r>
        <w:t xml:space="preserve">if the user lacks access to a required source, the answer states the limitation rather than fabricating</w:t>
      </w:r>
    </w:p>
    <w:p>
      <w:pPr>
        <w:spacing w:after="60"/>
      </w:pPr>
      <w:r>
        <w:t xml:space="preserve"/>
      </w:r>
    </w:p>
    <w:p>
      <w:pPr>
        <w:pStyle w:val="Heading3"/>
      </w:pPr>
      <w:r>
        <w:t xml:space="preserve">US-A2 — Review the plan before execution</w:t>
      </w:r>
    </w:p>
    <w:p>
      <w:pPr>
        <w:pStyle w:val="ListParagraph"/>
        <w:numPr>
          <w:ilvl w:val="0"/>
          <w:numId w:val="2"/>
        </w:numPr>
        <w:spacing w:after="60" w:line="268"/>
      </w:pPr>
      <w:r>
        <w:rPr>
          <w:b/>
          <w:bCs/>
        </w:rPr>
        <w:t xml:space="preserve">Given: </w:t>
      </w:r>
      <w:r>
        <w:t xml:space="preserve">a submitted question classified as complex</w:t>
      </w:r>
    </w:p>
    <w:p>
      <w:pPr>
        <w:pStyle w:val="ListParagraph"/>
        <w:numPr>
          <w:ilvl w:val="0"/>
          <w:numId w:val="2"/>
        </w:numPr>
        <w:spacing w:after="60" w:line="268"/>
      </w:pPr>
      <w:r>
        <w:rPr>
          <w:b/>
          <w:bCs/>
        </w:rPr>
        <w:t xml:space="preserve">When: </w:t>
      </w:r>
      <w:r>
        <w:t xml:space="preserve">the planner produces a multi-step plan</w:t>
      </w:r>
    </w:p>
    <w:p>
      <w:pPr>
        <w:pStyle w:val="ListParagraph"/>
        <w:numPr>
          <w:ilvl w:val="0"/>
          <w:numId w:val="2"/>
        </w:numPr>
        <w:spacing w:after="60" w:line="268"/>
      </w:pPr>
      <w:r>
        <w:rPr>
          <w:b/>
          <w:bCs/>
        </w:rPr>
        <w:t xml:space="preserve">Then: </w:t>
      </w:r>
      <w:r>
        <w:t xml:space="preserve">the plan (steps, data sources, tools) is shown before execution, with an option to proceed, edit, or cancel</w:t>
      </w:r>
    </w:p>
    <w:p>
      <w:pPr>
        <w:spacing w:after="60"/>
      </w:pPr>
      <w:r>
        <w:t xml:space="preserve"/>
      </w:r>
    </w:p>
    <w:p>
      <w:pPr>
        <w:pStyle w:val="Heading3"/>
      </w:pPr>
      <w:r>
        <w:t xml:space="preserve">US-B1 — Provenance on every number</w:t>
      </w:r>
    </w:p>
    <w:p>
      <w:pPr>
        <w:pStyle w:val="ListParagraph"/>
        <w:numPr>
          <w:ilvl w:val="0"/>
          <w:numId w:val="2"/>
        </w:numPr>
        <w:spacing w:after="60" w:line="268"/>
      </w:pPr>
      <w:r>
        <w:rPr>
          <w:b/>
          <w:bCs/>
        </w:rPr>
        <w:t xml:space="preserve">Given: </w:t>
      </w:r>
      <w:r>
        <w:t xml:space="preserve">a completed investigation containing quantitative claims</w:t>
      </w:r>
    </w:p>
    <w:p>
      <w:pPr>
        <w:pStyle w:val="ListParagraph"/>
        <w:numPr>
          <w:ilvl w:val="0"/>
          <w:numId w:val="2"/>
        </w:numPr>
        <w:spacing w:after="60" w:line="268"/>
      </w:pPr>
      <w:r>
        <w:rPr>
          <w:b/>
          <w:bCs/>
        </w:rPr>
        <w:t xml:space="preserve">When: </w:t>
      </w:r>
      <w:r>
        <w:t xml:space="preserve">the answer is rendered</w:t>
      </w:r>
    </w:p>
    <w:p>
      <w:pPr>
        <w:pStyle w:val="ListParagraph"/>
        <w:numPr>
          <w:ilvl w:val="0"/>
          <w:numId w:val="2"/>
        </w:numPr>
        <w:spacing w:after="60" w:line="268"/>
      </w:pPr>
      <w:r>
        <w:rPr>
          <w:b/>
          <w:bCs/>
        </w:rPr>
        <w:t xml:space="preserve">Then: </w:t>
      </w:r>
      <w:r>
        <w:t xml:space="preserve">each quantitative claim exposes the exact query or document and the verification status (verified / unverified / conflicting)</w:t>
      </w:r>
    </w:p>
    <w:p>
      <w:pPr>
        <w:spacing w:after="60"/>
      </w:pPr>
      <w:r>
        <w:t xml:space="preserve"/>
      </w:r>
    </w:p>
    <w:p>
      <w:pPr>
        <w:pStyle w:val="Heading3"/>
      </w:pPr>
      <w:r>
        <w:t xml:space="preserve">US-C1 — Approval gate on write actions</w:t>
      </w:r>
    </w:p>
    <w:p>
      <w:pPr>
        <w:pStyle w:val="ListParagraph"/>
        <w:numPr>
          <w:ilvl w:val="0"/>
          <w:numId w:val="2"/>
        </w:numPr>
        <w:spacing w:after="60" w:line="268"/>
      </w:pPr>
      <w:r>
        <w:rPr>
          <w:b/>
          <w:bCs/>
        </w:rPr>
        <w:t xml:space="preserve">Given: </w:t>
      </w:r>
      <w:r>
        <w:t xml:space="preserve">a plan that includes a side-effecting tool call (e.g., create ticket)</w:t>
      </w:r>
    </w:p>
    <w:p>
      <w:pPr>
        <w:pStyle w:val="ListParagraph"/>
        <w:numPr>
          <w:ilvl w:val="0"/>
          <w:numId w:val="2"/>
        </w:numPr>
        <w:spacing w:after="60" w:line="268"/>
      </w:pPr>
      <w:r>
        <w:rPr>
          <w:b/>
          <w:bCs/>
        </w:rPr>
        <w:t xml:space="preserve">When: </w:t>
      </w:r>
      <w:r>
        <w:t xml:space="preserve">execution reaches that step</w:t>
      </w:r>
    </w:p>
    <w:p>
      <w:pPr>
        <w:pStyle w:val="ListParagraph"/>
        <w:numPr>
          <w:ilvl w:val="0"/>
          <w:numId w:val="2"/>
        </w:numPr>
        <w:spacing w:after="60" w:line="268"/>
      </w:pPr>
      <w:r>
        <w:rPr>
          <w:b/>
          <w:bCs/>
        </w:rPr>
        <w:t xml:space="preserve">Then: </w:t>
      </w:r>
      <w:r>
        <w:t xml:space="preserve">the system pauses, presents the proposed action and payload, and proceeds only after explicit human approval; rejection is logged and the step is skipped</w:t>
      </w:r>
    </w:p>
    <w:p>
      <w:pPr>
        <w:spacing w:after="60"/>
      </w:pPr>
      <w:r>
        <w:t xml:space="preserve"/>
      </w:r>
    </w:p>
    <w:p>
      <w:pPr>
        <w:pStyle w:val="Heading3"/>
      </w:pPr>
      <w:r>
        <w:t xml:space="preserve">US-D1 — Onboard a system via MCP</w:t>
      </w:r>
    </w:p>
    <w:p>
      <w:pPr>
        <w:pStyle w:val="ListParagraph"/>
        <w:numPr>
          <w:ilvl w:val="0"/>
          <w:numId w:val="2"/>
        </w:numPr>
        <w:spacing w:after="60" w:line="268"/>
      </w:pPr>
      <w:r>
        <w:rPr>
          <w:b/>
          <w:bCs/>
        </w:rPr>
        <w:t xml:space="preserve">Given: </w:t>
      </w:r>
      <w:r>
        <w:t xml:space="preserve">a reachable MCP server with a declared permission scope</w:t>
      </w:r>
    </w:p>
    <w:p>
      <w:pPr>
        <w:pStyle w:val="ListParagraph"/>
        <w:numPr>
          <w:ilvl w:val="0"/>
          <w:numId w:val="2"/>
        </w:numPr>
        <w:spacing w:after="60" w:line="268"/>
      </w:pPr>
      <w:r>
        <w:rPr>
          <w:b/>
          <w:bCs/>
        </w:rPr>
        <w:t xml:space="preserve">When: </w:t>
      </w:r>
      <w:r>
        <w:t xml:space="preserve">an engineer registers it in the Administration Portal</w:t>
      </w:r>
    </w:p>
    <w:p>
      <w:pPr>
        <w:pStyle w:val="ListParagraph"/>
        <w:numPr>
          <w:ilvl w:val="0"/>
          <w:numId w:val="2"/>
        </w:numPr>
        <w:spacing w:after="60" w:line="268"/>
      </w:pPr>
      <w:r>
        <w:rPr>
          <w:b/>
          <w:bCs/>
        </w:rPr>
        <w:t xml:space="preserve">Then: </w:t>
      </w:r>
      <w:r>
        <w:t xml:space="preserve">its tools appear in discovery, are health-checked, and become available to the orchestrator subject to RBAC, with no code deploy required</w:t>
      </w:r>
    </w:p>
    <w:p>
      <w:pPr>
        <w:spacing w:after="60"/>
      </w:pPr>
      <w:r>
        <w:t xml:space="preserve"/>
      </w:r>
    </w:p>
    <w:p>
      <w:pPr>
        <w:pStyle w:val="Heading1"/>
      </w:pPr>
      <w:r>
        <w:t xml:space="preserve">13. Success Metrics</w:t>
      </w:r>
    </w:p>
    <w:p>
      <w:pPr>
        <w:spacing w:after="120" w:line="276"/>
      </w:pPr>
      <w:r>
        <w:t xml:space="preserve">Success metrics fall into four families: value (does it save time and produce good decisions), trust (is it accurate and verified), adoption (do people use it), and operations (is it fast, reliable, and affordable). Each has a baseline-to-target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300"/>
        <w:gridCol w:w="2360"/>
      </w:tblGrid>
      <w:tr>
        <w:trPr>
          <w:tblHeader/>
        </w:trPr>
        <w:tc>
          <w:tcPr>
            <w:tcW w:type="dxa" w:w="27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Metric</w:t>
            </w:r>
          </w:p>
        </w:tc>
        <w:tc>
          <w:tcPr>
            <w:tcW w:type="dxa" w:w="43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Definition</w:t>
            </w:r>
          </w:p>
        </w:tc>
        <w:tc>
          <w:tcPr>
            <w:tcW w:type="dxa" w:w="23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Target (12 mo GA)</w:t>
            </w:r>
          </w:p>
        </w:tc>
      </w:tr>
      <w:tr>
        <w:tc>
          <w:tcPr>
            <w:tcW w:type="dxa" w:w="2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Time-to-insight (median)</w:t>
            </w:r>
          </w:p>
        </w:tc>
        <w:tc>
          <w:tcPr>
            <w:tcW w:type="dxa" w:w="4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Submission to delivered answer for benchmark questions</w:t>
            </w:r>
          </w:p>
        </w:tc>
        <w:tc>
          <w:tcPr>
            <w:tcW w:type="dxa" w:w="23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&lt; 4 minutes</w:t>
            </w:r>
          </w:p>
        </w:tc>
      </w:tr>
      <w:tr>
        <w:tc>
          <w:tcPr>
            <w:tcW w:type="dxa" w:w="2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Factual accuracy</w:t>
            </w:r>
          </w:p>
        </w:tc>
        <w:tc>
          <w:tcPr>
            <w:tcW w:type="dxa" w:w="4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 of answers correct on gold eval set</w:t>
            </w:r>
          </w:p>
        </w:tc>
        <w:tc>
          <w:tcPr>
            <w:tcW w:type="dxa" w:w="23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 92%</w:t>
            </w:r>
          </w:p>
        </w:tc>
      </w:tr>
      <w:tr>
        <w:tc>
          <w:tcPr>
            <w:tcW w:type="dxa" w:w="2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Verified-claim coverage</w:t>
            </w:r>
          </w:p>
        </w:tc>
        <w:tc>
          <w:tcPr>
            <w:tcW w:type="dxa" w:w="4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 of quantitative claims independently verified</w:t>
            </w:r>
          </w:p>
        </w:tc>
        <w:tc>
          <w:tcPr>
            <w:tcW w:type="dxa" w:w="23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 95%</w:t>
            </w:r>
          </w:p>
        </w:tc>
      </w:tr>
      <w:tr>
        <w:tc>
          <w:tcPr>
            <w:tcW w:type="dxa" w:w="2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Answer acceptance rate</w:t>
            </w:r>
          </w:p>
        </w:tc>
        <w:tc>
          <w:tcPr>
            <w:tcW w:type="dxa" w:w="4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 of answers users mark useful / accept</w:t>
            </w:r>
          </w:p>
        </w:tc>
        <w:tc>
          <w:tcPr>
            <w:tcW w:type="dxa" w:w="23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 60%</w:t>
            </w:r>
          </w:p>
        </w:tc>
      </w:tr>
      <w:tr>
        <w:tc>
          <w:tcPr>
            <w:tcW w:type="dxa" w:w="2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Weekly active analysts</w:t>
            </w:r>
          </w:p>
        </w:tc>
        <w:tc>
          <w:tcPr>
            <w:tcW w:type="dxa" w:w="4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 of licensed analysts active weekly</w:t>
            </w:r>
          </w:p>
        </w:tc>
        <w:tc>
          <w:tcPr>
            <w:tcW w:type="dxa" w:w="23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 40%</w:t>
            </w:r>
          </w:p>
        </w:tc>
      </w:tr>
      <w:tr>
        <w:tc>
          <w:tcPr>
            <w:tcW w:type="dxa" w:w="2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Unapproved write actions</w:t>
            </w:r>
          </w:p>
        </w:tc>
        <w:tc>
          <w:tcPr>
            <w:tcW w:type="dxa" w:w="4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Count of side-effecting actions taken without approval</w:t>
            </w:r>
          </w:p>
        </w:tc>
        <w:tc>
          <w:tcPr>
            <w:tcW w:type="dxa" w:w="23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0</w:t>
            </w:r>
          </w:p>
        </w:tc>
      </w:tr>
      <w:tr>
        <w:tc>
          <w:tcPr>
            <w:tcW w:type="dxa" w:w="2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Connector onboarding time</w:t>
            </w:r>
          </w:p>
        </w:tc>
        <w:tc>
          <w:tcPr>
            <w:tcW w:type="dxa" w:w="4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Median engineering-days to add a new MCP system</w:t>
            </w:r>
          </w:p>
        </w:tc>
        <w:tc>
          <w:tcPr>
            <w:tcW w:type="dxa" w:w="23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 5 days</w:t>
            </w:r>
          </w:p>
        </w:tc>
      </w:tr>
      <w:tr>
        <w:tc>
          <w:tcPr>
            <w:tcW w:type="dxa" w:w="2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Cost per investigation</w:t>
            </w:r>
          </w:p>
        </w:tc>
        <w:tc>
          <w:tcPr>
            <w:tcW w:type="dxa" w:w="4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Mean model + infra cost per completed investigation</w:t>
            </w:r>
          </w:p>
        </w:tc>
        <w:tc>
          <w:tcPr>
            <w:tcW w:type="dxa" w:w="23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Within budget envelope; trending down</w:t>
            </w:r>
          </w:p>
        </w:tc>
      </w:tr>
      <w:tr>
        <w:tc>
          <w:tcPr>
            <w:tcW w:type="dxa" w:w="2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Control-plane availability</w:t>
            </w:r>
          </w:p>
        </w:tc>
        <w:tc>
          <w:tcPr>
            <w:tcW w:type="dxa" w:w="4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Monthly uptime of the orchestration control plane</w:t>
            </w:r>
          </w:p>
        </w:tc>
        <w:tc>
          <w:tcPr>
            <w:tcW w:type="dxa" w:w="23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 99.9%</w:t>
            </w:r>
          </w:p>
        </w:tc>
      </w:tr>
    </w:tbl>
    <w:p>
      <w:pPr>
        <w:pStyle w:val="Heading1"/>
      </w:pPr>
      <w:r>
        <w:t xml:space="preserve">14. KPIs</w:t>
      </w:r>
    </w:p>
    <w:p>
      <w:pPr>
        <w:spacing w:after="120" w:line="276"/>
      </w:pPr>
      <w:r>
        <w:t xml:space="preserve">KPIs are the operational instrumentation of the success metrics, reported on a standing dashboard (North-Star plus supporting tiers).</w:t>
      </w:r>
    </w:p>
    <w:p>
      <w:pPr>
        <w:spacing w:after="120" w:line="276"/>
      </w:pPr>
      <w:r>
        <w:rPr>
          <w:b/>
          <w:bCs/>
        </w:rPr>
        <w:t xml:space="preserve">North-Star KPI. </w:t>
      </w:r>
      <w:r>
        <w:t xml:space="preserve">Verified Insights Delivered per Week — the count of completed investigations whose quantitative claims passed independent verification and were accepted by a user. It captures value, trust, and adoption in one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Tier</w:t>
            </w:r>
          </w:p>
        </w:tc>
        <w:tc>
          <w:tcPr>
            <w:tcW w:type="dxa" w:w="37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KPI</w:t>
            </w:r>
          </w:p>
        </w:tc>
        <w:tc>
          <w:tcPr>
            <w:tcW w:type="dxa" w:w="41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Why it matters</w:t>
            </w:r>
          </w:p>
        </w:tc>
      </w:tr>
      <w:tr>
        <w:tc>
          <w:tcPr>
            <w:tcW w:type="dxa" w:w="15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Value</w:t>
            </w:r>
          </w:p>
        </w:tc>
        <w:tc>
          <w:tcPr>
            <w:tcW w:type="dxa" w:w="3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Median time-to-insight; analyst hours saved</w:t>
            </w:r>
          </w:p>
        </w:tc>
        <w:tc>
          <w:tcPr>
            <w:tcW w:type="dxa" w:w="41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Core ROI story</w:t>
            </w:r>
          </w:p>
        </w:tc>
      </w:tr>
      <w:tr>
        <w:tc>
          <w:tcPr>
            <w:tcW w:type="dxa" w:w="15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Trust</w:t>
            </w:r>
          </w:p>
        </w:tc>
        <w:tc>
          <w:tcPr>
            <w:tcW w:type="dxa" w:w="3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Verification pass rate; accuracy on eval set; dispute rate</w:t>
            </w:r>
          </w:p>
        </w:tc>
        <w:tc>
          <w:tcPr>
            <w:tcW w:type="dxa" w:w="41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Drives adoption and defensibility</w:t>
            </w:r>
          </w:p>
        </w:tc>
      </w:tr>
      <w:tr>
        <w:tc>
          <w:tcPr>
            <w:tcW w:type="dxa" w:w="15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Adoption</w:t>
            </w:r>
          </w:p>
        </w:tc>
        <w:tc>
          <w:tcPr>
            <w:tcW w:type="dxa" w:w="3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WAU/MAU; questions per active user; retention curve</w:t>
            </w:r>
          </w:p>
        </w:tc>
        <w:tc>
          <w:tcPr>
            <w:tcW w:type="dxa" w:w="41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Indicates stickiness and habit formation</w:t>
            </w:r>
          </w:p>
        </w:tc>
      </w:tr>
      <w:tr>
        <w:tc>
          <w:tcPr>
            <w:tcW w:type="dxa" w:w="15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Quality</w:t>
            </w:r>
          </w:p>
        </w:tc>
        <w:tc>
          <w:tcPr>
            <w:tcW w:type="dxa" w:w="3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Answer acceptance rate; thumbs-down rate; re-ask rate</w:t>
            </w:r>
          </w:p>
        </w:tc>
        <w:tc>
          <w:tcPr>
            <w:tcW w:type="dxa" w:w="41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Direct user satisfaction signal</w:t>
            </w:r>
          </w:p>
        </w:tc>
      </w:tr>
      <w:tr>
        <w:tc>
          <w:tcPr>
            <w:tcW w:type="dxa" w:w="15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Ops</w:t>
            </w:r>
          </w:p>
        </w:tc>
        <w:tc>
          <w:tcPr>
            <w:tcW w:type="dxa" w:w="3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p50/p95 latency; error rate; cost per investigation; availability</w:t>
            </w:r>
          </w:p>
        </w:tc>
        <w:tc>
          <w:tcPr>
            <w:tcW w:type="dxa" w:w="41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Health of the service</w:t>
            </w:r>
          </w:p>
        </w:tc>
      </w:tr>
      <w:tr>
        <w:tc>
          <w:tcPr>
            <w:tcW w:type="dxa" w:w="15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Safety</w:t>
            </w:r>
          </w:p>
        </w:tc>
        <w:tc>
          <w:tcPr>
            <w:tcW w:type="dxa" w:w="3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Unapproved actions (target 0); approval turnaround time</w:t>
            </w:r>
          </w:p>
        </w:tc>
        <w:tc>
          <w:tcPr>
            <w:tcW w:type="dxa" w:w="41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Governance assurance</w:t>
            </w:r>
          </w:p>
        </w:tc>
      </w:tr>
    </w:tbl>
    <w:p>
      <w:pPr>
        <w:pStyle w:val="Heading1"/>
      </w:pPr>
      <w:r>
        <w:t xml:space="preserve">15. Product Scope</w:t>
      </w:r>
    </w:p>
    <w:p>
      <w:pPr>
        <w:spacing w:after="120" w:line="276"/>
      </w:pPr>
      <w:r>
        <w:t xml:space="preserve">This section defines what is in scope for the GA product. Anything not listed here or explicitly deferred in Section 16 is out of scope for the first release.</w:t>
      </w:r>
    </w:p>
    <w:p>
      <w:pPr>
        <w:pStyle w:val="Heading2"/>
      </w:pPr>
      <w:r>
        <w:t xml:space="preserve">15.1 In scope (GA)</w:t>
      </w:r>
    </w:p>
    <w:p>
      <w:pPr>
        <w:pStyle w:val="ListParagraph"/>
        <w:numPr>
          <w:ilvl w:val="0"/>
          <w:numId w:val="2"/>
        </w:numPr>
        <w:spacing w:after="60" w:line="268"/>
      </w:pPr>
      <w:r>
        <w:rPr>
          <w:b w:val="false"/>
          <w:bCs w:val="false"/>
        </w:rPr>
        <w:t xml:space="preserve">Natural-language intake (UI + API) for read-oriented business investigations.</w:t>
      </w:r>
    </w:p>
    <w:p>
      <w:pPr>
        <w:pStyle w:val="ListParagraph"/>
        <w:numPr>
          <w:ilvl w:val="0"/>
          <w:numId w:val="2"/>
        </w:numPr>
        <w:spacing w:after="60" w:line="268"/>
      </w:pPr>
      <w:r>
        <w:rPr>
          <w:b w:val="false"/>
          <w:bCs w:val="false"/>
        </w:rPr>
        <w:t xml:space="preserve">Goal interpretation, planning, and multi-agent orchestration with streaming progress.</w:t>
      </w:r>
    </w:p>
    <w:p>
      <w:pPr>
        <w:pStyle w:val="ListParagraph"/>
        <w:numPr>
          <w:ilvl w:val="0"/>
          <w:numId w:val="2"/>
        </w:numPr>
        <w:spacing w:after="60" w:line="268"/>
      </w:pPr>
      <w:r>
        <w:rPr>
          <w:b w:val="false"/>
          <w:bCs w:val="false"/>
        </w:rPr>
        <w:t xml:space="preserve">Hybrid retrieval, GraphRAG, and a governed document knowledge base.</w:t>
      </w:r>
    </w:p>
    <w:p>
      <w:pPr>
        <w:pStyle w:val="ListParagraph"/>
        <w:numPr>
          <w:ilvl w:val="0"/>
          <w:numId w:val="2"/>
        </w:numPr>
        <w:spacing w:after="60" w:line="268"/>
      </w:pPr>
      <w:r>
        <w:rPr>
          <w:b w:val="false"/>
          <w:bCs w:val="false"/>
        </w:rPr>
        <w:t xml:space="preserve">NL-to-SQL analytics over governed warehouses with read-only execution and validation.</w:t>
      </w:r>
    </w:p>
    <w:p>
      <w:pPr>
        <w:pStyle w:val="ListParagraph"/>
        <w:numPr>
          <w:ilvl w:val="0"/>
          <w:numId w:val="2"/>
        </w:numPr>
        <w:spacing w:after="60" w:line="268"/>
      </w:pPr>
      <w:r>
        <w:rPr>
          <w:b w:val="false"/>
          <w:bCs w:val="false"/>
        </w:rPr>
        <w:t xml:space="preserve">Statistical analysis: trend, variance decomposition, correlation, anomaly detection; forecasting (basic).</w:t>
      </w:r>
    </w:p>
    <w:p>
      <w:pPr>
        <w:pStyle w:val="ListParagraph"/>
        <w:numPr>
          <w:ilvl w:val="0"/>
          <w:numId w:val="2"/>
        </w:numPr>
        <w:spacing w:after="60" w:line="268"/>
      </w:pPr>
      <w:r>
        <w:rPr>
          <w:b w:val="false"/>
          <w:bCs w:val="false"/>
        </w:rPr>
        <w:t xml:space="preserve">MCP-first tool integration with discovery, permissions, and fallback.</w:t>
      </w:r>
    </w:p>
    <w:p>
      <w:pPr>
        <w:pStyle w:val="ListParagraph"/>
        <w:numPr>
          <w:ilvl w:val="0"/>
          <w:numId w:val="2"/>
        </w:numPr>
        <w:spacing w:after="60" w:line="268"/>
      </w:pPr>
      <w:r>
        <w:rPr>
          <w:b w:val="false"/>
          <w:bCs w:val="false"/>
        </w:rPr>
        <w:t xml:space="preserve">Reflection and independent verification of quantitative claims.</w:t>
      </w:r>
    </w:p>
    <w:p>
      <w:pPr>
        <w:pStyle w:val="ListParagraph"/>
        <w:numPr>
          <w:ilvl w:val="0"/>
          <w:numId w:val="2"/>
        </w:numPr>
        <w:spacing w:after="60" w:line="268"/>
      </w:pPr>
      <w:r>
        <w:rPr>
          <w:b w:val="false"/>
          <w:bCs w:val="false"/>
        </w:rPr>
        <w:t xml:space="preserve">Recommendation engine and executive report generation.</w:t>
      </w:r>
    </w:p>
    <w:p>
      <w:pPr>
        <w:pStyle w:val="ListParagraph"/>
        <w:numPr>
          <w:ilvl w:val="0"/>
          <w:numId w:val="2"/>
        </w:numPr>
        <w:spacing w:after="60" w:line="268"/>
      </w:pPr>
      <w:r>
        <w:rPr>
          <w:b w:val="false"/>
          <w:bCs w:val="false"/>
        </w:rPr>
        <w:t xml:space="preserve">Human approval workflow for any write/high-impact action.</w:t>
      </w:r>
    </w:p>
    <w:p>
      <w:pPr>
        <w:pStyle w:val="ListParagraph"/>
        <w:numPr>
          <w:ilvl w:val="0"/>
          <w:numId w:val="2"/>
        </w:numPr>
        <w:spacing w:after="60" w:line="268"/>
      </w:pPr>
      <w:r>
        <w:rPr>
          <w:b w:val="false"/>
          <w:bCs w:val="false"/>
        </w:rPr>
        <w:t xml:space="preserve">Memory (short- and long-term), audit logging, prompt management, model routing.</w:t>
      </w:r>
    </w:p>
    <w:p>
      <w:pPr>
        <w:pStyle w:val="ListParagraph"/>
        <w:numPr>
          <w:ilvl w:val="0"/>
          <w:numId w:val="2"/>
        </w:numPr>
        <w:spacing w:after="60" w:line="268"/>
      </w:pPr>
      <w:r>
        <w:rPr>
          <w:b w:val="false"/>
          <w:bCs w:val="false"/>
        </w:rPr>
        <w:t xml:space="preserve">Evaluation framework, observability, RBAC/SSO, and an administration portal.</w:t>
      </w:r>
    </w:p>
    <w:p>
      <w:pPr>
        <w:pStyle w:val="Heading2"/>
      </w:pPr>
      <w:r>
        <w:t xml:space="preserve">15.2 Scope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7FB" w:sz="2"/>
              <w:left w:val="single" w:color="2E5C9A" w:sz="18"/>
              <w:bottom w:val="single" w:color="F4F7FB" w:sz="2"/>
              <w:right w:val="single" w:color="F4F7FB" w:sz="2"/>
            </w:tcBorders>
            <w:shd w:fill="F4F7FB" w:val="clear"/>
            <w:tcMar>
              <w:top w:type="dxa" w:w="120"/>
              <w:left w:type="dxa" w:w="160"/>
              <w:bottom w:type="dxa" w:w="120"/>
              <w:right w:type="dxa" w:w="160"/>
            </w:tcMar>
          </w:tcPr>
          <w:p>
            <w:pPr>
              <w:spacing w:after="40" w:line="264"/>
            </w:pPr>
            <w:r>
              <w:rPr>
                <w:sz w:val="19"/>
                <w:szCs w:val="19"/>
              </w:rPr>
              <w:t xml:space="preserve">EADIP investigates and recommends; it does not autonomously execute consequential actions. All writes are proposed and human-approved.</w:t>
            </w:r>
          </w:p>
          <w:p>
            <w:pPr>
              <w:spacing w:after="40" w:line="264"/>
            </w:pPr>
            <w:r>
              <w:rPr>
                <w:sz w:val="19"/>
                <w:szCs w:val="19"/>
              </w:rPr>
              <w:t xml:space="preserve">EADIP answers from governed enterprise sources and approved knowledge; open-web research is optional and clearly labeled, not a default.</w:t>
            </w:r>
          </w:p>
        </w:tc>
      </w:tr>
    </w:tbl>
    <w:p>
      <w:pPr>
        <w:pStyle w:val="Heading1"/>
      </w:pPr>
      <w:r>
        <w:t xml:space="preserve">16. Out of Scope (This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060"/>
      </w:tblGrid>
      <w:tr>
        <w:trPr>
          <w:tblHeader/>
        </w:trPr>
        <w:tc>
          <w:tcPr>
            <w:tcW w:type="dxa" w:w="33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Item</w:t>
            </w:r>
          </w:p>
        </w:tc>
        <w:tc>
          <w:tcPr>
            <w:tcW w:type="dxa" w:w="40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Rationale</w:t>
            </w:r>
          </w:p>
        </w:tc>
        <w:tc>
          <w:tcPr>
            <w:tcW w:type="dxa" w:w="20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Revisit</w:t>
            </w:r>
          </w:p>
        </w:tc>
      </w:tr>
      <w:tr>
        <w:tc>
          <w:tcPr>
            <w:tcW w:type="dxa" w:w="3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Fully autonomous write/execution without approval</w:t>
            </w:r>
          </w:p>
        </w:tc>
        <w:tc>
          <w:tcPr>
            <w:tcW w:type="dxa" w:w="40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Unacceptable governance risk at GA</w:t>
            </w:r>
          </w:p>
        </w:tc>
        <w:tc>
          <w:tcPr>
            <w:tcW w:type="dxa" w:w="20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Post-GA, policy-gated, per customer</w:t>
            </w:r>
          </w:p>
        </w:tc>
      </w:tr>
      <w:tr>
        <w:tc>
          <w:tcPr>
            <w:tcW w:type="dxa" w:w="3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Open-web deep research as a default mode</w:t>
            </w:r>
          </w:p>
        </w:tc>
        <w:tc>
          <w:tcPr>
            <w:tcW w:type="dxa" w:w="40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Trust and provenance concerns; governance focus first</w:t>
            </w:r>
          </w:p>
        </w:tc>
        <w:tc>
          <w:tcPr>
            <w:tcW w:type="dxa" w:w="20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Roadmap (labeled, opt-in)</w:t>
            </w:r>
          </w:p>
        </w:tc>
      </w:tr>
      <w:tr>
        <w:tc>
          <w:tcPr>
            <w:tcW w:type="dxa" w:w="3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Real-time streaming/event data investigation</w:t>
            </w:r>
          </w:p>
        </w:tc>
        <w:tc>
          <w:tcPr>
            <w:tcW w:type="dxa" w:w="40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Architecture optimized for batch/warehouse first</w:t>
            </w:r>
          </w:p>
        </w:tc>
        <w:tc>
          <w:tcPr>
            <w:tcW w:type="dxa" w:w="20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Phase 3</w:t>
            </w:r>
          </w:p>
        </w:tc>
      </w:tr>
      <w:tr>
        <w:tc>
          <w:tcPr>
            <w:tcW w:type="dxa" w:w="3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Custom model fine-tuning per tenant</w:t>
            </w:r>
          </w:p>
        </w:tc>
        <w:tc>
          <w:tcPr>
            <w:tcW w:type="dxa" w:w="40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High cost/complexity; routing + prompting suffice initially</w:t>
            </w:r>
          </w:p>
        </w:tc>
        <w:tc>
          <w:tcPr>
            <w:tcW w:type="dxa" w:w="20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Phase 3+</w:t>
            </w:r>
          </w:p>
        </w:tc>
      </w:tr>
      <w:tr>
        <w:tc>
          <w:tcPr>
            <w:tcW w:type="dxa" w:w="3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Native mobile apps</w:t>
            </w:r>
          </w:p>
        </w:tc>
        <w:tc>
          <w:tcPr>
            <w:tcW w:type="dxa" w:w="40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Responsive web covers GA personas</w:t>
            </w:r>
          </w:p>
        </w:tc>
        <w:tc>
          <w:tcPr>
            <w:tcW w:type="dxa" w:w="20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Roadmap</w:t>
            </w:r>
          </w:p>
        </w:tc>
      </w:tr>
      <w:tr>
        <w:tc>
          <w:tcPr>
            <w:tcW w:type="dxa" w:w="3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Non-English UI localization</w:t>
            </w:r>
          </w:p>
        </w:tc>
        <w:tc>
          <w:tcPr>
            <w:tcW w:type="dxa" w:w="40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English-first GA; i18n-ready foundation</w:t>
            </w:r>
          </w:p>
        </w:tc>
        <w:tc>
          <w:tcPr>
            <w:tcW w:type="dxa" w:w="20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Roadmap</w:t>
            </w:r>
          </w:p>
        </w:tc>
      </w:tr>
      <w:tr>
        <w:tc>
          <w:tcPr>
            <w:tcW w:type="dxa" w:w="3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Embedded/white-label OEM distribution</w:t>
            </w:r>
          </w:p>
        </w:tc>
        <w:tc>
          <w:tcPr>
            <w:tcW w:type="dxa" w:w="40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Direct enterprise GTM first</w:t>
            </w:r>
          </w:p>
        </w:tc>
        <w:tc>
          <w:tcPr>
            <w:tcW w:type="dxa" w:w="20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Future</w:t>
            </w:r>
          </w:p>
        </w:tc>
      </w:tr>
    </w:tbl>
    <w:p>
      <w:pPr>
        <w:pStyle w:val="Heading1"/>
      </w:pPr>
      <w:r>
        <w:t xml:space="preserve">17. Product Risks</w:t>
      </w:r>
    </w:p>
    <w:p>
      <w:pPr>
        <w:spacing w:after="120" w:line="276"/>
      </w:pPr>
      <w:r>
        <w:t xml:space="preserve">Product-level risks (distinct from the consolidated risk matrix in Section 34, which adds likelihood/impact scoring and ownership). These are the strategic risks most likely to threaten the product thesis.</w:t>
      </w:r>
    </w:p>
    <w:p>
      <w:pPr>
        <w:pStyle w:val="ListParagraph"/>
        <w:numPr>
          <w:ilvl w:val="0"/>
          <w:numId w:val="2"/>
        </w:numPr>
        <w:spacing w:after="60" w:line="268"/>
      </w:pPr>
      <w:r>
        <w:rPr>
          <w:b w:val="false"/>
          <w:bCs w:val="false"/>
        </w:rPr>
        <w:t xml:space="preserve">Trust risk: if verification is imperfect, a single high-profile wrong answer can stall adoption. Mitigation: verification-native design, calibrated confidence, conspicuous uncertainty.</w:t>
      </w:r>
    </w:p>
    <w:p>
      <w:pPr>
        <w:pStyle w:val="ListParagraph"/>
        <w:numPr>
          <w:ilvl w:val="0"/>
          <w:numId w:val="2"/>
        </w:numPr>
        <w:spacing w:after="60" w:line="268"/>
      </w:pPr>
      <w:r>
        <w:rPr>
          <w:b w:val="false"/>
          <w:bCs w:val="false"/>
        </w:rPr>
        <w:t xml:space="preserve">Data-governance risk: answering across systems can leak data across permission boundaries. Mitigation: identity-scoped retrieval and query execution; deny-by-default.</w:t>
      </w:r>
    </w:p>
    <w:p>
      <w:pPr>
        <w:pStyle w:val="ListParagraph"/>
        <w:numPr>
          <w:ilvl w:val="0"/>
          <w:numId w:val="2"/>
        </w:numPr>
        <w:spacing w:after="60" w:line="268"/>
      </w:pPr>
      <w:r>
        <w:rPr>
          <w:b w:val="false"/>
          <w:bCs w:val="false"/>
        </w:rPr>
        <w:t xml:space="preserve">Integration risk: if MCP onboarding is not genuinely cheap, the extensibility promise fails. Mitigation: declarative connector model; onboarding SLO tracked as a KPI.</w:t>
      </w:r>
    </w:p>
    <w:p>
      <w:pPr>
        <w:pStyle w:val="ListParagraph"/>
        <w:numPr>
          <w:ilvl w:val="0"/>
          <w:numId w:val="2"/>
        </w:numPr>
        <w:spacing w:after="60" w:line="268"/>
      </w:pPr>
      <w:r>
        <w:rPr>
          <w:b w:val="false"/>
          <w:bCs w:val="false"/>
        </w:rPr>
        <w:t xml:space="preserve">Cost risk: unbounded agent loops can make per-investigation cost unpredictable. Mitigation: loop/timeout limits, per-step budgets, model routing.</w:t>
      </w:r>
    </w:p>
    <w:p>
      <w:pPr>
        <w:pStyle w:val="ListParagraph"/>
        <w:numPr>
          <w:ilvl w:val="0"/>
          <w:numId w:val="2"/>
        </w:numPr>
        <w:spacing w:after="60" w:line="268"/>
      </w:pPr>
      <w:r>
        <w:rPr>
          <w:b w:val="false"/>
          <w:bCs w:val="false"/>
        </w:rPr>
        <w:t xml:space="preserve">Change-management risk: analysts may resist a tool perceived as replacing them. Mitigation: position as augmentation; analyst stays the approver and sign-off.</w:t>
      </w:r>
    </w:p>
    <w:p>
      <w:pPr>
        <w:pStyle w:val="ListParagraph"/>
        <w:numPr>
          <w:ilvl w:val="0"/>
          <w:numId w:val="2"/>
        </w:numPr>
        <w:spacing w:after="60" w:line="268"/>
      </w:pPr>
      <w:r>
        <w:rPr>
          <w:b w:val="false"/>
          <w:bCs w:val="false"/>
        </w:rPr>
        <w:t xml:space="preserve">Vendor/model risk: dependence on external model providers. Mitigation: LiteLLM abstraction and multi-provider routing.</w:t>
      </w:r>
    </w:p>
    <w:p>
      <w:pPr>
        <w:pStyle w:val="Heading1"/>
      </w:pPr>
      <w:r>
        <w:t xml:space="preserve">18. Assumptions</w:t>
      </w:r>
    </w:p>
    <w:p>
      <w:pPr>
        <w:spacing w:after="120" w:line="276"/>
      </w:pPr>
      <w:r>
        <w:t xml:space="preserve">The product plan assumes the following hold. Each is tracked; if an assumption breaks, the linked requirement or estimate is revisited.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360"/>
      </w:tblGrid>
      <w:tr>
        <w:trPr>
          <w:tblHeader/>
        </w:trPr>
        <w:tc>
          <w:tcPr>
            <w:tcW w:type="dxa" w:w="7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ID</w:t>
            </w:r>
          </w:p>
        </w:tc>
        <w:tc>
          <w:tcPr>
            <w:tcW w:type="dxa" w:w="53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Assumption</w:t>
            </w:r>
          </w:p>
        </w:tc>
        <w:tc>
          <w:tcPr>
            <w:tcW w:type="dxa" w:w="33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If false…</w:t>
            </w:r>
          </w:p>
        </w:tc>
      </w:tr>
      <w:tr>
        <w:tc>
          <w:tcPr>
            <w:tcW w:type="dxa" w:w="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A1</w:t>
            </w:r>
          </w:p>
        </w:tc>
        <w:tc>
          <w:tcPr>
            <w:tcW w:type="dxa" w:w="5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Target customers have a cloud data warehouse reachable via a governed connection.</w:t>
            </w:r>
          </w:p>
        </w:tc>
        <w:tc>
          <w:tcPr>
            <w:tcW w:type="dxa" w:w="33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Analytics value is reduced to document-only investigation.</w:t>
            </w:r>
          </w:p>
        </w:tc>
      </w:tr>
      <w:tr>
        <w:tc>
          <w:tcPr>
            <w:tcW w:type="dxa" w:w="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A2</w:t>
            </w:r>
          </w:p>
        </w:tc>
        <w:tc>
          <w:tcPr>
            <w:tcW w:type="dxa" w:w="5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Customers can express source-system permissions that EADIP can map to user identity.</w:t>
            </w:r>
          </w:p>
        </w:tc>
        <w:tc>
          <w:tcPr>
            <w:tcW w:type="dxa" w:w="33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Governed access cannot be guaranteed; deployment gated.</w:t>
            </w:r>
          </w:p>
        </w:tc>
      </w:tr>
      <w:tr>
        <w:tc>
          <w:tcPr>
            <w:tcW w:type="dxa" w:w="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A3</w:t>
            </w:r>
          </w:p>
        </w:tc>
        <w:tc>
          <w:tcPr>
            <w:tcW w:type="dxa" w:w="5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Frontier models maintain reliable tool-calling and structured outputs.</w:t>
            </w:r>
          </w:p>
        </w:tc>
        <w:tc>
          <w:tcPr>
            <w:tcW w:type="dxa" w:w="33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Orchestration reliability and cost degrade.</w:t>
            </w:r>
          </w:p>
        </w:tc>
      </w:tr>
      <w:tr>
        <w:tc>
          <w:tcPr>
            <w:tcW w:type="dxa" w:w="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A4</w:t>
            </w:r>
          </w:p>
        </w:tc>
        <w:tc>
          <w:tcPr>
            <w:tcW w:type="dxa" w:w="5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MCP (or equivalent) remains a viable connection standard.</w:t>
            </w:r>
          </w:p>
        </w:tc>
        <w:tc>
          <w:tcPr>
            <w:tcW w:type="dxa" w:w="33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Integration cost rises; connector model reworked.</w:t>
            </w:r>
          </w:p>
        </w:tc>
      </w:tr>
      <w:tr>
        <w:tc>
          <w:tcPr>
            <w:tcW w:type="dxa" w:w="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A5</w:t>
            </w:r>
          </w:p>
        </w:tc>
        <w:tc>
          <w:tcPr>
            <w:tcW w:type="dxa" w:w="5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Customers accept human-in-the-loop for writes rather than full autonomy.</w:t>
            </w:r>
          </w:p>
        </w:tc>
        <w:tc>
          <w:tcPr>
            <w:tcW w:type="dxa" w:w="33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Positioning and governance model revisited.</w:t>
            </w:r>
          </w:p>
        </w:tc>
      </w:tr>
      <w:tr>
        <w:tc>
          <w:tcPr>
            <w:tcW w:type="dxa" w:w="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A6</w:t>
            </w:r>
          </w:p>
        </w:tc>
        <w:tc>
          <w:tcPr>
            <w:tcW w:type="dxa" w:w="5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A gold evaluation dataset can be curated per tenant within onboarding.</w:t>
            </w:r>
          </w:p>
        </w:tc>
        <w:tc>
          <w:tcPr>
            <w:tcW w:type="dxa" w:w="33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Accuracy targets cannot be measured objectively.</w:t>
            </w:r>
          </w:p>
        </w:tc>
      </w:tr>
    </w:tbl>
    <w:p>
      <w:pPr>
        <w:pStyle w:val="Heading1"/>
      </w:pPr>
      <w:r>
        <w:t xml:space="preserve">19. Constraints</w:t>
      </w:r>
    </w:p>
    <w:p>
      <w:pPr>
        <w:pStyle w:val="ListParagraph"/>
        <w:numPr>
          <w:ilvl w:val="0"/>
          <w:numId w:val="2"/>
        </w:numPr>
        <w:spacing w:after="60" w:line="268"/>
      </w:pPr>
      <w:r>
        <w:rPr>
          <w:b w:val="false"/>
          <w:bCs w:val="false"/>
        </w:rPr>
        <w:t xml:space="preserve">Technology: backend in Python 3.13+ with FastAPI; orchestration on LangGraph; retrieval on Qdrant + pgvector; graph on Neo4j; per the approved stack.</w:t>
      </w:r>
    </w:p>
    <w:p>
      <w:pPr>
        <w:pStyle w:val="ListParagraph"/>
        <w:numPr>
          <w:ilvl w:val="0"/>
          <w:numId w:val="2"/>
        </w:numPr>
        <w:spacing w:after="60" w:line="268"/>
      </w:pPr>
      <w:r>
        <w:rPr>
          <w:b w:val="false"/>
          <w:bCs w:val="false"/>
        </w:rPr>
        <w:t xml:space="preserve">Regulatory: must satisfy SOX auditability, GDPR data-subject rights, and (where applicable) HIPAA safeguards; see Sections 21–22.</w:t>
      </w:r>
    </w:p>
    <w:p>
      <w:pPr>
        <w:pStyle w:val="ListParagraph"/>
        <w:numPr>
          <w:ilvl w:val="0"/>
          <w:numId w:val="2"/>
        </w:numPr>
        <w:spacing w:after="60" w:line="268"/>
      </w:pPr>
      <w:r>
        <w:rPr>
          <w:b w:val="false"/>
          <w:bCs w:val="false"/>
        </w:rPr>
        <w:t xml:space="preserve">Security: secrets in a managed vault; least-privilege tool scopes; no plaintext credentials in prompts, logs, or config.</w:t>
      </w:r>
    </w:p>
    <w:p>
      <w:pPr>
        <w:pStyle w:val="ListParagraph"/>
        <w:numPr>
          <w:ilvl w:val="0"/>
          <w:numId w:val="2"/>
        </w:numPr>
        <w:spacing w:after="60" w:line="268"/>
      </w:pPr>
      <w:r>
        <w:rPr>
          <w:b w:val="false"/>
          <w:bCs w:val="false"/>
        </w:rPr>
        <w:t xml:space="preserve">Data residency: configurable per tenant; some tenants require single-region processing.</w:t>
      </w:r>
    </w:p>
    <w:p>
      <w:pPr>
        <w:pStyle w:val="ListParagraph"/>
        <w:numPr>
          <w:ilvl w:val="0"/>
          <w:numId w:val="2"/>
        </w:numPr>
        <w:spacing w:after="60" w:line="268"/>
      </w:pPr>
      <w:r>
        <w:rPr>
          <w:b w:val="false"/>
          <w:bCs w:val="false"/>
        </w:rPr>
        <w:t xml:space="preserve">Model governance: customer data is not used to train third-party models by default; provider terms must permit enterprise use.</w:t>
      </w:r>
    </w:p>
    <w:p>
      <w:pPr>
        <w:pStyle w:val="ListParagraph"/>
        <w:numPr>
          <w:ilvl w:val="0"/>
          <w:numId w:val="2"/>
        </w:numPr>
        <w:spacing w:after="60" w:line="268"/>
      </w:pPr>
      <w:r>
        <w:rPr>
          <w:b w:val="false"/>
          <w:bCs w:val="false"/>
        </w:rPr>
        <w:t xml:space="preserve">Budget: per-investigation cost must remain within an agreed envelope, enforced by routing and step budgets.</w:t>
      </w:r>
    </w:p>
    <w:p>
      <w:pPr>
        <w:pStyle w:val="ListParagraph"/>
        <w:numPr>
          <w:ilvl w:val="0"/>
          <w:numId w:val="2"/>
        </w:numPr>
        <w:spacing w:after="60" w:line="268"/>
      </w:pPr>
      <w:r>
        <w:rPr>
          <w:b w:val="false"/>
          <w:bCs w:val="false"/>
        </w:rPr>
        <w:t xml:space="preserve">Timeline: phased delivery (Section 30) with a governed, narrow GA before breadth.</w:t>
      </w:r>
    </w:p>
    <w:p>
      <w:pPr>
        <w:pStyle w:val="Heading1"/>
      </w:pPr>
      <w:r>
        <w:t xml:space="preserve">20. Security Requirements</w:t>
      </w:r>
    </w:p>
    <w:p>
      <w:pPr>
        <w:spacing w:after="120" w:line="276"/>
      </w:pPr>
      <w:r>
        <w:t xml:space="preserve">Security is foundational, not a feature. EADIP touches the organization's most sensitive systems, so the security posture is deny-by-default, identity-scoped, and fully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ID</w:t>
            </w:r>
          </w:p>
        </w:tc>
        <w:tc>
          <w:tcPr>
            <w:tcW w:type="dxa" w:w="82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Requirement</w:t>
            </w:r>
          </w:p>
        </w:tc>
      </w:tr>
      <w:tr>
        <w:tc>
          <w:tcPr>
            <w:tcW w:type="dxa" w:w="1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SEC-01</w:t>
            </w:r>
          </w:p>
        </w:tc>
        <w:tc>
          <w:tcPr>
            <w:tcW w:type="dxa" w:w="8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All traffic encrypted in transit (TLS 1.2+); all data encrypted at rest (AES-256 or provider-managed KMS).</w:t>
            </w:r>
          </w:p>
        </w:tc>
      </w:tr>
      <w:tr>
        <w:tc>
          <w:tcPr>
            <w:tcW w:type="dxa" w:w="1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SEC-02</w:t>
            </w:r>
          </w:p>
        </w:tc>
        <w:tc>
          <w:tcPr>
            <w:tcW w:type="dxa" w:w="8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Authentication via enterprise SSO (OIDC/SAML) and OAuth; short-lived JWTs for service calls.</w:t>
            </w:r>
          </w:p>
        </w:tc>
      </w:tr>
      <w:tr>
        <w:tc>
          <w:tcPr>
            <w:tcW w:type="dxa" w:w="1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SEC-03</w:t>
            </w:r>
          </w:p>
        </w:tc>
        <w:tc>
          <w:tcPr>
            <w:tcW w:type="dxa" w:w="8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RBAC at tenant, role, and resource scope; deny-by-default; permissions evaluated at retrieval and query time.</w:t>
            </w:r>
          </w:p>
        </w:tc>
      </w:tr>
      <w:tr>
        <w:tc>
          <w:tcPr>
            <w:tcW w:type="dxa" w:w="1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SEC-04</w:t>
            </w:r>
          </w:p>
        </w:tc>
        <w:tc>
          <w:tcPr>
            <w:tcW w:type="dxa" w:w="8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Every MCP tool runs under a least-privilege scope bound to the requesting user's identity.</w:t>
            </w:r>
          </w:p>
        </w:tc>
      </w:tr>
      <w:tr>
        <w:tc>
          <w:tcPr>
            <w:tcW w:type="dxa" w:w="1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SEC-05</w:t>
            </w:r>
          </w:p>
        </w:tc>
        <w:tc>
          <w:tcPr>
            <w:tcW w:type="dxa" w:w="8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Secrets and connector credentials stored in a managed vault; never in prompts, logs, or source.</w:t>
            </w:r>
          </w:p>
        </w:tc>
      </w:tr>
      <w:tr>
        <w:tc>
          <w:tcPr>
            <w:tcW w:type="dxa" w:w="1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SEC-06</w:t>
            </w:r>
          </w:p>
        </w:tc>
        <w:tc>
          <w:tcPr>
            <w:tcW w:type="dxa" w:w="8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Prompt-injection defenses: untrusted tool/document content is treated as data, never as instructions; tool arguments validated against typed schemas.</w:t>
            </w:r>
          </w:p>
        </w:tc>
      </w:tr>
      <w:tr>
        <w:tc>
          <w:tcPr>
            <w:tcW w:type="dxa" w:w="1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SEC-07</w:t>
            </w:r>
          </w:p>
        </w:tc>
        <w:tc>
          <w:tcPr>
            <w:tcW w:type="dxa" w:w="8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All write/high-impact actions require human approval and are individually authorized and logged.</w:t>
            </w:r>
          </w:p>
        </w:tc>
      </w:tr>
      <w:tr>
        <w:tc>
          <w:tcPr>
            <w:tcW w:type="dxa" w:w="1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SEC-08</w:t>
            </w:r>
          </w:p>
        </w:tc>
        <w:tc>
          <w:tcPr>
            <w:tcW w:type="dxa" w:w="8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Full, immutable audit trail of authentication, authorization decisions, queries, tool calls, and approvals.</w:t>
            </w:r>
          </w:p>
        </w:tc>
      </w:tr>
      <w:tr>
        <w:tc>
          <w:tcPr>
            <w:tcW w:type="dxa" w:w="1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SEC-09</w:t>
            </w:r>
          </w:p>
        </w:tc>
        <w:tc>
          <w:tcPr>
            <w:tcW w:type="dxa" w:w="8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Tenant isolation: no cross-tenant data access; per-tenant encryption context.</w:t>
            </w:r>
          </w:p>
        </w:tc>
      </w:tr>
      <w:tr>
        <w:tc>
          <w:tcPr>
            <w:tcW w:type="dxa" w:w="1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SEC-10</w:t>
            </w:r>
          </w:p>
        </w:tc>
        <w:tc>
          <w:tcPr>
            <w:tcW w:type="dxa" w:w="8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Regular dependency scanning, SAST/DAST in CI, and penetration testing before major releases.</w:t>
            </w:r>
          </w:p>
        </w:tc>
      </w:tr>
    </w:tbl>
    <w:p>
      <w:pPr>
        <w:pStyle w:val="Heading1"/>
      </w:pPr>
      <w:r>
        <w:t xml:space="preserve">21. Privacy Requirements</w:t>
      </w:r>
    </w:p>
    <w:p>
      <w:pPr>
        <w:spacing w:after="120" w:line="276"/>
      </w:pPr>
      <w:r>
        <w:t xml:space="preserve">Privacy requirements ensure lawful, minimal, and transparent handling of personal data across retrieval, analytics, and logging.</w:t>
      </w:r>
    </w:p>
    <w:p>
      <w:pPr>
        <w:pStyle w:val="ListParagraph"/>
        <w:numPr>
          <w:ilvl w:val="0"/>
          <w:numId w:val="2"/>
        </w:numPr>
        <w:spacing w:after="60" w:line="268"/>
      </w:pPr>
      <w:r>
        <w:rPr>
          <w:b w:val="false"/>
          <w:bCs w:val="false"/>
        </w:rPr>
        <w:t xml:space="preserve">PII minimization: retrieve and process only the personal data needed for the question; prefer aggregates.</w:t>
      </w:r>
    </w:p>
    <w:p>
      <w:pPr>
        <w:pStyle w:val="ListParagraph"/>
        <w:numPr>
          <w:ilvl w:val="0"/>
          <w:numId w:val="2"/>
        </w:numPr>
        <w:spacing w:after="60" w:line="268"/>
      </w:pPr>
      <w:r>
        <w:rPr>
          <w:b w:val="false"/>
          <w:bCs w:val="false"/>
        </w:rPr>
        <w:t xml:space="preserve">Redaction: detect and redact PII in logs, traces, and stored intermediate artifacts by default.</w:t>
      </w:r>
    </w:p>
    <w:p>
      <w:pPr>
        <w:pStyle w:val="ListParagraph"/>
        <w:numPr>
          <w:ilvl w:val="0"/>
          <w:numId w:val="2"/>
        </w:numPr>
        <w:spacing w:after="60" w:line="268"/>
      </w:pPr>
      <w:r>
        <w:rPr>
          <w:b w:val="false"/>
          <w:bCs w:val="false"/>
        </w:rPr>
        <w:t xml:space="preserve">Purpose limitation: data accessed for an investigation is used only for that investigation and its audit record.</w:t>
      </w:r>
    </w:p>
    <w:p>
      <w:pPr>
        <w:pStyle w:val="ListParagraph"/>
        <w:numPr>
          <w:ilvl w:val="0"/>
          <w:numId w:val="2"/>
        </w:numPr>
        <w:spacing w:after="60" w:line="268"/>
      </w:pPr>
      <w:r>
        <w:rPr>
          <w:b w:val="false"/>
          <w:bCs w:val="false"/>
        </w:rPr>
        <w:t xml:space="preserve">Data-subject rights: support access, rectification, and erasure requests for data EADIP stores (memory, logs).</w:t>
      </w:r>
    </w:p>
    <w:p>
      <w:pPr>
        <w:pStyle w:val="ListParagraph"/>
        <w:numPr>
          <w:ilvl w:val="0"/>
          <w:numId w:val="2"/>
        </w:numPr>
        <w:spacing w:after="60" w:line="268"/>
      </w:pPr>
      <w:r>
        <w:rPr>
          <w:b w:val="false"/>
          <w:bCs w:val="false"/>
        </w:rPr>
        <w:t xml:space="preserve">Residency: configurable processing region per tenant; no cross-region transfer where prohibited.</w:t>
      </w:r>
    </w:p>
    <w:p>
      <w:pPr>
        <w:pStyle w:val="ListParagraph"/>
        <w:numPr>
          <w:ilvl w:val="0"/>
          <w:numId w:val="2"/>
        </w:numPr>
        <w:spacing w:after="60" w:line="268"/>
      </w:pPr>
      <w:r>
        <w:rPr>
          <w:b w:val="false"/>
          <w:bCs w:val="false"/>
        </w:rPr>
        <w:t xml:space="preserve">Retention: configurable retention for conversations, memory, and logs; secure deletion on expiry.</w:t>
      </w:r>
    </w:p>
    <w:p>
      <w:pPr>
        <w:pStyle w:val="ListParagraph"/>
        <w:numPr>
          <w:ilvl w:val="0"/>
          <w:numId w:val="2"/>
        </w:numPr>
        <w:spacing w:after="60" w:line="268"/>
      </w:pPr>
      <w:r>
        <w:rPr>
          <w:b w:val="false"/>
          <w:bCs w:val="false"/>
        </w:rPr>
        <w:t xml:space="preserve">No-default-training: customer content is not used to train external models unless explicitly contracted.</w:t>
      </w:r>
    </w:p>
    <w:p>
      <w:pPr>
        <w:pStyle w:val="Heading1"/>
      </w:pPr>
      <w:r>
        <w:t xml:space="preserve">22. Compliance</w:t>
      </w:r>
    </w:p>
    <w:p>
      <w:pPr>
        <w:spacing w:after="120" w:line="276"/>
      </w:pPr>
      <w:r>
        <w:t xml:space="preserve">EADIP is built to operate inside regulated enterprises. Compliance obligations are designed in and evidenced by the audit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Framework</w:t>
            </w:r>
          </w:p>
        </w:tc>
        <w:tc>
          <w:tcPr>
            <w:tcW w:type="dxa" w:w="32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Relevance</w:t>
            </w:r>
          </w:p>
        </w:tc>
        <w:tc>
          <w:tcPr>
            <w:tcW w:type="dxa" w:w="42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How EADIP supports it</w:t>
            </w:r>
          </w:p>
        </w:tc>
      </w:tr>
      <w:tr>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SOC 2 (Type II)</w:t>
            </w:r>
          </w:p>
        </w:tc>
        <w:tc>
          <w:tcPr>
            <w:tcW w:type="dxa" w:w="32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Trust criteria for security, availability, confidentiality</w:t>
            </w:r>
          </w:p>
        </w:tc>
        <w:tc>
          <w:tcPr>
            <w:tcW w:type="dxa" w:w="4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Controls, monitoring, and audit evidence aligned to the criteria</w:t>
            </w:r>
          </w:p>
        </w:tc>
      </w:tr>
      <w:tr>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GDPR</w:t>
            </w:r>
          </w:p>
        </w:tc>
        <w:tc>
          <w:tcPr>
            <w:tcW w:type="dxa" w:w="32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Personal data of EU subjects</w:t>
            </w:r>
          </w:p>
        </w:tc>
        <w:tc>
          <w:tcPr>
            <w:tcW w:type="dxa" w:w="4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Minimization, DSAR support, residency, retention, lawful basis</w:t>
            </w:r>
          </w:p>
        </w:tc>
      </w:tr>
      <w:tr>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HIPAA</w:t>
            </w:r>
          </w:p>
        </w:tc>
        <w:tc>
          <w:tcPr>
            <w:tcW w:type="dxa" w:w="32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Healthcare-payer tenants (PHI)</w:t>
            </w:r>
          </w:p>
        </w:tc>
        <w:tc>
          <w:tcPr>
            <w:tcW w:type="dxa" w:w="4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Encryption, access controls, audit, BAAs where applicable</w:t>
            </w:r>
          </w:p>
        </w:tc>
      </w:tr>
      <w:tr>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SOX</w:t>
            </w:r>
          </w:p>
        </w:tc>
        <w:tc>
          <w:tcPr>
            <w:tcW w:type="dxa" w:w="32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Financial reporting controls</w:t>
            </w:r>
          </w:p>
        </w:tc>
        <w:tc>
          <w:tcPr>
            <w:tcW w:type="dxa" w:w="4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Immutable audit of data lineage and decision evidence</w:t>
            </w:r>
          </w:p>
        </w:tc>
      </w:tr>
      <w:tr>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ISO 27001</w:t>
            </w:r>
          </w:p>
        </w:tc>
        <w:tc>
          <w:tcPr>
            <w:tcW w:type="dxa" w:w="32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Information security management</w:t>
            </w:r>
          </w:p>
        </w:tc>
        <w:tc>
          <w:tcPr>
            <w:tcW w:type="dxa" w:w="4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ISMS-aligned controls and documentation</w:t>
            </w:r>
          </w:p>
        </w:tc>
      </w:tr>
      <w:tr>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EU AI Act (risk-based)</w:t>
            </w:r>
          </w:p>
        </w:tc>
        <w:tc>
          <w:tcPr>
            <w:tcW w:type="dxa" w:w="32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AI governance obligations</w:t>
            </w:r>
          </w:p>
        </w:tc>
        <w:tc>
          <w:tcPr>
            <w:tcW w:type="dxa" w:w="4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Explainability, human oversight, logging, risk classification</w:t>
            </w:r>
          </w:p>
        </w:tc>
      </w:tr>
    </w:tbl>
    <w:p>
      <w:pPr>
        <w:spacing w:after="120" w:line="276"/>
      </w:pPr>
      <w:r>
        <w:rPr>
          <w:i/>
          <w:iCs/>
          <w:color w:val="6B7280"/>
          <w:sz w:val="17"/>
          <w:szCs w:val="17"/>
        </w:rPr>
        <w:t xml:space="preserve">Compliance scope is finalized per deployment; not every framework applies to every tenant. Legal review gates GA in each regulated vertical.</w:t>
      </w:r>
    </w:p>
    <w:p>
      <w:pPr>
        <w:pStyle w:val="Heading1"/>
      </w:pPr>
      <w:r>
        <w:t xml:space="preserve">23. Scalability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Dimension</w:t>
            </w:r>
          </w:p>
        </w:tc>
        <w:tc>
          <w:tcPr>
            <w:tcW w:type="dxa" w:w="318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GA target</w:t>
            </w:r>
          </w:p>
        </w:tc>
        <w:tc>
          <w:tcPr>
            <w:tcW w:type="dxa" w:w="318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Scale target (Phase 3)</w:t>
            </w:r>
          </w:p>
        </w:tc>
      </w:tr>
      <w:tr>
        <w:tc>
          <w:tcPr>
            <w:tcW w:type="dxa" w:w="30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Concurrent investigations / cluster</w:t>
            </w:r>
          </w:p>
        </w:tc>
        <w:tc>
          <w:tcPr>
            <w:tcW w:type="dxa" w:w="318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200</w:t>
            </w:r>
          </w:p>
        </w:tc>
        <w:tc>
          <w:tcPr>
            <w:tcW w:type="dxa" w:w="318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2,000+ via horizontal worker scale</w:t>
            </w:r>
          </w:p>
        </w:tc>
      </w:tr>
      <w:tr>
        <w:tc>
          <w:tcPr>
            <w:tcW w:type="dxa" w:w="30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Tenants / deployment</w:t>
            </w:r>
          </w:p>
        </w:tc>
        <w:tc>
          <w:tcPr>
            <w:tcW w:type="dxa" w:w="318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Tens</w:t>
            </w:r>
          </w:p>
        </w:tc>
        <w:tc>
          <w:tcPr>
            <w:tcW w:type="dxa" w:w="318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Hundreds with full isolation</w:t>
            </w:r>
          </w:p>
        </w:tc>
      </w:tr>
      <w:tr>
        <w:tc>
          <w:tcPr>
            <w:tcW w:type="dxa" w:w="30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Knowledge base size</w:t>
            </w:r>
          </w:p>
        </w:tc>
        <w:tc>
          <w:tcPr>
            <w:tcW w:type="dxa" w:w="318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10s of millions of chunks</w:t>
            </w:r>
          </w:p>
        </w:tc>
        <w:tc>
          <w:tcPr>
            <w:tcW w:type="dxa" w:w="318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Billions of chunks, sharded vector store</w:t>
            </w:r>
          </w:p>
        </w:tc>
      </w:tr>
      <w:tr>
        <w:tc>
          <w:tcPr>
            <w:tcW w:type="dxa" w:w="30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Knowledge graph</w:t>
            </w:r>
          </w:p>
        </w:tc>
        <w:tc>
          <w:tcPr>
            <w:tcW w:type="dxa" w:w="318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10s of millions of nodes/edges</w:t>
            </w:r>
          </w:p>
        </w:tc>
        <w:tc>
          <w:tcPr>
            <w:tcW w:type="dxa" w:w="318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Billions, partitioned graph</w:t>
            </w:r>
          </w:p>
        </w:tc>
      </w:tr>
      <w:tr>
        <w:tc>
          <w:tcPr>
            <w:tcW w:type="dxa" w:w="30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Connectors (MCP servers)</w:t>
            </w:r>
          </w:p>
        </w:tc>
        <w:tc>
          <w:tcPr>
            <w:tcW w:type="dxa" w:w="318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Dozens per tenant</w:t>
            </w:r>
          </w:p>
        </w:tc>
        <w:tc>
          <w:tcPr>
            <w:tcW w:type="dxa" w:w="318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Hundreds, registry-driven</w:t>
            </w:r>
          </w:p>
        </w:tc>
      </w:tr>
      <w:tr>
        <w:tc>
          <w:tcPr>
            <w:tcW w:type="dxa" w:w="30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Throughput growth model</w:t>
            </w:r>
          </w:p>
        </w:tc>
        <w:tc>
          <w:tcPr>
            <w:tcW w:type="dxa" w:w="318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Linear with worker count</w:t>
            </w:r>
          </w:p>
        </w:tc>
        <w:tc>
          <w:tcPr>
            <w:tcW w:type="dxa" w:w="318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Sub-linear cost via caching + routing</w:t>
            </w:r>
          </w:p>
        </w:tc>
      </w:tr>
    </w:tbl>
    <w:p>
      <w:pPr>
        <w:spacing w:after="120" w:line="276"/>
      </w:pPr>
      <w:r>
        <w:rPr>
          <w:color w:val="6B7280"/>
          <w:sz w:val="19"/>
          <w:szCs w:val="19"/>
        </w:rPr>
        <w:t xml:space="preserve">Scaling strategy detail (sharding, partitioning, autoscaling, caching) is specified in the TAD. The product constraint is that no architectural choice may introduce a single-node bottleneck on the request hot path.</w:t>
      </w:r>
    </w:p>
    <w:p>
      <w:pPr>
        <w:pStyle w:val="Heading1"/>
      </w:pPr>
      <w:r>
        <w:t xml:space="preserve">24. AI Safety Requirements</w:t>
      </w:r>
    </w:p>
    <w:p>
      <w:pPr>
        <w:spacing w:after="120" w:line="276"/>
      </w:pPr>
      <w:r>
        <w:t xml:space="preserve">AI safety here means operational safety: the system must not act beyond its mandate, must not assert unverified claims as fact, and must fail safe.</w:t>
      </w:r>
    </w:p>
    <w:p>
      <w:pPr>
        <w:pStyle w:val="ListParagraph"/>
        <w:numPr>
          <w:ilvl w:val="0"/>
          <w:numId w:val="2"/>
        </w:numPr>
        <w:spacing w:after="60" w:line="268"/>
      </w:pPr>
      <w:r>
        <w:rPr>
          <w:b w:val="false"/>
          <w:bCs w:val="false"/>
        </w:rPr>
        <w:t xml:space="preserve">Bounded autonomy: the system may investigate (read) autonomously but must obtain human approval for any write or high-impact action (FR-034, SEC-07).</w:t>
      </w:r>
    </w:p>
    <w:p>
      <w:pPr>
        <w:pStyle w:val="ListParagraph"/>
        <w:numPr>
          <w:ilvl w:val="0"/>
          <w:numId w:val="2"/>
        </w:numPr>
        <w:spacing w:after="60" w:line="268"/>
      </w:pPr>
      <w:r>
        <w:rPr>
          <w:b w:val="false"/>
          <w:bCs w:val="false"/>
        </w:rPr>
        <w:t xml:space="preserve">Grounding: conclusions must be grounded in retrieved evidence; ungrounded claims are suppressed or explicitly flagged as low-confidence.</w:t>
      </w:r>
    </w:p>
    <w:p>
      <w:pPr>
        <w:pStyle w:val="ListParagraph"/>
        <w:numPr>
          <w:ilvl w:val="0"/>
          <w:numId w:val="2"/>
        </w:numPr>
        <w:spacing w:after="60" w:line="268"/>
      </w:pPr>
      <w:r>
        <w:rPr>
          <w:b w:val="false"/>
          <w:bCs w:val="false"/>
        </w:rPr>
        <w:t xml:space="preserve">Hallucination control: the Verification Agent re-derives quantitative claims; conflicts surface as “conflicting evidence,” never silently resolved.</w:t>
      </w:r>
    </w:p>
    <w:p>
      <w:pPr>
        <w:pStyle w:val="ListParagraph"/>
        <w:numPr>
          <w:ilvl w:val="0"/>
          <w:numId w:val="2"/>
        </w:numPr>
        <w:spacing w:after="60" w:line="268"/>
      </w:pPr>
      <w:r>
        <w:rPr>
          <w:b w:val="false"/>
          <w:bCs w:val="false"/>
        </w:rPr>
        <w:t xml:space="preserve">Loop and runaway control: hard limits on plan depth, iterations, tool calls, time, and cost per investigation.</w:t>
      </w:r>
    </w:p>
    <w:p>
      <w:pPr>
        <w:pStyle w:val="ListParagraph"/>
        <w:numPr>
          <w:ilvl w:val="0"/>
          <w:numId w:val="2"/>
        </w:numPr>
        <w:spacing w:after="60" w:line="268"/>
      </w:pPr>
      <w:r>
        <w:rPr>
          <w:b w:val="false"/>
          <w:bCs w:val="false"/>
        </w:rPr>
        <w:t xml:space="preserve">Prompt-injection resistance: untrusted content is data, not instructions; tool outputs cannot redirect the agent's mandate.</w:t>
      </w:r>
    </w:p>
    <w:p>
      <w:pPr>
        <w:pStyle w:val="ListParagraph"/>
        <w:numPr>
          <w:ilvl w:val="0"/>
          <w:numId w:val="2"/>
        </w:numPr>
        <w:spacing w:after="60" w:line="268"/>
      </w:pPr>
      <w:r>
        <w:rPr>
          <w:b w:val="false"/>
          <w:bCs w:val="false"/>
        </w:rPr>
        <w:t xml:space="preserve">Fail-safe defaults: on uncertainty or tool failure, prefer a partial, clearly-bounded answer over a confident wrong one.</w:t>
      </w:r>
    </w:p>
    <w:p>
      <w:pPr>
        <w:pStyle w:val="ListParagraph"/>
        <w:numPr>
          <w:ilvl w:val="0"/>
          <w:numId w:val="2"/>
        </w:numPr>
        <w:spacing w:after="60" w:line="268"/>
      </w:pPr>
      <w:r>
        <w:rPr>
          <w:b w:val="false"/>
          <w:bCs w:val="false"/>
        </w:rPr>
        <w:t xml:space="preserve">Human override: a user can stop, edit the plan, or reject any step at any time.</w:t>
      </w:r>
    </w:p>
    <w:p>
      <w:pPr>
        <w:pStyle w:val="ListParagraph"/>
        <w:numPr>
          <w:ilvl w:val="0"/>
          <w:numId w:val="2"/>
        </w:numPr>
        <w:spacing w:after="60" w:line="268"/>
      </w:pPr>
      <w:r>
        <w:rPr>
          <w:b w:val="false"/>
          <w:bCs w:val="false"/>
        </w:rPr>
        <w:t xml:space="preserve">Continuous evaluation: safety behaviors are part of the eval suite and gate releases (FR-054).</w:t>
      </w:r>
    </w:p>
    <w:p>
      <w:pPr>
        <w:pStyle w:val="Heading1"/>
      </w:pPr>
      <w:r>
        <w:t xml:space="preserve">25. Explainability Requirements</w:t>
      </w:r>
    </w:p>
    <w:p>
      <w:pPr>
        <w:spacing w:after="120" w:line="276"/>
      </w:pPr>
      <w:r>
        <w:t xml:space="preserve">Explainability is a first-class product surface. A decision-maker must be able to answer “why should I believe this?” without leaving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ID</w:t>
            </w:r>
          </w:p>
        </w:tc>
        <w:tc>
          <w:tcPr>
            <w:tcW w:type="dxa" w:w="82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Requirement</w:t>
            </w:r>
          </w:p>
        </w:tc>
      </w:tr>
      <w:tr>
        <w:tc>
          <w:tcPr>
            <w:tcW w:type="dxa" w:w="1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EXP-01</w:t>
            </w:r>
          </w:p>
        </w:tc>
        <w:tc>
          <w:tcPr>
            <w:tcW w:type="dxa" w:w="8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Every answer exposes the executed plan (steps, sources, tools).</w:t>
            </w:r>
          </w:p>
        </w:tc>
      </w:tr>
      <w:tr>
        <w:tc>
          <w:tcPr>
            <w:tcW w:type="dxa" w:w="1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EXP-02</w:t>
            </w:r>
          </w:p>
        </w:tc>
        <w:tc>
          <w:tcPr>
            <w:tcW w:type="dxa" w:w="8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Every quantitative claim links to its originating query or document passage.</w:t>
            </w:r>
          </w:p>
        </w:tc>
      </w:tr>
      <w:tr>
        <w:tc>
          <w:tcPr>
            <w:tcW w:type="dxa" w:w="1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EXP-03</w:t>
            </w:r>
          </w:p>
        </w:tc>
        <w:tc>
          <w:tcPr>
            <w:tcW w:type="dxa" w:w="8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Every conclusion carries a calibrated confidence score and the assumptions behind it.</w:t>
            </w:r>
          </w:p>
        </w:tc>
      </w:tr>
      <w:tr>
        <w:tc>
          <w:tcPr>
            <w:tcW w:type="dxa" w:w="1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EXP-04</w:t>
            </w:r>
          </w:p>
        </w:tc>
        <w:tc>
          <w:tcPr>
            <w:tcW w:type="dxa" w:w="8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Verification status (verified / unverified / conflicting) is shown per claim.</w:t>
            </w:r>
          </w:p>
        </w:tc>
      </w:tr>
      <w:tr>
        <w:tc>
          <w:tcPr>
            <w:tcW w:type="dxa" w:w="11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EXP-05</w:t>
            </w:r>
          </w:p>
        </w:tc>
        <w:tc>
          <w:tcPr>
            <w:tcW w:type="dxa" w:w="82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Users can drill from the executive summary down to raw evidence.</w:t>
            </w:r>
          </w:p>
        </w:tc>
      </w:tr>
      <w:tr>
        <w:tc>
          <w:tcPr>
            <w:tcW w:type="dxa" w:w="11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EXP-06</w:t>
            </w:r>
          </w:p>
        </w:tc>
        <w:tc>
          <w:tcPr>
            <w:tcW w:type="dxa" w:w="82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Limitations are stated explicitly when data was missing or access was denied.</w:t>
            </w:r>
          </w:p>
        </w:tc>
      </w:tr>
    </w:tbl>
    <w:p>
      <w:pPr>
        <w:pStyle w:val="Heading1"/>
      </w:pPr>
      <w:r>
        <w:t xml:space="preserve">26. UX Requirements</w:t>
      </w:r>
    </w:p>
    <w:p>
      <w:pPr>
        <w:spacing w:after="120" w:line="276"/>
      </w:pPr>
      <w:r>
        <w:t xml:space="preserve">The experience must make autonomous investigation feel transparent and controllable, not magical and opaque.</w:t>
      </w:r>
    </w:p>
    <w:p>
      <w:pPr>
        <w:pStyle w:val="ListParagraph"/>
        <w:numPr>
          <w:ilvl w:val="0"/>
          <w:numId w:val="2"/>
        </w:numPr>
        <w:spacing w:after="60" w:line="268"/>
      </w:pPr>
      <w:r>
        <w:rPr>
          <w:b w:val="false"/>
          <w:bCs w:val="false"/>
        </w:rPr>
        <w:t xml:space="preserve">Conversational intake with optional structured context (timeframe, scope, KPIs).</w:t>
      </w:r>
    </w:p>
    <w:p>
      <w:pPr>
        <w:pStyle w:val="ListParagraph"/>
        <w:numPr>
          <w:ilvl w:val="0"/>
          <w:numId w:val="2"/>
        </w:numPr>
        <w:spacing w:after="60" w:line="268"/>
      </w:pPr>
      <w:r>
        <w:rPr>
          <w:b w:val="false"/>
          <w:bCs w:val="false"/>
        </w:rPr>
        <w:t xml:space="preserve">Plan preview before execution for complex questions, with proceed / edit / cancel.</w:t>
      </w:r>
    </w:p>
    <w:p>
      <w:pPr>
        <w:pStyle w:val="ListParagraph"/>
        <w:numPr>
          <w:ilvl w:val="0"/>
          <w:numId w:val="2"/>
        </w:numPr>
        <w:spacing w:after="60" w:line="268"/>
      </w:pPr>
      <w:r>
        <w:rPr>
          <w:b w:val="false"/>
          <w:bCs w:val="false"/>
        </w:rPr>
        <w:t xml:space="preserve">Live streaming of progress: current step, tool calls, and partial findings.</w:t>
      </w:r>
    </w:p>
    <w:p>
      <w:pPr>
        <w:pStyle w:val="ListParagraph"/>
        <w:numPr>
          <w:ilvl w:val="0"/>
          <w:numId w:val="2"/>
        </w:numPr>
        <w:spacing w:after="60" w:line="268"/>
      </w:pPr>
      <w:r>
        <w:rPr>
          <w:b w:val="false"/>
          <w:bCs w:val="false"/>
        </w:rPr>
        <w:t xml:space="preserve">Layered answer: executive summary first, expandable to drivers, evidence, and raw queries.</w:t>
      </w:r>
    </w:p>
    <w:p>
      <w:pPr>
        <w:pStyle w:val="ListParagraph"/>
        <w:numPr>
          <w:ilvl w:val="0"/>
          <w:numId w:val="2"/>
        </w:numPr>
        <w:spacing w:after="60" w:line="268"/>
      </w:pPr>
      <w:r>
        <w:rPr>
          <w:b w:val="false"/>
          <w:bCs w:val="false"/>
        </w:rPr>
        <w:t xml:space="preserve">Inline provenance and confidence on every claim.</w:t>
      </w:r>
    </w:p>
    <w:p>
      <w:pPr>
        <w:pStyle w:val="ListParagraph"/>
        <w:numPr>
          <w:ilvl w:val="0"/>
          <w:numId w:val="2"/>
        </w:numPr>
        <w:spacing w:after="60" w:line="268"/>
      </w:pPr>
      <w:r>
        <w:rPr>
          <w:b w:val="false"/>
          <w:bCs w:val="false"/>
        </w:rPr>
        <w:t xml:space="preserve">Clear approval prompts for any action, showing the exact payload.</w:t>
      </w:r>
    </w:p>
    <w:p>
      <w:pPr>
        <w:pStyle w:val="ListParagraph"/>
        <w:numPr>
          <w:ilvl w:val="0"/>
          <w:numId w:val="2"/>
        </w:numPr>
        <w:spacing w:after="60" w:line="268"/>
      </w:pPr>
      <w:r>
        <w:rPr>
          <w:b w:val="false"/>
          <w:bCs w:val="false"/>
        </w:rPr>
        <w:t xml:space="preserve">Export to report formats (e.g., a one-page executive brief) and shareable, permission-respecting links.</w:t>
      </w:r>
    </w:p>
    <w:p>
      <w:pPr>
        <w:pStyle w:val="ListParagraph"/>
        <w:numPr>
          <w:ilvl w:val="0"/>
          <w:numId w:val="2"/>
        </w:numPr>
        <w:spacing w:after="60" w:line="268"/>
      </w:pPr>
      <w:r>
        <w:rPr>
          <w:b w:val="false"/>
          <w:bCs w:val="false"/>
        </w:rPr>
        <w:t xml:space="preserve">Feedback affordances (accept / dispute / thumbs) feeding the evaluation loop.</w:t>
      </w:r>
    </w:p>
    <w:p>
      <w:pPr>
        <w:pStyle w:val="Heading1"/>
      </w:pPr>
      <w:r>
        <w:t xml:space="preserve">27. Accessibility</w:t>
      </w:r>
    </w:p>
    <w:p>
      <w:pPr>
        <w:spacing w:after="120" w:line="276"/>
      </w:pPr>
      <w:r>
        <w:t xml:space="preserve">All end-user surfaces conform to WCAG 2.1 AA.</w:t>
      </w:r>
    </w:p>
    <w:p>
      <w:pPr>
        <w:pStyle w:val="ListParagraph"/>
        <w:numPr>
          <w:ilvl w:val="0"/>
          <w:numId w:val="2"/>
        </w:numPr>
        <w:spacing w:after="60" w:line="268"/>
      </w:pPr>
      <w:r>
        <w:rPr>
          <w:b w:val="false"/>
          <w:bCs w:val="false"/>
        </w:rPr>
        <w:t xml:space="preserve">Full keyboard operability and a logical focus order.</w:t>
      </w:r>
    </w:p>
    <w:p>
      <w:pPr>
        <w:pStyle w:val="ListParagraph"/>
        <w:numPr>
          <w:ilvl w:val="0"/>
          <w:numId w:val="2"/>
        </w:numPr>
        <w:spacing w:after="60" w:line="268"/>
      </w:pPr>
      <w:r>
        <w:rPr>
          <w:b w:val="false"/>
          <w:bCs w:val="false"/>
        </w:rPr>
        <w:t xml:space="preserve">Screen-reader support with correct semantics and ARIA where needed.</w:t>
      </w:r>
    </w:p>
    <w:p>
      <w:pPr>
        <w:pStyle w:val="ListParagraph"/>
        <w:numPr>
          <w:ilvl w:val="0"/>
          <w:numId w:val="2"/>
        </w:numPr>
        <w:spacing w:after="60" w:line="268"/>
      </w:pPr>
      <w:r>
        <w:rPr>
          <w:b w:val="false"/>
          <w:bCs w:val="false"/>
        </w:rPr>
        <w:t xml:space="preserve">Color contrast ≥ 4.5:1 for text; never color alone to convey meaning (e.g., verification status also uses an icon/label).</w:t>
      </w:r>
    </w:p>
    <w:p>
      <w:pPr>
        <w:pStyle w:val="ListParagraph"/>
        <w:numPr>
          <w:ilvl w:val="0"/>
          <w:numId w:val="2"/>
        </w:numPr>
        <w:spacing w:after="60" w:line="268"/>
      </w:pPr>
      <w:r>
        <w:rPr>
          <w:b w:val="false"/>
          <w:bCs w:val="false"/>
        </w:rPr>
        <w:t xml:space="preserve">Respect reduced-motion preferences for streaming/animation.</w:t>
      </w:r>
    </w:p>
    <w:p>
      <w:pPr>
        <w:pStyle w:val="ListParagraph"/>
        <w:numPr>
          <w:ilvl w:val="0"/>
          <w:numId w:val="2"/>
        </w:numPr>
        <w:spacing w:after="60" w:line="268"/>
      </w:pPr>
      <w:r>
        <w:rPr>
          <w:b w:val="false"/>
          <w:bCs w:val="false"/>
        </w:rPr>
        <w:t xml:space="preserve">Accessible data tables and downloadable text alternatives for visualizations.</w:t>
      </w:r>
    </w:p>
    <w:p>
      <w:pPr>
        <w:pStyle w:val="ListParagraph"/>
        <w:numPr>
          <w:ilvl w:val="0"/>
          <w:numId w:val="2"/>
        </w:numPr>
        <w:spacing w:after="60" w:line="268"/>
      </w:pPr>
      <w:r>
        <w:rPr>
          <w:b w:val="false"/>
          <w:bCs w:val="false"/>
        </w:rPr>
        <w:t xml:space="preserve">Accessibility is verified by automated checks in CI plus periodic manual audits.</w:t>
      </w:r>
    </w:p>
    <w:p>
      <w:pPr>
        <w:pStyle w:val="Heading1"/>
      </w:pPr>
      <w:r>
        <w:t xml:space="preserve">28.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5460"/>
      </w:tblGrid>
      <w:tr>
        <w:trPr>
          <w:tblHeader/>
        </w:trPr>
        <w:tc>
          <w:tcPr>
            <w:tcW w:type="dxa" w:w="16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Horizon</w:t>
            </w:r>
          </w:p>
        </w:tc>
        <w:tc>
          <w:tcPr>
            <w:tcW w:type="dxa" w:w="23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Theme</w:t>
            </w:r>
          </w:p>
        </w:tc>
        <w:tc>
          <w:tcPr>
            <w:tcW w:type="dxa" w:w="54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Representative capabilities</w:t>
            </w:r>
          </w:p>
        </w:tc>
      </w:tr>
      <w:tr>
        <w:tc>
          <w:tcPr>
            <w:tcW w:type="dxa" w:w="16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Now (GA)</w:t>
            </w:r>
          </w:p>
        </w:tc>
        <w:tc>
          <w:tcPr>
            <w:tcW w:type="dxa" w:w="2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Governed investigation</w:t>
            </w:r>
          </w:p>
        </w:tc>
        <w:tc>
          <w:tcPr>
            <w:tcW w:type="dxa" w:w="54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NL intake, planning, hybrid + GraphRAG retrieval, NL-to-SQL, verification, recommendations, MCP, approval, admin</w:t>
            </w:r>
          </w:p>
        </w:tc>
      </w:tr>
      <w:tr>
        <w:tc>
          <w:tcPr>
            <w:tcW w:type="dxa" w:w="16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Next (6–12 mo)</w:t>
            </w:r>
          </w:p>
        </w:tc>
        <w:tc>
          <w:tcPr>
            <w:tcW w:type="dxa" w:w="2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Breadth &amp; proactivity</w:t>
            </w:r>
          </w:p>
        </w:tc>
        <w:tc>
          <w:tcPr>
            <w:tcW w:type="dxa" w:w="54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More connectors, scheduled/standing investigations, proactive anomaly alerts, richer forecasting, mobile-responsive polish</w:t>
            </w:r>
          </w:p>
        </w:tc>
      </w:tr>
      <w:tr>
        <w:tc>
          <w:tcPr>
            <w:tcW w:type="dxa" w:w="16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Later (12–24 mo)</w:t>
            </w:r>
          </w:p>
        </w:tc>
        <w:tc>
          <w:tcPr>
            <w:tcW w:type="dxa" w:w="2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Scale &amp; autonomy options</w:t>
            </w:r>
          </w:p>
        </w:tc>
        <w:tc>
          <w:tcPr>
            <w:tcW w:type="dxa" w:w="54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Policy-gated action execution, real-time/event data, multi-region scale, optional open-web research (labeled), tenant-tunable models</w:t>
            </w:r>
          </w:p>
        </w:tc>
      </w:tr>
    </w:tbl>
    <w:p>
      <w:pPr>
        <w:pStyle w:val="Heading1"/>
      </w:pPr>
      <w:r>
        <w:t xml:space="preserve">29. Release Plan</w:t>
      </w:r>
    </w:p>
    <w:p>
      <w:pPr>
        <w:spacing w:after="120" w:line="276"/>
      </w:pPr>
      <w:r>
        <w:t xml:space="preserve">Delivery follows a phased, governance-first approach: a narrow, deep, trustworthy GA before breadth.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60"/>
        <w:gridCol w:w="4500"/>
      </w:tblGrid>
      <w:tr>
        <w:trPr>
          <w:tblHeader/>
        </w:trPr>
        <w:tc>
          <w:tcPr>
            <w:tcW w:type="dxa" w:w="17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Release</w:t>
            </w:r>
          </w:p>
        </w:tc>
        <w:tc>
          <w:tcPr>
            <w:tcW w:type="dxa" w:w="31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Goal</w:t>
            </w:r>
          </w:p>
        </w:tc>
        <w:tc>
          <w:tcPr>
            <w:tcW w:type="dxa" w:w="45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Exit criteria</w:t>
            </w:r>
          </w:p>
        </w:tc>
      </w:tr>
      <w:tr>
        <w:tc>
          <w:tcPr>
            <w:tcW w:type="dxa" w:w="1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Alpha (internal)</w:t>
            </w:r>
          </w:p>
        </w:tc>
        <w:tc>
          <w:tcPr>
            <w:tcW w:type="dxa" w:w="31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End-to-end happy path on one domain</w:t>
            </w:r>
          </w:p>
        </w:tc>
        <w:tc>
          <w:tcPr>
            <w:tcW w:type="dxa" w:w="45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One investigation type works with verification and audit; eval harness live</w:t>
            </w:r>
          </w:p>
        </w:tc>
      </w:tr>
      <w:tr>
        <w:tc>
          <w:tcPr>
            <w:tcW w:type="dxa" w:w="1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Private Beta</w:t>
            </w:r>
          </w:p>
        </w:tc>
        <w:tc>
          <w:tcPr>
            <w:tcW w:type="dxa" w:w="31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Design partners, governed</w:t>
            </w:r>
          </w:p>
        </w:tc>
        <w:tc>
          <w:tcPr>
            <w:tcW w:type="dxa" w:w="45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 90% accuracy on partner gold set; RBAC + audit complete; approval workflow in use</w:t>
            </w:r>
          </w:p>
        </w:tc>
      </w:tr>
      <w:tr>
        <w:tc>
          <w:tcPr>
            <w:tcW w:type="dxa" w:w="1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GA</w:t>
            </w:r>
          </w:p>
        </w:tc>
        <w:tc>
          <w:tcPr>
            <w:tcW w:type="dxa" w:w="31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Production for licensed analysts</w:t>
            </w:r>
          </w:p>
        </w:tc>
        <w:tc>
          <w:tcPr>
            <w:tcW w:type="dxa" w:w="45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All Must requirements met; SLOs sustained 30 days; security review + compliance sign-off</w:t>
            </w:r>
          </w:p>
        </w:tc>
      </w:tr>
      <w:tr>
        <w:tc>
          <w:tcPr>
            <w:tcW w:type="dxa" w:w="1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Post-GA</w:t>
            </w:r>
          </w:p>
        </w:tc>
        <w:tc>
          <w:tcPr>
            <w:tcW w:type="dxa" w:w="31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Breadth and roadmap</w:t>
            </w:r>
          </w:p>
        </w:tc>
        <w:tc>
          <w:tcPr>
            <w:tcW w:type="dxa" w:w="45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Connector expansion; proactive alerts; scale targets</w:t>
            </w:r>
          </w:p>
        </w:tc>
      </w:tr>
    </w:tbl>
    <w:p>
      <w:pPr>
        <w:pStyle w:val="Heading1"/>
      </w:pPr>
      <w:r>
        <w:t xml:space="preserve">30.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Milestone</w:t>
            </w:r>
          </w:p>
        </w:tc>
        <w:tc>
          <w:tcPr>
            <w:tcW w:type="dxa" w:w="27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Description</w:t>
            </w:r>
          </w:p>
        </w:tc>
        <w:tc>
          <w:tcPr>
            <w:tcW w:type="dxa" w:w="47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Primary deliverables</w:t>
            </w:r>
          </w:p>
        </w:tc>
      </w:tr>
      <w:tr>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M0 — Foundations</w:t>
            </w:r>
          </w:p>
        </w:tc>
        <w:tc>
          <w:tcPr>
            <w:tcW w:type="dxa" w:w="2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Platform skeleton, auth, observability, eval harness</w:t>
            </w:r>
          </w:p>
        </w:tc>
        <w:tc>
          <w:tcPr>
            <w:tcW w:type="dxa" w:w="4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FastAPI gateway, RBAC/SSO, tracing, CI/CD, gold-set v1</w:t>
            </w:r>
          </w:p>
        </w:tc>
      </w:tr>
      <w:tr>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M1 — Retrieve</w:t>
            </w:r>
          </w:p>
        </w:tc>
        <w:tc>
          <w:tcPr>
            <w:tcW w:type="dxa" w:w="2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Knowledge base + hybrid retrieval</w:t>
            </w:r>
          </w:p>
        </w:tc>
        <w:tc>
          <w:tcPr>
            <w:tcW w:type="dxa" w:w="4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Doc pipeline, embeddings, Qdrant hybrid search, reranking</w:t>
            </w:r>
          </w:p>
        </w:tc>
      </w:tr>
      <w:tr>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M2 — Analyze</w:t>
            </w:r>
          </w:p>
        </w:tc>
        <w:tc>
          <w:tcPr>
            <w:tcW w:type="dxa" w:w="2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NL-to-SQL + BI analytics</w:t>
            </w:r>
          </w:p>
        </w:tc>
        <w:tc>
          <w:tcPr>
            <w:tcW w:type="dxa" w:w="4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SQL agent with validation, variance/anomaly analysis</w:t>
            </w:r>
          </w:p>
        </w:tc>
      </w:tr>
      <w:tr>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M3 — Orchestrate</w:t>
            </w:r>
          </w:p>
        </w:tc>
        <w:tc>
          <w:tcPr>
            <w:tcW w:type="dxa" w:w="2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Planner + multi-agent LangGraph</w:t>
            </w:r>
          </w:p>
        </w:tc>
        <w:tc>
          <w:tcPr>
            <w:tcW w:type="dxa" w:w="4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Planner, orchestrator, reflection, retries/loops/timeouts</w:t>
            </w:r>
          </w:p>
        </w:tc>
      </w:tr>
      <w:tr>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M4 — Verify &amp; Recommend</w:t>
            </w:r>
          </w:p>
        </w:tc>
        <w:tc>
          <w:tcPr>
            <w:tcW w:type="dxa" w:w="2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Verification + recommendations + reports</w:t>
            </w:r>
          </w:p>
        </w:tc>
        <w:tc>
          <w:tcPr>
            <w:tcW w:type="dxa" w:w="4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Verification agent, recommendation engine, executive report</w:t>
            </w:r>
          </w:p>
        </w:tc>
      </w:tr>
      <w:tr>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M5 — Connect</w:t>
            </w:r>
          </w:p>
        </w:tc>
        <w:tc>
          <w:tcPr>
            <w:tcW w:type="dxa" w:w="2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MCP manager + approval workflow</w:t>
            </w:r>
          </w:p>
        </w:tc>
        <w:tc>
          <w:tcPr>
            <w:tcW w:type="dxa" w:w="4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MCP discovery/permissions/fallback, human approval node</w:t>
            </w:r>
          </w:p>
        </w:tc>
      </w:tr>
      <w:tr>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M6 — Graph</w:t>
            </w:r>
          </w:p>
        </w:tc>
        <w:tc>
          <w:tcPr>
            <w:tcW w:type="dxa" w:w="27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GraphRAG + knowledge graph</w:t>
            </w:r>
          </w:p>
        </w:tc>
        <w:tc>
          <w:tcPr>
            <w:tcW w:type="dxa" w:w="47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Neo4j model, graph ingestion, GraphRAG retrieval</w:t>
            </w:r>
          </w:p>
        </w:tc>
      </w:tr>
      <w:tr>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M7 — Harden</w:t>
            </w:r>
          </w:p>
        </w:tc>
        <w:tc>
          <w:tcPr>
            <w:tcW w:type="dxa" w:w="27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Security, scale, compliance</w:t>
            </w:r>
          </w:p>
        </w:tc>
        <w:tc>
          <w:tcPr>
            <w:tcW w:type="dxa" w:w="47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Pen test, load test, residency, compliance evidence; GA gate</w:t>
            </w:r>
          </w:p>
        </w:tc>
      </w:tr>
    </w:tbl>
    <w:p>
      <w:pPr>
        <w:pStyle w:val="Heading1"/>
      </w:pPr>
      <w:r>
        <w:t xml:space="preserve">31. Engineering Deliverables</w:t>
      </w:r>
    </w:p>
    <w:p>
      <w:pPr>
        <w:pStyle w:val="ListParagraph"/>
        <w:numPr>
          <w:ilvl w:val="0"/>
          <w:numId w:val="2"/>
        </w:numPr>
        <w:spacing w:after="60" w:line="268"/>
      </w:pPr>
      <w:r>
        <w:rPr>
          <w:b w:val="false"/>
          <w:bCs w:val="false"/>
        </w:rPr>
        <w:t xml:space="preserve">Backend services: API gateway, orchestrator, agent workers, retrieval, analytics, MCP manager (FastAPI, async, typed).</w:t>
      </w:r>
    </w:p>
    <w:p>
      <w:pPr>
        <w:pStyle w:val="ListParagraph"/>
        <w:numPr>
          <w:ilvl w:val="0"/>
          <w:numId w:val="2"/>
        </w:numPr>
        <w:spacing w:after="60" w:line="268"/>
      </w:pPr>
      <w:r>
        <w:rPr>
          <w:b w:val="false"/>
          <w:bCs w:val="false"/>
        </w:rPr>
        <w:t xml:space="preserve">Data stores: PostgreSQL (+pgvector), Qdrant, Neo4j, Redis, object storage; schemas and migrations.</w:t>
      </w:r>
    </w:p>
    <w:p>
      <w:pPr>
        <w:pStyle w:val="ListParagraph"/>
        <w:numPr>
          <w:ilvl w:val="0"/>
          <w:numId w:val="2"/>
        </w:numPr>
        <w:spacing w:after="60" w:line="268"/>
      </w:pPr>
      <w:r>
        <w:rPr>
          <w:b w:val="false"/>
          <w:bCs w:val="false"/>
        </w:rPr>
        <w:t xml:space="preserve">Agent graph: LangGraph workflow with planner/router/retriever/SQL/graph/MCP/reflection/verification/recommendation/approval/output nodes.</w:t>
      </w:r>
    </w:p>
    <w:p>
      <w:pPr>
        <w:pStyle w:val="ListParagraph"/>
        <w:numPr>
          <w:ilvl w:val="0"/>
          <w:numId w:val="2"/>
        </w:numPr>
        <w:spacing w:after="60" w:line="268"/>
      </w:pPr>
      <w:r>
        <w:rPr>
          <w:b w:val="false"/>
          <w:bCs w:val="false"/>
        </w:rPr>
        <w:t xml:space="preserve">Frontend: Next.js/React app with streaming, plan preview, layered answers, provenance, admin portal.</w:t>
      </w:r>
    </w:p>
    <w:p>
      <w:pPr>
        <w:pStyle w:val="ListParagraph"/>
        <w:numPr>
          <w:ilvl w:val="0"/>
          <w:numId w:val="2"/>
        </w:numPr>
        <w:spacing w:after="60" w:line="268"/>
      </w:pPr>
      <w:r>
        <w:rPr>
          <w:b w:val="false"/>
          <w:bCs w:val="false"/>
        </w:rPr>
        <w:t xml:space="preserve">Evaluation: offline + online suites (LangSmith/DeepEval/Ragas/Promptfoo) with gold datasets and CI gates.</w:t>
      </w:r>
    </w:p>
    <w:p>
      <w:pPr>
        <w:pStyle w:val="ListParagraph"/>
        <w:numPr>
          <w:ilvl w:val="0"/>
          <w:numId w:val="2"/>
        </w:numPr>
        <w:spacing w:after="60" w:line="268"/>
      </w:pPr>
      <w:r>
        <w:rPr>
          <w:b w:val="false"/>
          <w:bCs w:val="false"/>
        </w:rPr>
        <w:t xml:space="preserve">Observability: OpenTelemetry tracing, metrics, structured logging, dashboards, alerting.</w:t>
      </w:r>
    </w:p>
    <w:p>
      <w:pPr>
        <w:pStyle w:val="ListParagraph"/>
        <w:numPr>
          <w:ilvl w:val="0"/>
          <w:numId w:val="2"/>
        </w:numPr>
        <w:spacing w:after="60" w:line="268"/>
      </w:pPr>
      <w:r>
        <w:rPr>
          <w:b w:val="false"/>
          <w:bCs w:val="false"/>
        </w:rPr>
        <w:t xml:space="preserve">Security: SSO/OAuth, RBAC, vault integration, audit subsystem.</w:t>
      </w:r>
    </w:p>
    <w:p>
      <w:pPr>
        <w:pStyle w:val="ListParagraph"/>
        <w:numPr>
          <w:ilvl w:val="0"/>
          <w:numId w:val="2"/>
        </w:numPr>
        <w:spacing w:after="60" w:line="268"/>
      </w:pPr>
      <w:r>
        <w:rPr>
          <w:b w:val="false"/>
          <w:bCs w:val="false"/>
        </w:rPr>
        <w:t xml:space="preserve">Infra: Docker images, Docker Compose for dev, Kubernetes manifests/Helm, CI/CD pipelines.</w:t>
      </w:r>
    </w:p>
    <w:p>
      <w:pPr>
        <w:pStyle w:val="ListParagraph"/>
        <w:numPr>
          <w:ilvl w:val="0"/>
          <w:numId w:val="2"/>
        </w:numPr>
        <w:spacing w:after="60" w:line="268"/>
      </w:pPr>
      <w:r>
        <w:rPr>
          <w:b w:val="false"/>
          <w:bCs w:val="false"/>
        </w:rPr>
        <w:t xml:space="preserve">Documentation: API reference (OpenAPI), runbooks, connector authoring guide, this PRD and the TAD.</w:t>
      </w:r>
    </w:p>
    <w:p>
      <w:pPr>
        <w:pStyle w:val="Heading1"/>
      </w:pPr>
      <w:r>
        <w:t xml:space="preserve">32. Product Backlog</w:t>
      </w:r>
    </w:p>
    <w:p>
      <w:pPr>
        <w:spacing w:after="120" w:line="276"/>
      </w:pPr>
      <w:r>
        <w:t xml:space="preserve">The initial backlog is organized by epic; items map to functional requirements and milestones. This is the seed backlog, not an exhaustive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2160"/>
      </w:tblGrid>
      <w:tr>
        <w:trPr>
          <w:tblHeader/>
        </w:trPr>
        <w:tc>
          <w:tcPr>
            <w:tcW w:type="dxa" w:w="19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Epic</w:t>
            </w:r>
          </w:p>
        </w:tc>
        <w:tc>
          <w:tcPr>
            <w:tcW w:type="dxa" w:w="53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Representative backlog items</w:t>
            </w:r>
          </w:p>
        </w:tc>
        <w:tc>
          <w:tcPr>
            <w:tcW w:type="dxa" w:w="21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Maps to</w:t>
            </w:r>
          </w:p>
        </w:tc>
      </w:tr>
      <w:tr>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Intake &amp; Planning</w:t>
            </w:r>
          </w:p>
        </w:tc>
        <w:tc>
          <w:tcPr>
            <w:tcW w:type="dxa" w:w="5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Conversational intake; structured context; goal interpreter; task decomposition; plan preview UI</w:t>
            </w:r>
          </w:p>
        </w:tc>
        <w:tc>
          <w:tcPr>
            <w:tcW w:type="dxa" w:w="21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FR-001–006</w:t>
            </w:r>
          </w:p>
        </w:tc>
      </w:tr>
      <w:tr>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Retrieval</w:t>
            </w:r>
          </w:p>
        </w:tc>
        <w:tc>
          <w:tcPr>
            <w:tcW w:type="dxa" w:w="5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Doc ingestion; chunking; embeddings; hybrid search; reranking; multi-query; context compression</w:t>
            </w:r>
          </w:p>
        </w:tc>
        <w:tc>
          <w:tcPr>
            <w:tcW w:type="dxa" w:w="21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FR-010–016</w:t>
            </w:r>
          </w:p>
        </w:tc>
      </w:tr>
      <w:tr>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GraphRAG</w:t>
            </w:r>
          </w:p>
        </w:tc>
        <w:tc>
          <w:tcPr>
            <w:tcW w:type="dxa" w:w="5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Graph schema; entity/relation extraction; graph ingestion; multi-hop retrieval</w:t>
            </w:r>
          </w:p>
        </w:tc>
        <w:tc>
          <w:tcPr>
            <w:tcW w:type="dxa" w:w="21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FR-013</w:t>
            </w:r>
          </w:p>
        </w:tc>
      </w:tr>
      <w:tr>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Analytics</w:t>
            </w:r>
          </w:p>
        </w:tc>
        <w:tc>
          <w:tcPr>
            <w:tcW w:type="dxa" w:w="5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NL-to-SQL; SQL validation/sandbox; variance &amp; anomaly; forecasting</w:t>
            </w:r>
          </w:p>
        </w:tc>
        <w:tc>
          <w:tcPr>
            <w:tcW w:type="dxa" w:w="21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FR-020–024</w:t>
            </w:r>
          </w:p>
        </w:tc>
      </w:tr>
      <w:tr>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Tools &amp; MCP</w:t>
            </w:r>
          </w:p>
        </w:tc>
        <w:tc>
          <w:tcPr>
            <w:tcW w:type="dxa" w:w="5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MCP registry; discovery; permission scoping; tool selection; fallback</w:t>
            </w:r>
          </w:p>
        </w:tc>
        <w:tc>
          <w:tcPr>
            <w:tcW w:type="dxa" w:w="21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FR-030–033</w:t>
            </w:r>
          </w:p>
        </w:tc>
      </w:tr>
      <w:tr>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Reasoning &amp; Output</w:t>
            </w:r>
          </w:p>
        </w:tc>
        <w:tc>
          <w:tcPr>
            <w:tcW w:type="dxa" w:w="5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Reflection; verification; confidence calibration; recommendations; report generation</w:t>
            </w:r>
          </w:p>
        </w:tc>
        <w:tc>
          <w:tcPr>
            <w:tcW w:type="dxa" w:w="21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FR-040–044</w:t>
            </w:r>
          </w:p>
        </w:tc>
      </w:tr>
      <w:tr>
        <w:tc>
          <w:tcPr>
            <w:tcW w:type="dxa" w:w="19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Governance</w:t>
            </w:r>
          </w:p>
        </w:tc>
        <w:tc>
          <w:tcPr>
            <w:tcW w:type="dxa" w:w="5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SSO/RBAC; audit log; approval workflow; prompt mgmt; model routing; notifications</w:t>
            </w:r>
          </w:p>
        </w:tc>
        <w:tc>
          <w:tcPr>
            <w:tcW w:type="dxa" w:w="21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FR-034, 050–057</w:t>
            </w:r>
          </w:p>
        </w:tc>
      </w:tr>
      <w:tr>
        <w:tc>
          <w:tcPr>
            <w:tcW w:type="dxa" w:w="19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Platform</w:t>
            </w:r>
          </w:p>
        </w:tc>
        <w:tc>
          <w:tcPr>
            <w:tcW w:type="dxa" w:w="5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Memory; eval harness; observability; admin portal; budgets/feature flags</w:t>
            </w:r>
          </w:p>
        </w:tc>
        <w:tc>
          <w:tcPr>
            <w:tcW w:type="dxa" w:w="21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FR-045, 054–057</w:t>
            </w:r>
          </w:p>
        </w:tc>
      </w:tr>
    </w:tbl>
    <w:p>
      <w:pPr>
        <w:pStyle w:val="Heading1"/>
      </w:pPr>
      <w:r>
        <w:t xml:space="preserve">33. Feature Prioritization (MoSCoW)</w:t>
      </w:r>
    </w:p>
    <w:p>
      <w:pPr>
        <w:spacing w:after="120" w:line="276"/>
      </w:pPr>
      <w:r>
        <w:t xml:space="preserve">Prioritization reflects the governance-first thesis: the product must be trustworthy and governed before it is broad.</w:t>
      </w:r>
    </w:p>
    <w:p>
      <w:pPr>
        <w:pStyle w:val="Heading2"/>
      </w:pPr>
      <w:r>
        <w:t xml:space="preserve">33.1 Must have (GA)</w:t>
      </w:r>
    </w:p>
    <w:p>
      <w:pPr>
        <w:pStyle w:val="ListParagraph"/>
        <w:numPr>
          <w:ilvl w:val="0"/>
          <w:numId w:val="2"/>
        </w:numPr>
        <w:spacing w:after="60" w:line="268"/>
      </w:pPr>
      <w:r>
        <w:rPr>
          <w:b w:val="false"/>
          <w:bCs w:val="false"/>
        </w:rPr>
        <w:t xml:space="preserve">Goal interpretation, planning, multi-agent orchestration with streaming.</w:t>
      </w:r>
    </w:p>
    <w:p>
      <w:pPr>
        <w:pStyle w:val="ListParagraph"/>
        <w:numPr>
          <w:ilvl w:val="0"/>
          <w:numId w:val="2"/>
        </w:numPr>
        <w:spacing w:after="60" w:line="268"/>
      </w:pPr>
      <w:r>
        <w:rPr>
          <w:b w:val="false"/>
          <w:bCs w:val="false"/>
        </w:rPr>
        <w:t xml:space="preserve">Hybrid retrieval + GraphRAG + governed knowledge base.</w:t>
      </w:r>
    </w:p>
    <w:p>
      <w:pPr>
        <w:pStyle w:val="ListParagraph"/>
        <w:numPr>
          <w:ilvl w:val="0"/>
          <w:numId w:val="2"/>
        </w:numPr>
        <w:spacing w:after="60" w:line="268"/>
      </w:pPr>
      <w:r>
        <w:rPr>
          <w:b w:val="false"/>
          <w:bCs w:val="false"/>
        </w:rPr>
        <w:t xml:space="preserve">NL-to-SQL analytics with read-only validation; variance/anomaly analysis.</w:t>
      </w:r>
    </w:p>
    <w:p>
      <w:pPr>
        <w:pStyle w:val="ListParagraph"/>
        <w:numPr>
          <w:ilvl w:val="0"/>
          <w:numId w:val="2"/>
        </w:numPr>
        <w:spacing w:after="60" w:line="268"/>
      </w:pPr>
      <w:r>
        <w:rPr>
          <w:b w:val="false"/>
          <w:bCs w:val="false"/>
        </w:rPr>
        <w:t xml:space="preserve">Independent verification + confidence + provenance.</w:t>
      </w:r>
    </w:p>
    <w:p>
      <w:pPr>
        <w:pStyle w:val="ListParagraph"/>
        <w:numPr>
          <w:ilvl w:val="0"/>
          <w:numId w:val="2"/>
        </w:numPr>
        <w:spacing w:after="60" w:line="268"/>
      </w:pPr>
      <w:r>
        <w:rPr>
          <w:b w:val="false"/>
          <w:bCs w:val="false"/>
        </w:rPr>
        <w:t xml:space="preserve">Recommendation engine + executive report.</w:t>
      </w:r>
    </w:p>
    <w:p>
      <w:pPr>
        <w:pStyle w:val="ListParagraph"/>
        <w:numPr>
          <w:ilvl w:val="0"/>
          <w:numId w:val="2"/>
        </w:numPr>
        <w:spacing w:after="60" w:line="268"/>
      </w:pPr>
      <w:r>
        <w:rPr>
          <w:b w:val="false"/>
          <w:bCs w:val="false"/>
        </w:rPr>
        <w:t xml:space="preserve">MCP manager + human approval workflow.</w:t>
      </w:r>
    </w:p>
    <w:p>
      <w:pPr>
        <w:pStyle w:val="ListParagraph"/>
        <w:numPr>
          <w:ilvl w:val="0"/>
          <w:numId w:val="2"/>
        </w:numPr>
        <w:spacing w:after="60" w:line="268"/>
      </w:pPr>
      <w:r>
        <w:rPr>
          <w:b w:val="false"/>
          <w:bCs w:val="false"/>
        </w:rPr>
        <w:t xml:space="preserve">SSO/RBAC, audit logging, prompt management, model routing, evaluation, observability, admin portal.</w:t>
      </w:r>
    </w:p>
    <w:p>
      <w:pPr>
        <w:pStyle w:val="Heading2"/>
      </w:pPr>
      <w:r>
        <w:t xml:space="preserve">33.2 Should have</w:t>
      </w:r>
    </w:p>
    <w:p>
      <w:pPr>
        <w:pStyle w:val="ListParagraph"/>
        <w:numPr>
          <w:ilvl w:val="0"/>
          <w:numId w:val="2"/>
        </w:numPr>
        <w:spacing w:after="60" w:line="268"/>
      </w:pPr>
      <w:r>
        <w:rPr>
          <w:b w:val="false"/>
          <w:bCs w:val="false"/>
        </w:rPr>
        <w:t xml:space="preserve">Multi-query retrieval and context compression; basic forecasting; notifications; richer report formats.</w:t>
      </w:r>
    </w:p>
    <w:p>
      <w:pPr>
        <w:pStyle w:val="Heading2"/>
      </w:pPr>
      <w:r>
        <w:t xml:space="preserve">33.3 Could have</w:t>
      </w:r>
    </w:p>
    <w:p>
      <w:pPr>
        <w:pStyle w:val="ListParagraph"/>
        <w:numPr>
          <w:ilvl w:val="0"/>
          <w:numId w:val="2"/>
        </w:numPr>
        <w:spacing w:after="60" w:line="268"/>
      </w:pPr>
      <w:r>
        <w:rPr>
          <w:b w:val="false"/>
          <w:bCs w:val="false"/>
        </w:rPr>
        <w:t xml:space="preserve">Scheduled/standing investigations; proactive anomaly alerts; additional connectors beyond the core set.</w:t>
      </w:r>
    </w:p>
    <w:p>
      <w:pPr>
        <w:pStyle w:val="Heading2"/>
      </w:pPr>
      <w:r>
        <w:t xml:space="preserve">33.4 Won't have (this release)</w:t>
      </w:r>
    </w:p>
    <w:p>
      <w:pPr>
        <w:pStyle w:val="ListParagraph"/>
        <w:numPr>
          <w:ilvl w:val="0"/>
          <w:numId w:val="2"/>
        </w:numPr>
        <w:spacing w:after="60" w:line="268"/>
      </w:pPr>
      <w:r>
        <w:rPr>
          <w:b w:val="false"/>
          <w:bCs w:val="false"/>
        </w:rPr>
        <w:t xml:space="preserve">Autonomous execution without approval; default open-web research; real-time/event data; per-tenant fine-tuning; native mobile.</w:t>
      </w:r>
    </w:p>
    <w:p>
      <w:pPr>
        <w:pStyle w:val="Heading1"/>
      </w:pPr>
      <w:r>
        <w:t xml:space="preserve">34. Risk Matrix</w:t>
      </w:r>
    </w:p>
    <w:p>
      <w:pPr>
        <w:spacing w:after="120" w:line="276"/>
      </w:pPr>
      <w:r>
        <w:t xml:space="preserve">Consolidated risks with likelihood (L), impact (I), and a qualitative score. Likelihood/Impact scale: 1 (low) – 5 (high). Score = L ×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80"/>
        <w:gridCol w:w="480"/>
        <w:gridCol w:w="720"/>
        <w:gridCol w:w="1300"/>
        <w:gridCol w:w="3280"/>
      </w:tblGrid>
      <w:tr>
        <w:trPr>
          <w:tblHeader/>
        </w:trPr>
        <w:tc>
          <w:tcPr>
            <w:tcW w:type="dxa" w:w="6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ID</w:t>
            </w:r>
          </w:p>
        </w:tc>
        <w:tc>
          <w:tcPr>
            <w:tcW w:type="dxa" w:w="25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Risk</w:t>
            </w:r>
          </w:p>
        </w:tc>
        <w:tc>
          <w:tcPr>
            <w:tcW w:type="dxa" w:w="48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L</w:t>
            </w:r>
          </w:p>
        </w:tc>
        <w:tc>
          <w:tcPr>
            <w:tcW w:type="dxa" w:w="48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I</w:t>
            </w:r>
          </w:p>
        </w:tc>
        <w:tc>
          <w:tcPr>
            <w:tcW w:type="dxa" w:w="72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Score</w:t>
            </w:r>
          </w:p>
        </w:tc>
        <w:tc>
          <w:tcPr>
            <w:tcW w:type="dxa" w:w="13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Owner</w:t>
            </w:r>
          </w:p>
        </w:tc>
        <w:tc>
          <w:tcPr>
            <w:tcW w:type="dxa" w:w="328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Mitigation</w:t>
            </w:r>
          </w:p>
        </w:tc>
      </w:tr>
      <w:tr>
        <w:tc>
          <w:tcPr>
            <w:tcW w:type="dxa" w:w="6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R1</w:t>
            </w:r>
          </w:p>
        </w:tc>
        <w:tc>
          <w:tcPr>
            <w:tcW w:type="dxa" w:w="25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Wrong answer erodes trust</w:t>
            </w:r>
          </w:p>
        </w:tc>
        <w:tc>
          <w:tcPr>
            <w:tcW w:type="dxa" w:w="48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jc w:val="center"/>
            </w:pPr>
            <w:r>
              <w:rPr>
                <w:sz w:val="19"/>
                <w:szCs w:val="19"/>
              </w:rPr>
              <w:t xml:space="preserve">3</w:t>
            </w:r>
          </w:p>
        </w:tc>
        <w:tc>
          <w:tcPr>
            <w:tcW w:type="dxa" w:w="48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jc w:val="center"/>
            </w:pPr>
            <w:r>
              <w:rPr>
                <w:sz w:val="19"/>
                <w:szCs w:val="19"/>
              </w:rPr>
              <w:t xml:space="preserve">5</w:t>
            </w:r>
          </w:p>
        </w:tc>
        <w:tc>
          <w:tcPr>
            <w:tcW w:type="dxa" w:w="72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jc w:val="center"/>
            </w:pPr>
            <w:r>
              <w:rPr>
                <w:b/>
                <w:bCs/>
                <w:color w:val="9A2A2A"/>
                <w:sz w:val="19"/>
                <w:szCs w:val="19"/>
              </w:rPr>
              <w:t xml:space="preserve">15</w:t>
            </w:r>
          </w:p>
        </w:tc>
        <w:tc>
          <w:tcPr>
            <w:tcW w:type="dxa" w:w="1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PM/AI</w:t>
            </w:r>
          </w:p>
        </w:tc>
        <w:tc>
          <w:tcPr>
            <w:tcW w:type="dxa" w:w="328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Verification-native; calibrated confidence; conspicuous uncertainty</w:t>
            </w:r>
          </w:p>
        </w:tc>
      </w:tr>
      <w:tr>
        <w:tc>
          <w:tcPr>
            <w:tcW w:type="dxa" w:w="6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R2</w:t>
            </w:r>
          </w:p>
        </w:tc>
        <w:tc>
          <w:tcPr>
            <w:tcW w:type="dxa" w:w="25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Cross-permission data leakage</w:t>
            </w:r>
          </w:p>
        </w:tc>
        <w:tc>
          <w:tcPr>
            <w:tcW w:type="dxa" w:w="48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jc w:val="center"/>
            </w:pPr>
            <w:r>
              <w:rPr>
                <w:sz w:val="19"/>
                <w:szCs w:val="19"/>
              </w:rPr>
              <w:t xml:space="preserve">2</w:t>
            </w:r>
          </w:p>
        </w:tc>
        <w:tc>
          <w:tcPr>
            <w:tcW w:type="dxa" w:w="48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jc w:val="center"/>
            </w:pPr>
            <w:r>
              <w:rPr>
                <w:sz w:val="19"/>
                <w:szCs w:val="19"/>
              </w:rPr>
              <w:t xml:space="preserve">5</w:t>
            </w:r>
          </w:p>
        </w:tc>
        <w:tc>
          <w:tcPr>
            <w:tcW w:type="dxa" w:w="72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jc w:val="center"/>
            </w:pPr>
            <w:r>
              <w:rPr>
                <w:b/>
                <w:bCs/>
                <w:color w:val="B26A00"/>
                <w:sz w:val="19"/>
                <w:szCs w:val="19"/>
              </w:rPr>
              <w:t xml:space="preserve">10</w:t>
            </w:r>
          </w:p>
        </w:tc>
        <w:tc>
          <w:tcPr>
            <w:tcW w:type="dxa" w:w="1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Security</w:t>
            </w:r>
          </w:p>
        </w:tc>
        <w:tc>
          <w:tcPr>
            <w:tcW w:type="dxa" w:w="328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Identity-scoped retrieval/query; deny-by-default; tenant isolation</w:t>
            </w:r>
          </w:p>
        </w:tc>
      </w:tr>
      <w:tr>
        <w:tc>
          <w:tcPr>
            <w:tcW w:type="dxa" w:w="6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R3</w:t>
            </w:r>
          </w:p>
        </w:tc>
        <w:tc>
          <w:tcPr>
            <w:tcW w:type="dxa" w:w="25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Prompt injection via tool/doc content</w:t>
            </w:r>
          </w:p>
        </w:tc>
        <w:tc>
          <w:tcPr>
            <w:tcW w:type="dxa" w:w="48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jc w:val="center"/>
            </w:pPr>
            <w:r>
              <w:rPr>
                <w:sz w:val="19"/>
                <w:szCs w:val="19"/>
              </w:rPr>
              <w:t xml:space="preserve">3</w:t>
            </w:r>
          </w:p>
        </w:tc>
        <w:tc>
          <w:tcPr>
            <w:tcW w:type="dxa" w:w="48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jc w:val="center"/>
            </w:pPr>
            <w:r>
              <w:rPr>
                <w:sz w:val="19"/>
                <w:szCs w:val="19"/>
              </w:rPr>
              <w:t xml:space="preserve">4</w:t>
            </w:r>
          </w:p>
        </w:tc>
        <w:tc>
          <w:tcPr>
            <w:tcW w:type="dxa" w:w="72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jc w:val="center"/>
            </w:pPr>
            <w:r>
              <w:rPr>
                <w:b/>
                <w:bCs/>
                <w:color w:val="B26A00"/>
                <w:sz w:val="19"/>
                <w:szCs w:val="19"/>
              </w:rPr>
              <w:t xml:space="preserve">12</w:t>
            </w:r>
          </w:p>
        </w:tc>
        <w:tc>
          <w:tcPr>
            <w:tcW w:type="dxa" w:w="1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AI/Sec</w:t>
            </w:r>
          </w:p>
        </w:tc>
        <w:tc>
          <w:tcPr>
            <w:tcW w:type="dxa" w:w="328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Treat content as data; typed tool args; injection evals</w:t>
            </w:r>
          </w:p>
        </w:tc>
      </w:tr>
      <w:tr>
        <w:tc>
          <w:tcPr>
            <w:tcW w:type="dxa" w:w="6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R4</w:t>
            </w:r>
          </w:p>
        </w:tc>
        <w:tc>
          <w:tcPr>
            <w:tcW w:type="dxa" w:w="25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Runaway loops inflate cost</w:t>
            </w:r>
          </w:p>
        </w:tc>
        <w:tc>
          <w:tcPr>
            <w:tcW w:type="dxa" w:w="48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jc w:val="center"/>
            </w:pPr>
            <w:r>
              <w:rPr>
                <w:sz w:val="19"/>
                <w:szCs w:val="19"/>
              </w:rPr>
              <w:t xml:space="preserve">3</w:t>
            </w:r>
          </w:p>
        </w:tc>
        <w:tc>
          <w:tcPr>
            <w:tcW w:type="dxa" w:w="48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jc w:val="center"/>
            </w:pPr>
            <w:r>
              <w:rPr>
                <w:sz w:val="19"/>
                <w:szCs w:val="19"/>
              </w:rPr>
              <w:t xml:space="preserve">3</w:t>
            </w:r>
          </w:p>
        </w:tc>
        <w:tc>
          <w:tcPr>
            <w:tcW w:type="dxa" w:w="72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jc w:val="center"/>
            </w:pPr>
            <w:r>
              <w:rPr>
                <w:b/>
                <w:bCs/>
                <w:color w:val="B26A00"/>
                <w:sz w:val="19"/>
                <w:szCs w:val="19"/>
              </w:rPr>
              <w:t xml:space="preserve">9</w:t>
            </w:r>
          </w:p>
        </w:tc>
        <w:tc>
          <w:tcPr>
            <w:tcW w:type="dxa" w:w="1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Eng</w:t>
            </w:r>
          </w:p>
        </w:tc>
        <w:tc>
          <w:tcPr>
            <w:tcW w:type="dxa" w:w="328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Depth/iteration/time/cost limits; loop detection</w:t>
            </w:r>
          </w:p>
        </w:tc>
      </w:tr>
      <w:tr>
        <w:tc>
          <w:tcPr>
            <w:tcW w:type="dxa" w:w="6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R5</w:t>
            </w:r>
          </w:p>
        </w:tc>
        <w:tc>
          <w:tcPr>
            <w:tcW w:type="dxa" w:w="25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MCP onboarding not actually cheap</w:t>
            </w:r>
          </w:p>
        </w:tc>
        <w:tc>
          <w:tcPr>
            <w:tcW w:type="dxa" w:w="48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jc w:val="center"/>
            </w:pPr>
            <w:r>
              <w:rPr>
                <w:sz w:val="19"/>
                <w:szCs w:val="19"/>
              </w:rPr>
              <w:t xml:space="preserve">2</w:t>
            </w:r>
          </w:p>
        </w:tc>
        <w:tc>
          <w:tcPr>
            <w:tcW w:type="dxa" w:w="48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jc w:val="center"/>
            </w:pPr>
            <w:r>
              <w:rPr>
                <w:sz w:val="19"/>
                <w:szCs w:val="19"/>
              </w:rPr>
              <w:t xml:space="preserve">4</w:t>
            </w:r>
          </w:p>
        </w:tc>
        <w:tc>
          <w:tcPr>
            <w:tcW w:type="dxa" w:w="72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jc w:val="center"/>
            </w:pPr>
            <w:r>
              <w:rPr>
                <w:b/>
                <w:bCs/>
                <w:color w:val="B26A00"/>
                <w:sz w:val="19"/>
                <w:szCs w:val="19"/>
              </w:rPr>
              <w:t xml:space="preserve">8</w:t>
            </w:r>
          </w:p>
        </w:tc>
        <w:tc>
          <w:tcPr>
            <w:tcW w:type="dxa" w:w="1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Platform</w:t>
            </w:r>
          </w:p>
        </w:tc>
        <w:tc>
          <w:tcPr>
            <w:tcW w:type="dxa" w:w="328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Declarative connector model; onboarding KPI; templates</w:t>
            </w:r>
          </w:p>
        </w:tc>
      </w:tr>
      <w:tr>
        <w:tc>
          <w:tcPr>
            <w:tcW w:type="dxa" w:w="6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R6</w:t>
            </w:r>
          </w:p>
        </w:tc>
        <w:tc>
          <w:tcPr>
            <w:tcW w:type="dxa" w:w="25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Model provider outage/regression</w:t>
            </w:r>
          </w:p>
        </w:tc>
        <w:tc>
          <w:tcPr>
            <w:tcW w:type="dxa" w:w="48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jc w:val="center"/>
            </w:pPr>
            <w:r>
              <w:rPr>
                <w:sz w:val="19"/>
                <w:szCs w:val="19"/>
              </w:rPr>
              <w:t xml:space="preserve">2</w:t>
            </w:r>
          </w:p>
        </w:tc>
        <w:tc>
          <w:tcPr>
            <w:tcW w:type="dxa" w:w="48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jc w:val="center"/>
            </w:pPr>
            <w:r>
              <w:rPr>
                <w:sz w:val="19"/>
                <w:szCs w:val="19"/>
              </w:rPr>
              <w:t xml:space="preserve">4</w:t>
            </w:r>
          </w:p>
        </w:tc>
        <w:tc>
          <w:tcPr>
            <w:tcW w:type="dxa" w:w="72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jc w:val="center"/>
            </w:pPr>
            <w:r>
              <w:rPr>
                <w:b/>
                <w:bCs/>
                <w:color w:val="B26A00"/>
                <w:sz w:val="19"/>
                <w:szCs w:val="19"/>
              </w:rPr>
              <w:t xml:space="preserve">8</w:t>
            </w:r>
          </w:p>
        </w:tc>
        <w:tc>
          <w:tcPr>
            <w:tcW w:type="dxa" w:w="1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Eng</w:t>
            </w:r>
          </w:p>
        </w:tc>
        <w:tc>
          <w:tcPr>
            <w:tcW w:type="dxa" w:w="328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LiteLLM multi-provider routing; fallbacks; canary evals</w:t>
            </w:r>
          </w:p>
        </w:tc>
      </w:tr>
      <w:tr>
        <w:tc>
          <w:tcPr>
            <w:tcW w:type="dxa" w:w="6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R7</w:t>
            </w:r>
          </w:p>
        </w:tc>
        <w:tc>
          <w:tcPr>
            <w:tcW w:type="dxa" w:w="25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Analyst resistance / low adoption</w:t>
            </w:r>
          </w:p>
        </w:tc>
        <w:tc>
          <w:tcPr>
            <w:tcW w:type="dxa" w:w="48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jc w:val="center"/>
            </w:pPr>
            <w:r>
              <w:rPr>
                <w:sz w:val="19"/>
                <w:szCs w:val="19"/>
              </w:rPr>
              <w:t xml:space="preserve">3</w:t>
            </w:r>
          </w:p>
        </w:tc>
        <w:tc>
          <w:tcPr>
            <w:tcW w:type="dxa" w:w="48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jc w:val="center"/>
            </w:pPr>
            <w:r>
              <w:rPr>
                <w:sz w:val="19"/>
                <w:szCs w:val="19"/>
              </w:rPr>
              <w:t xml:space="preserve">3</w:t>
            </w:r>
          </w:p>
        </w:tc>
        <w:tc>
          <w:tcPr>
            <w:tcW w:type="dxa" w:w="72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jc w:val="center"/>
            </w:pPr>
            <w:r>
              <w:rPr>
                <w:b/>
                <w:bCs/>
                <w:color w:val="B26A00"/>
                <w:sz w:val="19"/>
                <w:szCs w:val="19"/>
              </w:rPr>
              <w:t xml:space="preserve">9</w:t>
            </w:r>
          </w:p>
        </w:tc>
        <w:tc>
          <w:tcPr>
            <w:tcW w:type="dxa" w:w="13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PM</w:t>
            </w:r>
          </w:p>
        </w:tc>
        <w:tc>
          <w:tcPr>
            <w:tcW w:type="dxa" w:w="328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Augmentation framing; analyst as approver; change mgmt</w:t>
            </w:r>
          </w:p>
        </w:tc>
      </w:tr>
      <w:tr>
        <w:tc>
          <w:tcPr>
            <w:tcW w:type="dxa" w:w="6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R8</w:t>
            </w:r>
          </w:p>
        </w:tc>
        <w:tc>
          <w:tcPr>
            <w:tcW w:type="dxa" w:w="25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Compliance gap in a vertical</w:t>
            </w:r>
          </w:p>
        </w:tc>
        <w:tc>
          <w:tcPr>
            <w:tcW w:type="dxa" w:w="48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jc w:val="center"/>
            </w:pPr>
            <w:r>
              <w:rPr>
                <w:sz w:val="19"/>
                <w:szCs w:val="19"/>
              </w:rPr>
              <w:t xml:space="preserve">2</w:t>
            </w:r>
          </w:p>
        </w:tc>
        <w:tc>
          <w:tcPr>
            <w:tcW w:type="dxa" w:w="48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jc w:val="center"/>
            </w:pPr>
            <w:r>
              <w:rPr>
                <w:sz w:val="19"/>
                <w:szCs w:val="19"/>
              </w:rPr>
              <w:t xml:space="preserve">5</w:t>
            </w:r>
          </w:p>
        </w:tc>
        <w:tc>
          <w:tcPr>
            <w:tcW w:type="dxa" w:w="72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jc w:val="center"/>
            </w:pPr>
            <w:r>
              <w:rPr>
                <w:b/>
                <w:bCs/>
                <w:color w:val="B26A00"/>
                <w:sz w:val="19"/>
                <w:szCs w:val="19"/>
              </w:rPr>
              <w:t xml:space="preserve">10</w:t>
            </w:r>
          </w:p>
        </w:tc>
        <w:tc>
          <w:tcPr>
            <w:tcW w:type="dxa" w:w="13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Legal</w:t>
            </w:r>
          </w:p>
        </w:tc>
        <w:tc>
          <w:tcPr>
            <w:tcW w:type="dxa" w:w="328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Per-vertical legal gate; audit evidence; residency controls</w:t>
            </w:r>
          </w:p>
        </w:tc>
      </w:tr>
    </w:tbl>
    <w:p>
      <w:pPr>
        <w:spacing w:after="120" w:line="276"/>
      </w:pPr>
      <w:r>
        <w:rPr>
          <w:i/>
          <w:iCs/>
          <w:color w:val="6B7280"/>
          <w:sz w:val="17"/>
          <w:szCs w:val="17"/>
        </w:rPr>
        <w:t xml:space="preserve">Scores ≥ 15 are red (mitigate before GA), 8–14 amber (active management), &lt; 8 green (monitor).</w:t>
      </w:r>
    </w:p>
    <w:p>
      <w:pPr>
        <w:pStyle w:val="Heading1"/>
      </w:pPr>
      <w:r>
        <w:t xml:space="preserve">35.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Term</w:t>
            </w:r>
          </w:p>
        </w:tc>
        <w:tc>
          <w:tcPr>
            <w:tcW w:type="dxa" w:w="7160"/>
            <w:tcBorders>
              <w:top w:val="single" w:color="C7D2E0" w:sz="1"/>
              <w:left w:val="single" w:color="C7D2E0" w:sz="1"/>
              <w:bottom w:val="single" w:color="C7D2E0" w:sz="1"/>
              <w:right w:val="single" w:color="C7D2E0" w:sz="1"/>
            </w:tcBorders>
            <w:shd w:fill="1F3354" w:val="clear"/>
            <w:tcMar>
              <w:top w:type="dxa" w:w="60"/>
              <w:left w:type="dxa" w:w="110"/>
              <w:bottom w:type="dxa" w:w="60"/>
              <w:right w:type="dxa" w:w="110"/>
            </w:tcMar>
            <w:vAlign w:val="center"/>
          </w:tcPr>
          <w:p>
            <w:pPr>
              <w:spacing w:after="0" w:line="252"/>
            </w:pPr>
            <w:r>
              <w:rPr>
                <w:b/>
                <w:bCs/>
                <w:color w:val="FFFFFF"/>
                <w:sz w:val="19"/>
                <w:szCs w:val="19"/>
              </w:rPr>
              <w:t xml:space="preserve">Definition</w:t>
            </w:r>
          </w:p>
        </w:tc>
      </w:tr>
      <w:tr>
        <w:tc>
          <w:tcPr>
            <w:tcW w:type="dxa" w:w="22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Agent</w:t>
            </w:r>
          </w:p>
        </w:tc>
        <w:tc>
          <w:tcPr>
            <w:tcW w:type="dxa" w:w="71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 specialized, prompt-and-tool-bound component responsible for one role (e.g., retrieval, verification).</w:t>
            </w:r>
          </w:p>
        </w:tc>
      </w:tr>
      <w:tr>
        <w:tc>
          <w:tcPr>
            <w:tcW w:type="dxa" w:w="22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EADIP</w:t>
            </w:r>
          </w:p>
        </w:tc>
        <w:tc>
          <w:tcPr>
            <w:tcW w:type="dxa" w:w="71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Enterprise Autonomous Decision Intelligence Platform — the product described in this document.</w:t>
            </w:r>
          </w:p>
        </w:tc>
      </w:tr>
      <w:tr>
        <w:tc>
          <w:tcPr>
            <w:tcW w:type="dxa" w:w="22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GraphRAG</w:t>
            </w:r>
          </w:p>
        </w:tc>
        <w:tc>
          <w:tcPr>
            <w:tcW w:type="dxa" w:w="71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Retrieval-augmented generation that traverses a knowledge graph for multi-hop and relationship queries.</w:t>
            </w:r>
          </w:p>
        </w:tc>
      </w:tr>
      <w:tr>
        <w:tc>
          <w:tcPr>
            <w:tcW w:type="dxa" w:w="22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Hybrid search</w:t>
            </w:r>
          </w:p>
        </w:tc>
        <w:tc>
          <w:tcPr>
            <w:tcW w:type="dxa" w:w="71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Retrieval combining dense vector similarity with sparse/keyword (BM25) matching, then reranking.</w:t>
            </w:r>
          </w:p>
        </w:tc>
      </w:tr>
      <w:tr>
        <w:tc>
          <w:tcPr>
            <w:tcW w:type="dxa" w:w="22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Human-in-the-loop</w:t>
            </w:r>
          </w:p>
        </w:tc>
        <w:tc>
          <w:tcPr>
            <w:tcW w:type="dxa" w:w="71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A workflow checkpoint requiring explicit human approval before a consequential action proceeds.</w:t>
            </w:r>
          </w:p>
        </w:tc>
      </w:tr>
      <w:tr>
        <w:tc>
          <w:tcPr>
            <w:tcW w:type="dxa" w:w="22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MCP</w:t>
            </w:r>
          </w:p>
        </w:tc>
        <w:tc>
          <w:tcPr>
            <w:tcW w:type="dxa" w:w="71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Model Context Protocol — a standard for exposing enterprise systems to models as governed tools.</w:t>
            </w:r>
          </w:p>
        </w:tc>
      </w:tr>
      <w:tr>
        <w:tc>
          <w:tcPr>
            <w:tcW w:type="dxa" w:w="22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Orchestrator</w:t>
            </w:r>
          </w:p>
        </w:tc>
        <w:tc>
          <w:tcPr>
            <w:tcW w:type="dxa" w:w="71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The component that executes the plan by coordinating agents, retries, branches, and checkpoints.</w:t>
            </w:r>
          </w:p>
        </w:tc>
      </w:tr>
      <w:tr>
        <w:tc>
          <w:tcPr>
            <w:tcW w:type="dxa" w:w="22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Provenance</w:t>
            </w:r>
          </w:p>
        </w:tc>
        <w:tc>
          <w:tcPr>
            <w:tcW w:type="dxa" w:w="71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The recorded lineage of a claim: the query/document it came from and its verification status.</w:t>
            </w:r>
          </w:p>
        </w:tc>
      </w:tr>
      <w:tr>
        <w:tc>
          <w:tcPr>
            <w:tcW w:type="dxa" w:w="22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RBAC</w:t>
            </w:r>
          </w:p>
        </w:tc>
        <w:tc>
          <w:tcPr>
            <w:tcW w:type="dxa" w:w="71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Role-Based Access Control — permissions assigned by role and resource scope.</w:t>
            </w:r>
          </w:p>
        </w:tc>
      </w:tr>
      <w:tr>
        <w:tc>
          <w:tcPr>
            <w:tcW w:type="dxa" w:w="22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Reflection</w:t>
            </w:r>
          </w:p>
        </w:tc>
        <w:tc>
          <w:tcPr>
            <w:tcW w:type="dxa" w:w="71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An agent step that evaluates whether gathered evidence is sufficient and what to do next.</w:t>
            </w:r>
          </w:p>
        </w:tc>
      </w:tr>
      <w:tr>
        <w:tc>
          <w:tcPr>
            <w:tcW w:type="dxa" w:w="220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Time-to-insight</w:t>
            </w:r>
          </w:p>
        </w:tc>
        <w:tc>
          <w:tcPr>
            <w:tcW w:type="dxa" w:w="7160"/>
            <w:tcBorders>
              <w:top w:val="single" w:color="C7D2E0" w:sz="1"/>
              <w:left w:val="single" w:color="C7D2E0" w:sz="1"/>
              <w:bottom w:val="single" w:color="C7D2E0" w:sz="1"/>
              <w:right w:val="single" w:color="C7D2E0" w:sz="1"/>
            </w:tcBorders>
            <w:tcMar>
              <w:top w:type="dxa" w:w="60"/>
              <w:left w:type="dxa" w:w="110"/>
              <w:bottom w:type="dxa" w:w="60"/>
              <w:right w:type="dxa" w:w="110"/>
            </w:tcMar>
            <w:vAlign w:val="center"/>
          </w:tcPr>
          <w:p>
            <w:pPr>
              <w:spacing w:after="0" w:line="252"/>
            </w:pPr>
            <w:r>
              <w:rPr>
                <w:sz w:val="19"/>
                <w:szCs w:val="19"/>
              </w:rPr>
              <w:t xml:space="preserve">Elapsed time from question submission to a delivered, verified answer.</w:t>
            </w:r>
          </w:p>
        </w:tc>
      </w:tr>
      <w:tr>
        <w:tc>
          <w:tcPr>
            <w:tcW w:type="dxa" w:w="220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Verification Agent</w:t>
            </w:r>
          </w:p>
        </w:tc>
        <w:tc>
          <w:tcPr>
            <w:tcW w:type="dxa" w:w="7160"/>
            <w:tcBorders>
              <w:top w:val="single" w:color="C7D2E0" w:sz="1"/>
              <w:left w:val="single" w:color="C7D2E0" w:sz="1"/>
              <w:bottom w:val="single" w:color="C7D2E0" w:sz="1"/>
              <w:right w:val="single" w:color="C7D2E0" w:sz="1"/>
            </w:tcBorders>
            <w:shd w:fill="F4F7FB" w:val="clear"/>
            <w:tcMar>
              <w:top w:type="dxa" w:w="60"/>
              <w:left w:type="dxa" w:w="110"/>
              <w:bottom w:type="dxa" w:w="60"/>
              <w:right w:type="dxa" w:w="110"/>
            </w:tcMar>
            <w:vAlign w:val="center"/>
          </w:tcPr>
          <w:p>
            <w:pPr>
              <w:spacing w:after="0" w:line="252"/>
            </w:pPr>
            <w:r>
              <w:rPr>
                <w:sz w:val="19"/>
                <w:szCs w:val="19"/>
              </w:rPr>
              <w:t xml:space="preserve">The agent that independently re-derives quantitative claims to confirm correctness.</w:t>
            </w:r>
          </w:p>
        </w:tc>
      </w:tr>
    </w:tbl>
    <w:p>
      <w:pPr>
        <w:pBdr>
          <w:top w:val="single" w:color="2E5C9A" w:sz="6" w:space="4"/>
        </w:pBdr>
        <w:spacing w:before="240"/>
      </w:pPr>
      <w:r>
        <w:rPr>
          <w:i/>
          <w:iCs/>
          <w:color w:val="6B7280"/>
          <w:sz w:val="18"/>
          <w:szCs w:val="18"/>
        </w:rPr>
        <w:t xml:space="preserve">End of Product Requirements Document — EADIP v1.0. Companion: Technical Architecture Document (TAD).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E0" w:sz="4" w:space="4"/>
      </w:pBdr>
      <w:tabs>
        <w:tab w:val="right" w:pos="9360"/>
      </w:tabs>
    </w:pPr>
    <w:r>
      <w:rPr>
        <w:color w:val="6B7280"/>
        <w:sz w:val="16"/>
        <w:szCs w:val="16"/>
      </w:rPr>
      <w:t xml:space="preserve">v1.0 — Draft for Principal review</w:t>
    </w:r>
    <w:r>
      <w:rPr>
        <w:color w:val="6B7280"/>
        <w:sz w:val="16"/>
        <w:szCs w:val="16"/>
      </w:rPr>
      <w:t xml:space="preserve">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E0" w:sz="4" w:space="4"/>
      </w:pBdr>
      <w:tabs>
        <w:tab w:val="right" w:pos="9360"/>
      </w:tabs>
    </w:pPr>
    <w:r>
      <w:rPr>
        <w:color w:val="6B7280"/>
        <w:sz w:val="16"/>
        <w:szCs w:val="16"/>
      </w:rPr>
      <w:t xml:space="preserve">EADIP — Product Requirements Document</w:t>
    </w:r>
    <w:r>
      <w:rPr>
        <w:color w:val="6B728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D9772B"/>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772B" w:sz="6" w:space="4"/>
      </w:pBdr>
      <w:spacing w:after="160" w:before="320"/>
      <w:outlineLvl w:val="0"/>
    </w:pPr>
    <w:rPr>
      <w:rFonts w:ascii="Arial" w:cs="Arial" w:eastAsia="Arial" w:hAnsi="Arial"/>
      <w:b/>
      <w:bCs/>
      <w:color w:val="1F335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C9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41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EADIP — Product Requirements Document</dc:title>
  <dc:creator>Product Management — Decision Intelligence</dc:creator>
  <dc:description>Enterprise Autonomous Decision Intelligence Platform PRD</dc:description>
  <cp:lastModifiedBy>Un-named</cp:lastModifiedBy>
  <cp:revision>1</cp:revision>
  <dcterms:created xsi:type="dcterms:W3CDTF">2026-06-25T17:13:11.955Z</dcterms:created>
  <dcterms:modified xsi:type="dcterms:W3CDTF">2026-06-25T17:13:11.955Z</dcterms:modified>
</cp:coreProperties>
</file>

<file path=docProps/custom.xml><?xml version="1.0" encoding="utf-8"?>
<Properties xmlns="http://schemas.openxmlformats.org/officeDocument/2006/custom-properties" xmlns:vt="http://schemas.openxmlformats.org/officeDocument/2006/docPropsVTypes"/>
</file>