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Predicting Credit-Card Default: A Comparison of Regularised Linear Models, Support Vector Machines, and Multilayer Perceptrons</w:t>
      </w:r>
    </w:p>
    <w:p>
      <w:r>
        <w:rPr>
          <w:b/>
        </w:rPr>
        <w:t>MIS41120 Statistical Learning — Practical Assignment</w:t>
      </w:r>
      <w:r>
        <w:t xml:space="preserve"> </w:t>
      </w:r>
      <w:r>
        <w:rPr>
          <w:b/>
        </w:rPr>
        <w:t>Hand-up date:</w:t>
      </w:r>
      <w:r>
        <w:t xml:space="preserve"> [DD MONTH 2026]</w:t>
      </w:r>
    </w:p>
    <w:p>
      <w:pPr>
        <w:pStyle w:val="Heading1"/>
      </w:pPr>
      <w:r>
        <w:t>Title Page</w:t>
      </w:r>
    </w:p>
    <w:p>
      <w:r>
        <w:rPr>
          <w:b/>
        </w:rPr>
        <w:t>Team members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Full name</w:t>
            </w:r>
          </w:p>
        </w:tc>
        <w:tc>
          <w:tcPr>
            <w:tcW w:type="dxa" w:w="4320"/>
          </w:tcPr>
          <w:p>
            <w:r>
              <w:rPr>
                <w:b/>
              </w:rPr>
            </w:r>
            <w:r>
              <w:rPr>
                <w:b/>
              </w:rPr>
              <w:t>Student number</w:t>
            </w:r>
          </w:p>
        </w:tc>
      </w:tr>
      <w:tr>
        <w:tc>
          <w:tcPr>
            <w:tcW w:type="dxa" w:w="4320"/>
          </w:tcPr>
          <w:p>
            <w:r/>
            <w:r>
              <w:t>Kokru, [Firstname]</w:t>
            </w:r>
          </w:p>
        </w:tc>
        <w:tc>
          <w:tcPr>
            <w:tcW w:type="dxa" w:w="4320"/>
          </w:tcPr>
          <w:p>
            <w:r/>
            <w:r>
              <w:t>[Student number]</w:t>
            </w:r>
          </w:p>
        </w:tc>
      </w:tr>
      <w:tr>
        <w:tc>
          <w:tcPr>
            <w:tcW w:type="dxa" w:w="4320"/>
          </w:tcPr>
          <w:p>
            <w:r/>
            <w:r>
              <w:t>Dharmadhikari, [Firstname]</w:t>
            </w:r>
          </w:p>
        </w:tc>
        <w:tc>
          <w:tcPr>
            <w:tcW w:type="dxa" w:w="4320"/>
          </w:tcPr>
          <w:p>
            <w:r/>
            <w:r>
              <w:t>[Student number]</w:t>
            </w:r>
          </w:p>
        </w:tc>
      </w:tr>
      <w:tr>
        <w:tc>
          <w:tcPr>
            <w:tcW w:type="dxa" w:w="4320"/>
          </w:tcPr>
          <w:p>
            <w:r/>
            <w:r>
              <w:t>Sinha, [Firstname]</w:t>
            </w:r>
          </w:p>
        </w:tc>
        <w:tc>
          <w:tcPr>
            <w:tcW w:type="dxa" w:w="4320"/>
          </w:tcPr>
          <w:p>
            <w:r/>
            <w:r>
              <w:t>[Student number]</w:t>
            </w:r>
          </w:p>
        </w:tc>
      </w:tr>
    </w:tbl>
    <w:p>
      <w:r>
        <w:rPr>
          <w:b/>
        </w:rPr>
        <w:t>Statement of own work.</w:t>
      </w:r>
      <w:r>
        <w:t xml:space="preserve"> We declare that this assignment is our own work, that it has not been submitted for assessment in any other module or programme, and that all sources used have been acknowledged. We understand the University's policy on plagiarism and academic integrity and confirm that this submission complies with it.</w:t>
      </w:r>
    </w:p>
    <w:p>
      <w:r>
        <w:rPr>
          <w:b/>
        </w:rPr>
        <w:t>Declaration on the use of AI tools.</w:t>
      </w:r>
      <w:r>
        <w:t xml:space="preserve"> In accordance with the module's policy on generative AI, we declare the following. [EDIT THIS PARAGRAPH TO REFLECT YOUR ACTUAL USE AND THE EXACT WORDING THE BRIEF REQUIRES.] Generative AI tools were used as a coding and drafting aid: to help structure and comment the R scripts, to debug package-specific issues, and to assist in drafting and proof-reading this report. All modelling decisions, the interpretation of results, and the final wording were reviewed, verified, and are owned by the authors. Every numeric result reported here was produced by running our own R scripts on the dataset; no results were generated or fabricated by an AI tool. Tool(s) used: [NAME/VERSION]. Extent of use: [BRIEF DESCRIPTION].</w:t>
      </w:r>
    </w:p>
    <w:p>
      <w:r>
        <w:rPr>
          <w:b/>
        </w:rPr>
        <w:t>Per-member contribution</w:t>
      </w:r>
    </w:p>
    <w:p>
      <w:pPr>
        <w:pStyle w:val="ListBullet"/>
      </w:pPr>
      <w:r>
        <w:rPr>
          <w:b/>
        </w:rPr>
        <w:t>Kokru</w:t>
      </w:r>
      <w:r>
        <w:t xml:space="preserve"> — [e.g. EDA and preprocessing pipeline (Stages 1–2), report sections 2–3]. Contribution: </w:t>
      </w:r>
      <w:r>
        <w:rPr>
          <w:b/>
        </w:rPr>
        <w:t>[33]%</w:t>
      </w:r>
      <w:r>
        <w:t>.</w:t>
      </w:r>
    </w:p>
    <w:p>
      <w:pPr>
        <w:pStyle w:val="ListBullet"/>
      </w:pPr>
      <w:r>
        <w:rPr>
          <w:b/>
        </w:rPr>
        <w:t>Dharmadhikari</w:t>
      </w:r>
      <w:r>
        <w:t xml:space="preserve"> — [e.g. logistic/regularised models and SVMs (Stages 3–5), report sections 4–5]. Contribution: </w:t>
      </w:r>
      <w:r>
        <w:rPr>
          <w:b/>
        </w:rPr>
        <w:t>[33]%</w:t>
      </w:r>
      <w:r>
        <w:t>.</w:t>
      </w:r>
    </w:p>
    <w:p>
      <w:pPr>
        <w:pStyle w:val="ListBullet"/>
      </w:pPr>
      <w:r>
        <w:rPr>
          <w:b/>
        </w:rPr>
        <w:t>Sinha</w:t>
      </w:r>
      <w:r>
        <w:t xml:space="preserve"> — [e.g. MLP, cross-method comparison and figures (Stages 6–7), report sections 6–7]. Contribution: </w:t>
      </w:r>
      <w:r>
        <w:rPr>
          <w:b/>
        </w:rPr>
        <w:t>[34]%</w:t>
      </w:r>
      <w:r>
        <w:t>.</w:t>
      </w:r>
    </w:p>
    <w:p>
      <w:r>
        <w:t>*(Percentages sum to 100%. Adjust the split and task allocation to match your team's actual division of work.)*</w:t>
      </w:r>
    </w:p>
    <w:p>
      <w:r>
        <w:br w:type="page"/>
      </w:r>
    </w:p>
    <w:p>
      <w:pPr>
        <w:pStyle w:val="Heading1"/>
      </w:pPr>
      <w:r>
        <w:t>1. Introduction</w:t>
      </w:r>
    </w:p>
    <w:p>
      <w:r>
        <w:t xml:space="preserve">Consumer credit risk is one of the oldest and most consequential applications of statistical learning. A lender who can identify, in advance, which customers are likely to miss their next payment can price risk correctly, set credit limits prudently, and intervene early. The problem we study is a canonical instance of this task: predicting whether a credit-card client will </w:t>
      </w:r>
      <w:r>
        <w:rPr>
          <w:b/>
        </w:rPr>
        <w:t>default on their next monthly payment</w:t>
      </w:r>
      <w:r>
        <w:t>, using demographic attributes and six months of billing and repayment history.</w:t>
      </w:r>
    </w:p>
    <w:p>
      <w:r>
        <w:t xml:space="preserve">The application sits inside a </w:t>
      </w:r>
      <w:r>
        <w:rPr>
          <w:b/>
        </w:rPr>
        <w:t>heavily regulated</w:t>
      </w:r>
      <w:r>
        <w:t xml:space="preserve"> domain. In retail banking, credit-scoring models are subject to supervisory scrutiny and, increasingly, to "right to explanation" expectations: an institution must be able to justify *why* an applicant was declined. This makes </w:t>
      </w:r>
      <w:r>
        <w:rPr>
          <w:b/>
        </w:rPr>
        <w:t>explainability a first-class modelling objective</w:t>
      </w:r>
      <w:r>
        <w:t xml:space="preserve">, not an afterthought. A model that predicts marginally better but cannot be explained to a regulator or a customer may be unusable in practice. Our comparison is therefore framed not only around predictive accuracy but explicitly around the </w:t>
      </w:r>
      <w:r>
        <w:rPr>
          <w:b/>
        </w:rPr>
        <w:t>trade-off between predictive performance and interpretability</w:t>
      </w:r>
      <w:r>
        <w:t>, alongside computational efficiency.</w:t>
      </w:r>
    </w:p>
    <w:p>
      <w:r>
        <w:rPr>
          <w:b/>
        </w:rPr>
        <w:t>Dataset and justification.</w:t>
      </w:r>
      <w:r>
        <w:t xml:space="preserve"> We use the UCI *Default of Credit Card Clients* dataset (Yeh &amp; Lien, 2009), comprising </w:t>
      </w:r>
      <w:r>
        <w:rPr>
          <w:b/>
        </w:rPr>
        <w:t>30,000 clients</w:t>
      </w:r>
      <w:r>
        <w:t xml:space="preserve"> described by </w:t>
      </w:r>
      <w:r>
        <w:rPr>
          <w:b/>
        </w:rPr>
        <w:t>23 predictors</w:t>
      </w:r>
      <w:r>
        <w:t xml:space="preserve"> plus an ID column and a binary target. The dataset satisfies the assignment's structural requirements: it has </w:t>
      </w:r>
      <w:r>
        <w:rPr>
          <w:b/>
        </w:rPr>
        <w:t>p = 23 ≥ 20</w:t>
      </w:r>
      <w:r>
        <w:t xml:space="preserve"> predictors and </w:t>
      </w:r>
      <w:r>
        <w:rPr>
          <w:b/>
        </w:rPr>
        <w:t>n = 30,000 ≥ 5p = 115</w:t>
      </w:r>
      <w:r>
        <w:t xml:space="preserve"> observations, giving a large sample relative to the dimensionality — ample data to fit flexible models (SVM, MLP) without immediate overfitting. The predictors span demographic variables (LIMIT_BAL, SEX, EDUCATION, MARRIAGE, AGE), six months of ordinal repayment-status codes (PAY_0, PAY_2–PAY_6), six monthly bill amounts (BILL_AMT1–6), and six monthly payment amounts (PAY_AMT1–6). The target, *default payment next month*, is binary. The dataset is publicly available, well-studied, and directly analogous to the ISLR Chapter 3 setting we are asked to mirror.</w:t>
      </w:r>
    </w:p>
    <w:p>
      <w:r>
        <w:t>Dataset URL: &lt;https://archive.ics.uci.edu/dataset/350/default+of+credit+card+clients&gt;</w:t>
      </w:r>
    </w:p>
    <w:p>
      <w:r>
        <w:rPr>
          <w:b/>
        </w:rPr>
        <w:t>Relation to ISLR Q15(b).</w:t>
      </w:r>
      <w:r>
        <w:t xml:space="preserve"> ISLR Chapter 3, Question 15(b) asks the analyst to fit a multiple regression on *all* predictors and report for which predictors the null hypothesis H₀: βⱼ = 0 can be rejected. We adapt this to our binary target, addressing the regression-versus-classification tension directly (Section 4), and report the answer in Section 5.</w:t>
      </w:r>
    </w:p>
    <w:p>
      <w:pPr>
        <w:pStyle w:val="Heading1"/>
      </w:pPr>
      <w:r>
        <w:t>2. Data and preprocessing</w:t>
      </w:r>
    </w:p>
    <w:p>
      <w:r>
        <w:rPr>
          <w:b/>
        </w:rPr>
        <w:t>Class imbalance.</w:t>
      </w:r>
      <w:r>
        <w:t xml:space="preserve"> The target is imbalanced: </w:t>
      </w:r>
      <w:r>
        <w:rPr>
          <w:b/>
        </w:rPr>
        <w:t>6,636 of 30,000 clients (22.1%) defaulted</w:t>
      </w:r>
      <w:r>
        <w:t xml:space="preserve">, against 77.9% who did not (Figure 1). This imbalance is central to everything that follows. A trivial classifier that always predicts "no default" already achieves </w:t>
      </w:r>
      <w:r>
        <w:rPr>
          <w:b/>
        </w:rPr>
        <w:t>77.9% accuracy</w:t>
      </w:r>
      <w:r>
        <w:t xml:space="preserve">, so raw accuracy is a misleading yardstick. We therefore evaluate models primarily on </w:t>
      </w:r>
      <w:r>
        <w:rPr>
          <w:b/>
        </w:rPr>
        <w:t>ROC-AUC</w:t>
      </w:r>
      <w:r>
        <w:t xml:space="preserve"> (threshold-independent ranking quality) and on </w:t>
      </w:r>
      <w:r>
        <w:rPr>
          <w:b/>
        </w:rPr>
        <w:t>recall/sensitivity</w:t>
      </w:r>
      <w:r>
        <w:t xml:space="preserve"> (the fraction of true defaulters caught), reporting accuracy alongside for context.</w:t>
      </w:r>
    </w:p>
    <w:p>
      <w:r>
        <w:rPr>
          <w:b/>
        </w:rPr>
        <w:t>Repayment status (PAY_*).</w:t>
      </w:r>
      <w:r>
        <w:t xml:space="preserve"> The six PAY_ variables record how many months behind a client was in each of the last six months (−2/−1/0 denote paid duly or no consumption; 1…8 denote months of delay). Exploratory analysis showed these to be the </w:t>
      </w:r>
      <w:r>
        <w:rPr>
          <w:b/>
        </w:rPr>
        <w:t>strongest signals</w:t>
      </w:r>
      <w:r>
        <w:t xml:space="preserve"> in the data: the empirical default rate rises steeply and near-monotonically with the most recent repayment status (Figures 2 and 3). For the latest month (PAY_0), the default rate climbs from roughly 13% for clients who paid duly to </w:t>
      </w:r>
      <w:r>
        <w:rPr>
          <w:b/>
        </w:rPr>
        <w:t>69% at two months' delay and 76% at three</w:t>
      </w:r>
      <w:r>
        <w:t>. This pattern recurs across all six months (Figure 4).</w:t>
      </w:r>
    </w:p>
    <w:p>
      <w:r>
        <w:rPr>
          <w:b/>
        </w:rPr>
        <w:t>Bill-amount collinearity (BILL_AMT*).</w:t>
      </w:r>
      <w:r>
        <w:t xml:space="preserve"> The six BILL_AMT columns are consecutive monthly statement balances for the same clients. Because balances change slowly, they are </w:t>
      </w:r>
      <w:r>
        <w:rPr>
          <w:b/>
        </w:rPr>
        <w:t>highly correlated</w:t>
      </w:r>
      <w:r>
        <w:t xml:space="preserve">: the mean off-diagonal correlation across BILL_AMT1–6 is </w:t>
      </w:r>
      <w:r>
        <w:rPr>
          <w:b/>
        </w:rPr>
        <w:t>0.886</w:t>
      </w:r>
      <w:r>
        <w:t>, with pairwise values from 0.80 to 0.95 (Figure 5). Strong multicollinearity inflates the variance of unregularised coefficients and makes them unstable and hard to interpret — the empirical motivation for the ridge/lasso/elastic-net models introduced later.</w:t>
      </w:r>
    </w:p>
    <w:p>
      <w:r>
        <w:rPr>
          <w:b/>
        </w:rPr>
        <w:t>Recoding undocumented categories.</w:t>
      </w:r>
      <w:r>
        <w:t xml:space="preserve"> The data dictionary documents only a subset of the categorical codes. EDUCATION contains undocumented codes 0, 5 and 6 (14, 280 and 51 clients respectively); MARRIAGE contains an undocumented code 0 (54 clients). Following common practice, we fold these rare, unlabelled codes into the existing "other" category: </w:t>
      </w:r>
      <w:r>
        <w:rPr>
          <w:b/>
        </w:rPr>
        <w:t>EDUCATION {0, 5, 6} → 4</w:t>
      </w:r>
      <w:r>
        <w:t xml:space="preserve"> and </w:t>
      </w:r>
      <w:r>
        <w:rPr>
          <w:b/>
        </w:rPr>
        <w:t>MARRIAGE {0} → 3</w:t>
      </w:r>
      <w:r>
        <w:t>. This avoids sparse, noisy dummy levels while preserving the documented category structure.</w:t>
      </w:r>
    </w:p>
    <w:p>
      <w:r>
        <w:rPr>
          <w:b/>
        </w:rPr>
        <w:t>Variable types.</w:t>
      </w:r>
      <w:r>
        <w:t xml:space="preserve"> We set types deliberately. SEX, EDUCATION and MARRIAGE are treated as </w:t>
      </w:r>
      <w:r>
        <w:rPr>
          <w:b/>
        </w:rPr>
        <w:t>unordered factors</w:t>
      </w:r>
      <w:r>
        <w:t xml:space="preserve"> (one-hot encoded for the matrix-based models). The PAY_ variables are kept as a </w:t>
      </w:r>
      <w:r>
        <w:rPr>
          <w:b/>
        </w:rPr>
        <w:t>single numeric column each</w:t>
      </w:r>
      <w:r>
        <w:t xml:space="preserve">: they are genuinely ordinal and roughly monotone in default risk, so a numeric encoding preserves the ordering and the "more delay → more risk" signal while keeping the design matrix compact. LIMIT_BAL, AGE, BILL_AMT* and PAY_AMT* are </w:t>
      </w:r>
      <w:r>
        <w:rPr>
          <w:b/>
        </w:rPr>
        <w:t>continuous</w:t>
      </w:r>
      <w:r>
        <w:t>. The target is already binary, so — as noted in the assignment's Section 2.1 — no regression-to-classification conversion is required; we simply type it as a two-level factor with levels ("0", "1"), fixing "1" (default) as the positive class throughout.</w:t>
      </w:r>
    </w:p>
    <w:p>
      <w:r>
        <w:rPr>
          <w:b/>
        </w:rPr>
        <w:t>Standardisation (leakage-free).</w:t>
      </w:r>
      <w:r>
        <w:t xml:space="preserve"> The continuous predictors span vastly different scales (integer ages versus six-figure currency amounts). Because the penalised models apply an equal penalty to every coefficient, and SVM/MLP are distance/gradient based, all continuous predictors are </w:t>
      </w:r>
      <w:r>
        <w:rPr>
          <w:b/>
        </w:rPr>
        <w:t>standardised to zero mean and unit variance</w:t>
      </w:r>
      <w:r>
        <w:t xml:space="preserve">. Crucially, the centre and scale are </w:t>
      </w:r>
      <w:r>
        <w:rPr>
          <w:b/>
        </w:rPr>
        <w:t>learned from the training set only</w:t>
      </w:r>
      <w:r>
        <w:t xml:space="preserve"> and then applied unchanged to the test set. Computing these parameters over the full data would leak test-set information into preprocessing and inflate the apparent test performance; fitting on train only keeps the estimate honest. Factor dummies are left unscaled.</w:t>
      </w:r>
    </w:p>
    <w:p>
      <w:r>
        <w:rPr>
          <w:b/>
        </w:rPr>
        <w:t>Split and cross-validation.</w:t>
      </w:r>
      <w:r>
        <w:t xml:space="preserve"> We use a </w:t>
      </w:r>
      <w:r>
        <w:rPr>
          <w:b/>
        </w:rPr>
        <w:t>stratified 70/30 train/test split</w:t>
      </w:r>
      <w:r>
        <w:t xml:space="preserve"> (caret::createDataPartition), which preserves the 22.1% default rate in both partitions — verified: full, train and test all show 22.1% default. This yields </w:t>
      </w:r>
      <w:r>
        <w:rPr>
          <w:b/>
        </w:rPr>
        <w:t>21,001 training</w:t>
      </w:r>
      <w:r>
        <w:t xml:space="preserve"> and </w:t>
      </w:r>
      <w:r>
        <w:rPr>
          <w:b/>
        </w:rPr>
        <w:t>8,999 test</w:t>
      </w:r>
      <w:r>
        <w:t xml:space="preserve"> rows. For model tuning we construct a </w:t>
      </w:r>
      <w:r>
        <w:rPr>
          <w:b/>
        </w:rPr>
        <w:t>single shared set of stratified 10-fold cross-validation folds</w:t>
      </w:r>
      <w:r>
        <w:t xml:space="preserve"> on the training target and reuse it across *every* model. Shared folds are essential for a fair comparison: if each model used its own random folds, measured differences could reflect the partition rather than the method.</w:t>
      </w:r>
    </w:p>
    <w:p>
      <w:pPr>
        <w:pStyle w:val="Heading1"/>
      </w:pPr>
      <w:r>
        <w:t>3. Methods</w:t>
      </w:r>
    </w:p>
    <w:p>
      <w:r>
        <w:t>All models were fitted in R. We compare three model families, each in an unregularised form and with L2, L1 and elastic-net (L1+L2) regularisation where the family admits it.</w:t>
      </w:r>
    </w:p>
    <w:p>
      <w:r>
        <w:rPr>
          <w:b/>
        </w:rPr>
        <w:t>3.1 Linear models — OLS/logistic (+ ridge, lasso, elastic net).</w:t>
      </w:r>
      <w:r>
        <w:t xml:space="preserve"> To answer ISLR Q15(b) literally we first fit a </w:t>
      </w:r>
      <w:r>
        <w:rPr>
          <w:b/>
        </w:rPr>
        <w:t>linear probability model (LPM)</w:t>
      </w:r>
      <w:r>
        <w:t xml:space="preserve"> — ordinary least squares on the 0/1 target — which provides the classical t-tests the question asks for. We then fit </w:t>
      </w:r>
      <w:r>
        <w:rPr>
          <w:b/>
        </w:rPr>
        <w:t>logistic regression</w:t>
      </w:r>
      <w:r>
        <w:t xml:space="preserve">, the statistically appropriate model for a binary response, as our unregularised baseline. Regularisation is added via </w:t>
      </w:r>
      <w:r>
        <w:rPr>
          <w:b/>
        </w:rPr>
        <w:t>penalised logistic regression</w:t>
      </w:r>
      <w:r>
        <w:t xml:space="preserve"> (glmnet, family = "binomial"): </w:t>
      </w:r>
      <w:r>
        <w:rPr>
          <w:b/>
        </w:rPr>
        <w:t>ridge</w:t>
      </w:r>
      <w:r>
        <w:t xml:space="preserve"> (α = 0, L2), </w:t>
      </w:r>
      <w:r>
        <w:rPr>
          <w:b/>
        </w:rPr>
        <w:t>lasso</w:t>
      </w:r>
      <w:r>
        <w:t xml:space="preserve"> (α = 1, L1), and </w:t>
      </w:r>
      <w:r>
        <w:rPr>
          <w:b/>
        </w:rPr>
        <w:t>elastic net</w:t>
      </w:r>
      <w:r>
        <w:t xml:space="preserve"> (α tuned over 0.1–0.9). Every cross-validation call used the shared folds and was tuned to maximise CV AUC.</w:t>
      </w:r>
    </w:p>
    <w:p>
      <w:r>
        <w:rPr>
          <w:b/>
        </w:rPr>
        <w:t>3.2 Support Vector Machines (+ variants).</w:t>
      </w:r>
      <w:r>
        <w:t xml:space="preserve"> A support vector machine is </w:t>
      </w:r>
      <w:r>
        <w:rPr>
          <w:b/>
        </w:rPr>
        <w:t>never truly "unregularised"</w:t>
      </w:r>
      <w:r>
        <w:t>: the (½)‖w‖² term in the soft-margin objective is an intrinsic L2 penalty, and the cost parameter C controls the amount of regularisation (large C → narrow/"hard" margin → minimal regularisation). We therefore map the four required variants onto SVMs as follows, and state explicitly where a variant is an approximation:</w:t>
      </w:r>
    </w:p>
    <w:p>
      <w:pPr>
        <w:pStyle w:val="ListBullet"/>
      </w:pPr>
      <w:r>
        <w:rPr>
          <w:b/>
        </w:rPr>
        <w:t>"Unregularised" analogue</w:t>
      </w:r>
      <w:r>
        <w:t xml:space="preserve"> — a linear-kernel SVM with a large cost. We use </w:t>
      </w:r>
      <w:r>
        <w:rPr>
          <w:b/>
        </w:rPr>
        <w:t>C = 10</w:t>
      </w:r>
      <w:r>
        <w:t>. Empirically, the decision boundary (support-vector count) is already essentially constant for C ≥ 5, so C = 10 sits firmly in the weak-regularisation/near-hard-margin regime; larger values (e.g. 10³) merely increase training time and cause non-convergence without changing the model. This is the closest *valid* analogue to an (ill-defined) unregularised SVM.</w:t>
      </w:r>
    </w:p>
    <w:p>
      <w:pPr>
        <w:pStyle w:val="ListBullet"/>
      </w:pPr>
      <w:r>
        <w:rPr>
          <w:b/>
        </w:rPr>
        <w:t>L2 (standard SVM)</w:t>
      </w:r>
      <w:r>
        <w:t xml:space="preserve"> — the ordinary soft-margin SVM. We fit both an </w:t>
      </w:r>
      <w:r>
        <w:rPr>
          <w:b/>
        </w:rPr>
        <w:t>RBF kernel</w:t>
      </w:r>
      <w:r>
        <w:t xml:space="preserve"> (nonlinear boundary; cost and γ tuned by cross-validation) and a </w:t>
      </w:r>
      <w:r>
        <w:rPr>
          <w:b/>
        </w:rPr>
        <w:t>linear kernel</w:t>
      </w:r>
      <w:r>
        <w:t xml:space="preserve"> (as an apples-to-apples baseline against the sparse models). Class weights counter the imbalance.</w:t>
      </w:r>
    </w:p>
    <w:p>
      <w:pPr>
        <w:pStyle w:val="ListBullet"/>
      </w:pPr>
      <w:r>
        <w:rPr>
          <w:b/>
        </w:rPr>
        <w:t>L1 (lasso SVM)</w:t>
      </w:r>
      <w:r>
        <w:t xml:space="preserve"> — sparseSVM with α = 1: an L1 penalty on the weights that drives some to exactly zero (feature selection). The target is already binary, so no conversion is needed (Section 2.1).</w:t>
      </w:r>
    </w:p>
    <w:p>
      <w:pPr>
        <w:pStyle w:val="ListBullet"/>
      </w:pPr>
      <w:r>
        <w:rPr>
          <w:b/>
        </w:rPr>
        <w:t>Elastic-net SVM</w:t>
      </w:r>
      <w:r>
        <w:t xml:space="preserve"> — sparseSVM with α tuned in {0.25, 0.5, 0.75}.</w:t>
      </w:r>
    </w:p>
    <w:p>
      <w:r>
        <w:rPr>
          <w:b/>
        </w:rPr>
        <w:t>3.3 Multilayer Perceptron (+ variants).</w:t>
      </w:r>
      <w:r>
        <w:t xml:space="preserve"> The MLP was designed so that all four penalty variants come from </w:t>
      </w:r>
      <w:r>
        <w:rPr>
          <w:b/>
        </w:rPr>
        <w:t>one engine</w:t>
      </w:r>
      <w:r>
        <w:t xml:space="preserve">, h2o.deeplearning, which exposes both `l1` and `l2` arguments on the same network — giving unregularised (l1 = l2 = 0), L2, L1, and elastic-net (l1 &gt; 0 and l2 &gt; 0) models that differ *only* in the penalty. Standard R MLP tooling (nnet, neuralnet) centres on </w:t>
      </w:r>
      <w:r>
        <w:rPr>
          <w:b/>
        </w:rPr>
        <w:t>L2 weight decay only</w:t>
      </w:r>
      <w:r>
        <w:t xml:space="preserve"> and has no L1 penalty, which is precisely why a specialised engine is needed for the L1/elastic-net variants. Inputs were already standardised (Section 2), so h2o's internal standardisation was disabled to avoid double-scaling; class balancing was enabled to counter the imbalance; the architecture was a fixed two-hidden-layer design.</w:t>
      </w:r>
    </w:p>
    <w:p>
      <w:r>
        <w:rPr>
          <w:b/>
        </w:rPr>
        <w:t>Reproducibility note on the MLP.</w:t>
      </w:r>
      <w:r>
        <w:t xml:space="preserve"> h2o runs on a Java Virtual Machine. On a machine without a working Java runtime, h2o cannot start. Our script keeps a </w:t>
      </w:r>
      <w:r>
        <w:rPr>
          <w:b/>
        </w:rPr>
        <w:t>fallback path</w:t>
      </w:r>
      <w:r>
        <w:t xml:space="preserve"> using nnet, which can fit the unregularised and L2 (weight-decay) MLP variants but not L1/elastic-net. On the machine used to produce the results below, the fallback path was taken; the two MLP variants reported are therefore the nnet unregularised and L2 models. On a Java-enabled machine the same script produces all four variants via h2o. [IF YOU RE-RUN ON A JAVA MACHINE, UPDATE THE MLP ROWS AND THIS NOTE ACCORDINGLY.]</w:t>
      </w:r>
    </w:p>
    <w:p>
      <w:r>
        <w:rPr>
          <w:b/>
        </w:rPr>
        <w:t>Evaluation protocol.</w:t>
      </w:r>
      <w:r>
        <w:t xml:space="preserve"> Every model is evaluated on the </w:t>
      </w:r>
      <w:r>
        <w:rPr>
          <w:b/>
        </w:rPr>
        <w:t>same held-out test set</w:t>
      </w:r>
      <w:r>
        <w:t xml:space="preserve"> (8,999 rows) at a 0.5 probability threshold, and scored with an identical metric set: accuracy, ROC-AUC, recall, specificity, precision, F1, balanced accuracy, and the number of features used.</w:t>
      </w:r>
    </w:p>
    <w:p>
      <w:pPr>
        <w:pStyle w:val="Heading1"/>
      </w:pPr>
      <w:r>
        <w:t>4. Results</w:t>
      </w:r>
    </w:p>
    <w:p>
      <w:pPr>
        <w:pStyle w:val="Heading2"/>
      </w:pPr>
      <w:r>
        <w:t>4.1 ISLR Q15(b): which predictors reject H₀: βⱼ = 0?</w:t>
      </w:r>
    </w:p>
    <w:p>
      <w:r>
        <w:t xml:space="preserve">Fitting the multiple regression on all predictors (the linear probability model) and testing each coefficient, we </w:t>
      </w:r>
      <w:r>
        <w:rPr>
          <w:b/>
        </w:rPr>
        <w:t>reject H₀ at α = 0.05</w:t>
      </w:r>
      <w:r>
        <w:t xml:space="preserve"> for the following predictors:</w:t>
      </w:r>
    </w:p>
    <w:p>
      <w:pPr>
        <w:ind w:left="480"/>
      </w:pPr>
      <w:r>
        <w:rPr>
          <w:i/>
        </w:rPr>
        <w:t>LIMIT_BAL, SEX (level 2), EDUCATION (levels 2 and 4), MARRIAGE (level 2), AGE,</w:t>
      </w:r>
    </w:p>
    <w:p>
      <w:pPr>
        <w:ind w:left="480"/>
      </w:pPr>
      <w:r>
        <w:rPr>
          <w:i/>
        </w:rPr>
        <w:t>PAY_0, PAY_2, PAY_3, PAY_5, BILL_AMT1, PAY_AMT1.</w:t>
      </w:r>
    </w:p>
    <w:p>
      <w:r>
        <w:t xml:space="preserve">The logistic regression (using Wald z-tests, the appropriate test for a binary response) yields an almost identical significant set at α = 0.05, adding PAY_AMT2 and dropping PAY_5. In </w:t>
      </w:r>
      <w:r>
        <w:rPr>
          <w:b/>
        </w:rPr>
        <w:t>both</w:t>
      </w:r>
      <w:r>
        <w:t xml:space="preserve"> models the dominant predictor is </w:t>
      </w:r>
      <w:r>
        <w:rPr>
          <w:b/>
        </w:rPr>
        <w:t>PAY_0</w:t>
      </w:r>
      <w:r>
        <w:t xml:space="preserve">, the most recent repayment status, whose logistic coefficient is positive with an </w:t>
      </w:r>
      <w:r>
        <w:rPr>
          <w:b/>
        </w:rPr>
        <w:t>odds ratio of 1.80</w:t>
      </w:r>
      <w:r>
        <w:t xml:space="preserve"> — each additional month of delay multiplies the odds of default by roughly 1.8 — and a p-value of order </w:t>
      </w:r>
      <w:r>
        <w:rPr>
          <w:b/>
        </w:rPr>
        <w:t>10⁻¹⁶⁹</w:t>
      </w:r>
      <w:r>
        <w:t>. This directly confirms the exploratory finding that repayment status is the primary driver of default.</w:t>
      </w:r>
    </w:p>
    <w:p>
      <w:r>
        <w:t xml:space="preserve">Two caveats justify not stopping at the LPM. First, the LPM produces fitted "probabilities" outside [0, 1] for </w:t>
      </w:r>
      <w:r>
        <w:rPr>
          <w:b/>
        </w:rPr>
        <w:t>1,569 clients (7.5%)</w:t>
      </w:r>
      <w:r>
        <w:t xml:space="preserve"> of the training set, which are nonsensical. Second, its errors are inherently heteroskedastic, so its t-tests are not strictly valid. Logistic regression resolves both issues, which is why it — not the LPM — is our baseline going forward.</w:t>
      </w:r>
    </w:p>
    <w:p>
      <w:pPr>
        <w:pStyle w:val="Heading2"/>
      </w:pPr>
      <w:r>
        <w:t>4.2 Multicollinearity confirmed</w:t>
      </w:r>
    </w:p>
    <w:p>
      <w:r>
        <w:t xml:space="preserve">Variance Inflation Factors on the logistic model confirm the collinearity flagged in Section 2: all six BILL_AMT variables have </w:t>
      </w:r>
      <w:r>
        <w:rPr>
          <w:b/>
        </w:rPr>
        <w:t>VIF &gt; 17</w:t>
      </w:r>
      <w:r>
        <w:t xml:space="preserve"> (BILL_AMT2 ≈ 43), while every other predictor sits below 5. This instability of the unregularised coefficients is exactly the condition the penalised models are designed to address, and it is visible in the coefficients: under lasso, five of the six BILL_AMT variables are driven to zero and only BILL_AMT1 is retained, whereas the unregularised logistic model assigns them large, sign-flipping coefficients.</w:t>
      </w:r>
    </w:p>
    <w:p>
      <w:pPr>
        <w:pStyle w:val="Heading2"/>
      </w:pPr>
      <w:r>
        <w:t>4.3 The leaderboard</w:t>
      </w:r>
    </w:p>
    <w:p>
      <w:r>
        <w:t>Table 1 (Figure 13b) and Figure 13 present the full leaderboard, sorted by test AUC. The headline numbers are: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Method</w:t>
            </w:r>
          </w:p>
        </w:tc>
        <w:tc>
          <w:tcPr>
            <w:tcW w:type="dxa" w:w="1080"/>
          </w:tcPr>
          <w:p>
            <w:r>
              <w:rPr>
                <w:b/>
              </w:rPr>
            </w:r>
            <w:r>
              <w:rPr>
                <w:b/>
              </w:rPr>
              <w:t>Family</w:t>
            </w:r>
          </w:p>
        </w:tc>
        <w:tc>
          <w:tcPr>
            <w:tcW w:type="dxa" w:w="1080"/>
          </w:tcPr>
          <w:p>
            <w:r>
              <w:rPr>
                <w:b/>
              </w:rPr>
            </w:r>
            <w:r>
              <w:rPr>
                <w:b/>
              </w:rPr>
              <w:t>AUC</w:t>
            </w:r>
          </w:p>
        </w:tc>
        <w:tc>
          <w:tcPr>
            <w:tcW w:type="dxa" w:w="1080"/>
          </w:tcPr>
          <w:p>
            <w:r>
              <w:rPr>
                <w:b/>
              </w:rPr>
            </w:r>
            <w:r>
              <w:rPr>
                <w:b/>
              </w:rPr>
              <w:t>F1</w:t>
            </w:r>
          </w:p>
        </w:tc>
        <w:tc>
          <w:tcPr>
            <w:tcW w:type="dxa" w:w="1080"/>
          </w:tcPr>
          <w:p>
            <w:r>
              <w:rPr>
                <w:b/>
              </w:rPr>
            </w:r>
            <w:r>
              <w:rPr>
                <w:b/>
              </w:rPr>
              <w:t>Recall</w:t>
            </w:r>
          </w:p>
        </w:tc>
        <w:tc>
          <w:tcPr>
            <w:tcW w:type="dxa" w:w="1080"/>
          </w:tcPr>
          <w:p>
            <w:r>
              <w:rPr>
                <w:b/>
              </w:rPr>
            </w:r>
            <w:r>
              <w:rPr>
                <w:b/>
              </w:rPr>
              <w:t>Precision</w:t>
            </w:r>
          </w:p>
        </w:tc>
        <w:tc>
          <w:tcPr>
            <w:tcW w:type="dxa" w:w="1080"/>
          </w:tcPr>
          <w:p>
            <w:r>
              <w:rPr>
                <w:b/>
              </w:rPr>
            </w:r>
            <w:r>
              <w:rPr>
                <w:b/>
              </w:rPr>
              <w:t>Accuracy</w:t>
            </w:r>
          </w:p>
        </w:tc>
        <w:tc>
          <w:tcPr>
            <w:tcW w:type="dxa" w:w="1080"/>
          </w:tcPr>
          <w:p>
            <w:r>
              <w:rPr>
                <w:b/>
              </w:rPr>
            </w:r>
            <w:r>
              <w:rPr>
                <w:b/>
              </w:rPr>
              <w:t>Features</w:t>
            </w:r>
          </w:p>
        </w:tc>
      </w:tr>
      <w:tr>
        <w:tc>
          <w:tcPr>
            <w:tcW w:type="dxa" w:w="1080"/>
          </w:tcPr>
          <w:p>
            <w:r/>
            <w:r>
              <w:t>mlp_l2</w:t>
            </w:r>
          </w:p>
        </w:tc>
        <w:tc>
          <w:tcPr>
            <w:tcW w:type="dxa" w:w="1080"/>
          </w:tcPr>
          <w:p>
            <w:r/>
            <w:r>
              <w:t>MLP</w:t>
            </w:r>
          </w:p>
        </w:tc>
        <w:tc>
          <w:tcPr>
            <w:tcW w:type="dxa" w:w="1080"/>
          </w:tcPr>
          <w:p>
            <w:r/>
            <w:r>
              <w:rPr>
                <w:b/>
              </w:rPr>
              <w:t>0.773</w:t>
            </w:r>
          </w:p>
        </w:tc>
        <w:tc>
          <w:tcPr>
            <w:tcW w:type="dxa" w:w="1080"/>
          </w:tcPr>
          <w:p>
            <w:r/>
            <w:r>
              <w:t>0.522</w:t>
            </w:r>
          </w:p>
        </w:tc>
        <w:tc>
          <w:tcPr>
            <w:tcW w:type="dxa" w:w="1080"/>
          </w:tcPr>
          <w:p>
            <w:r/>
            <w:r>
              <w:t>0.637</w:t>
            </w:r>
          </w:p>
        </w:tc>
        <w:tc>
          <w:tcPr>
            <w:tcW w:type="dxa" w:w="1080"/>
          </w:tcPr>
          <w:p>
            <w:r/>
            <w:r>
              <w:t>0.442</w:t>
            </w:r>
          </w:p>
        </w:tc>
        <w:tc>
          <w:tcPr>
            <w:tcW w:type="dxa" w:w="1080"/>
          </w:tcPr>
          <w:p>
            <w:r/>
            <w:r>
              <w:t>0.742</w:t>
            </w:r>
          </w:p>
        </w:tc>
        <w:tc>
          <w:tcPr>
            <w:tcW w:type="dxa" w:w="1080"/>
          </w:tcPr>
          <w:p>
            <w:r/>
            <w:r>
              <w:t>23</w:t>
            </w:r>
          </w:p>
        </w:tc>
      </w:tr>
      <w:tr>
        <w:tc>
          <w:tcPr>
            <w:tcW w:type="dxa" w:w="1080"/>
          </w:tcPr>
          <w:p>
            <w:r/>
            <w:r>
              <w:t>mlp_unreg</w:t>
            </w:r>
          </w:p>
        </w:tc>
        <w:tc>
          <w:tcPr>
            <w:tcW w:type="dxa" w:w="1080"/>
          </w:tcPr>
          <w:p>
            <w:r/>
            <w:r>
              <w:t>MLP</w:t>
            </w:r>
          </w:p>
        </w:tc>
        <w:tc>
          <w:tcPr>
            <w:tcW w:type="dxa" w:w="1080"/>
          </w:tcPr>
          <w:p>
            <w:r/>
            <w:r>
              <w:t>0.756</w:t>
            </w:r>
          </w:p>
        </w:tc>
        <w:tc>
          <w:tcPr>
            <w:tcW w:type="dxa" w:w="1080"/>
          </w:tcPr>
          <w:p>
            <w:r/>
            <w:r>
              <w:t>0.500</w:t>
            </w:r>
          </w:p>
        </w:tc>
        <w:tc>
          <w:tcPr>
            <w:tcW w:type="dxa" w:w="1080"/>
          </w:tcPr>
          <w:p>
            <w:r/>
            <w:r>
              <w:t>0.643</w:t>
            </w:r>
          </w:p>
        </w:tc>
        <w:tc>
          <w:tcPr>
            <w:tcW w:type="dxa" w:w="1080"/>
          </w:tcPr>
          <w:p>
            <w:r/>
            <w:r>
              <w:t>0.409</w:t>
            </w:r>
          </w:p>
        </w:tc>
        <w:tc>
          <w:tcPr>
            <w:tcW w:type="dxa" w:w="1080"/>
          </w:tcPr>
          <w:p>
            <w:r/>
            <w:r>
              <w:t>0.716</w:t>
            </w:r>
          </w:p>
        </w:tc>
        <w:tc>
          <w:tcPr>
            <w:tcW w:type="dxa" w:w="1080"/>
          </w:tcPr>
          <w:p>
            <w:r/>
            <w:r>
              <w:t>23</w:t>
            </w:r>
          </w:p>
        </w:tc>
      </w:tr>
      <w:tr>
        <w:tc>
          <w:tcPr>
            <w:tcW w:type="dxa" w:w="1080"/>
          </w:tcPr>
          <w:p>
            <w:r/>
            <w:r>
              <w:t>svm_l2_rbf</w:t>
            </w:r>
          </w:p>
        </w:tc>
        <w:tc>
          <w:tcPr>
            <w:tcW w:type="dxa" w:w="1080"/>
          </w:tcPr>
          <w:p>
            <w:r/>
            <w:r>
              <w:t>SVM</w:t>
            </w:r>
          </w:p>
        </w:tc>
        <w:tc>
          <w:tcPr>
            <w:tcW w:type="dxa" w:w="1080"/>
          </w:tcPr>
          <w:p>
            <w:r/>
            <w:r>
              <w:t>0.746</w:t>
            </w:r>
          </w:p>
        </w:tc>
        <w:tc>
          <w:tcPr>
            <w:tcW w:type="dxa" w:w="1080"/>
          </w:tcPr>
          <w:p>
            <w:r/>
            <w:r>
              <w:t>0.462</w:t>
            </w:r>
          </w:p>
        </w:tc>
        <w:tc>
          <w:tcPr>
            <w:tcW w:type="dxa" w:w="1080"/>
          </w:tcPr>
          <w:p>
            <w:r/>
            <w:r>
              <w:t>0.392</w:t>
            </w:r>
          </w:p>
        </w:tc>
        <w:tc>
          <w:tcPr>
            <w:tcW w:type="dxa" w:w="1080"/>
          </w:tcPr>
          <w:p>
            <w:r/>
            <w:r>
              <w:t>0.564</w:t>
            </w:r>
          </w:p>
        </w:tc>
        <w:tc>
          <w:tcPr>
            <w:tcW w:type="dxa" w:w="1080"/>
          </w:tcPr>
          <w:p>
            <w:r/>
            <w:r>
              <w:t>0.799</w:t>
            </w:r>
          </w:p>
        </w:tc>
        <w:tc>
          <w:tcPr>
            <w:tcW w:type="dxa" w:w="1080"/>
          </w:tcPr>
          <w:p>
            <w:r/>
            <w:r>
              <w:t>27</w:t>
            </w:r>
          </w:p>
        </w:tc>
      </w:tr>
      <w:tr>
        <w:tc>
          <w:tcPr>
            <w:tcW w:type="dxa" w:w="1080"/>
          </w:tcPr>
          <w:p>
            <w:r/>
            <w:r>
              <w:t>logistic_unreg</w:t>
            </w:r>
          </w:p>
        </w:tc>
        <w:tc>
          <w:tcPr>
            <w:tcW w:type="dxa" w:w="1080"/>
          </w:tcPr>
          <w:p>
            <w:r/>
            <w:r>
              <w:t>Logistic</w:t>
            </w:r>
          </w:p>
        </w:tc>
        <w:tc>
          <w:tcPr>
            <w:tcW w:type="dxa" w:w="1080"/>
          </w:tcPr>
          <w:p>
            <w:r/>
            <w:r>
              <w:t>0.723</w:t>
            </w:r>
          </w:p>
        </w:tc>
        <w:tc>
          <w:tcPr>
            <w:tcW w:type="dxa" w:w="1080"/>
          </w:tcPr>
          <w:p>
            <w:r/>
            <w:r>
              <w:t>0.344</w:t>
            </w:r>
          </w:p>
        </w:tc>
        <w:tc>
          <w:tcPr>
            <w:tcW w:type="dxa" w:w="1080"/>
          </w:tcPr>
          <w:p>
            <w:r/>
            <w:r>
              <w:t>0.229</w:t>
            </w:r>
          </w:p>
        </w:tc>
        <w:tc>
          <w:tcPr>
            <w:tcW w:type="dxa" w:w="1080"/>
          </w:tcPr>
          <w:p>
            <w:r/>
            <w:r>
              <w:t>0.690</w:t>
            </w:r>
          </w:p>
        </w:tc>
        <w:tc>
          <w:tcPr>
            <w:tcW w:type="dxa" w:w="1080"/>
          </w:tcPr>
          <w:p>
            <w:r/>
            <w:r>
              <w:t>0.807</w:t>
            </w:r>
          </w:p>
        </w:tc>
        <w:tc>
          <w:tcPr>
            <w:tcW w:type="dxa" w:w="1080"/>
          </w:tcPr>
          <w:p>
            <w:r/>
            <w:r>
              <w:t>26</w:t>
            </w:r>
          </w:p>
        </w:tc>
      </w:tr>
      <w:tr>
        <w:tc>
          <w:tcPr>
            <w:tcW w:type="dxa" w:w="1080"/>
          </w:tcPr>
          <w:p>
            <w:r/>
            <w:r>
              <w:t>enet</w:t>
            </w:r>
          </w:p>
        </w:tc>
        <w:tc>
          <w:tcPr>
            <w:tcW w:type="dxa" w:w="1080"/>
          </w:tcPr>
          <w:p>
            <w:r/>
            <w:r>
              <w:t>Penalised linear</w:t>
            </w:r>
          </w:p>
        </w:tc>
        <w:tc>
          <w:tcPr>
            <w:tcW w:type="dxa" w:w="1080"/>
          </w:tcPr>
          <w:p>
            <w:r/>
            <w:r>
              <w:t>0.722</w:t>
            </w:r>
          </w:p>
        </w:tc>
        <w:tc>
          <w:tcPr>
            <w:tcW w:type="dxa" w:w="1080"/>
          </w:tcPr>
          <w:p>
            <w:r/>
            <w:r>
              <w:t>0.345</w:t>
            </w:r>
          </w:p>
        </w:tc>
        <w:tc>
          <w:tcPr>
            <w:tcW w:type="dxa" w:w="1080"/>
          </w:tcPr>
          <w:p>
            <w:r/>
            <w:r>
              <w:t>0.229</w:t>
            </w:r>
          </w:p>
        </w:tc>
        <w:tc>
          <w:tcPr>
            <w:tcW w:type="dxa" w:w="1080"/>
          </w:tcPr>
          <w:p>
            <w:r/>
            <w:r>
              <w:t>0.696</w:t>
            </w:r>
          </w:p>
        </w:tc>
        <w:tc>
          <w:tcPr>
            <w:tcW w:type="dxa" w:w="1080"/>
          </w:tcPr>
          <w:p>
            <w:r/>
            <w:r>
              <w:t>0.807</w:t>
            </w:r>
          </w:p>
        </w:tc>
        <w:tc>
          <w:tcPr>
            <w:tcW w:type="dxa" w:w="1080"/>
          </w:tcPr>
          <w:p>
            <w:r/>
            <w:r>
              <w:t>26</w:t>
            </w:r>
          </w:p>
        </w:tc>
      </w:tr>
      <w:tr>
        <w:tc>
          <w:tcPr>
            <w:tcW w:type="dxa" w:w="1080"/>
          </w:tcPr>
          <w:p>
            <w:r/>
            <w:r>
              <w:t>lasso_l1</w:t>
            </w:r>
          </w:p>
        </w:tc>
        <w:tc>
          <w:tcPr>
            <w:tcW w:type="dxa" w:w="1080"/>
          </w:tcPr>
          <w:p>
            <w:r/>
            <w:r>
              <w:t>Penalised linear</w:t>
            </w:r>
          </w:p>
        </w:tc>
        <w:tc>
          <w:tcPr>
            <w:tcW w:type="dxa" w:w="1080"/>
          </w:tcPr>
          <w:p>
            <w:r/>
            <w:r>
              <w:t>0.722</w:t>
            </w:r>
          </w:p>
        </w:tc>
        <w:tc>
          <w:tcPr>
            <w:tcW w:type="dxa" w:w="1080"/>
          </w:tcPr>
          <w:p>
            <w:r/>
            <w:r>
              <w:t>0.344</w:t>
            </w:r>
          </w:p>
        </w:tc>
        <w:tc>
          <w:tcPr>
            <w:tcW w:type="dxa" w:w="1080"/>
          </w:tcPr>
          <w:p>
            <w:r/>
            <w:r>
              <w:t>0.228</w:t>
            </w:r>
          </w:p>
        </w:tc>
        <w:tc>
          <w:tcPr>
            <w:tcW w:type="dxa" w:w="1080"/>
          </w:tcPr>
          <w:p>
            <w:r/>
            <w:r>
              <w:t>0.695</w:t>
            </w:r>
          </w:p>
        </w:tc>
        <w:tc>
          <w:tcPr>
            <w:tcW w:type="dxa" w:w="1080"/>
          </w:tcPr>
          <w:p>
            <w:r/>
            <w:r>
              <w:t>0.807</w:t>
            </w:r>
          </w:p>
        </w:tc>
        <w:tc>
          <w:tcPr>
            <w:tcW w:type="dxa" w:w="1080"/>
          </w:tcPr>
          <w:p>
            <w:r/>
            <w:r>
              <w:t>25</w:t>
            </w:r>
          </w:p>
        </w:tc>
      </w:tr>
      <w:tr>
        <w:tc>
          <w:tcPr>
            <w:tcW w:type="dxa" w:w="1080"/>
          </w:tcPr>
          <w:p>
            <w:r/>
            <w:r>
              <w:t>ridge_l2</w:t>
            </w:r>
          </w:p>
        </w:tc>
        <w:tc>
          <w:tcPr>
            <w:tcW w:type="dxa" w:w="1080"/>
          </w:tcPr>
          <w:p>
            <w:r/>
            <w:r>
              <w:t>Penalised linear</w:t>
            </w:r>
          </w:p>
        </w:tc>
        <w:tc>
          <w:tcPr>
            <w:tcW w:type="dxa" w:w="1080"/>
          </w:tcPr>
          <w:p>
            <w:r/>
            <w:r>
              <w:t>0.722</w:t>
            </w:r>
          </w:p>
        </w:tc>
        <w:tc>
          <w:tcPr>
            <w:tcW w:type="dxa" w:w="1080"/>
          </w:tcPr>
          <w:p>
            <w:r/>
            <w:r>
              <w:t>0.314</w:t>
            </w:r>
          </w:p>
        </w:tc>
        <w:tc>
          <w:tcPr>
            <w:tcW w:type="dxa" w:w="1080"/>
          </w:tcPr>
          <w:p>
            <w:r/>
            <w:r>
              <w:t>0.202</w:t>
            </w:r>
          </w:p>
        </w:tc>
        <w:tc>
          <w:tcPr>
            <w:tcW w:type="dxa" w:w="1080"/>
          </w:tcPr>
          <w:p>
            <w:r/>
            <w:r>
              <w:t>0.708</w:t>
            </w:r>
          </w:p>
        </w:tc>
        <w:tc>
          <w:tcPr>
            <w:tcW w:type="dxa" w:w="1080"/>
          </w:tcPr>
          <w:p>
            <w:r/>
            <w:r>
              <w:t>0.805</w:t>
            </w:r>
          </w:p>
        </w:tc>
        <w:tc>
          <w:tcPr>
            <w:tcW w:type="dxa" w:w="1080"/>
          </w:tcPr>
          <w:p>
            <w:r/>
            <w:r>
              <w:t>27</w:t>
            </w:r>
          </w:p>
        </w:tc>
      </w:tr>
      <w:tr>
        <w:tc>
          <w:tcPr>
            <w:tcW w:type="dxa" w:w="1080"/>
          </w:tcPr>
          <w:p>
            <w:r/>
            <w:r>
              <w:t>svm_unreg_hardmargin</w:t>
            </w:r>
          </w:p>
        </w:tc>
        <w:tc>
          <w:tcPr>
            <w:tcW w:type="dxa" w:w="1080"/>
          </w:tcPr>
          <w:p>
            <w:r/>
            <w:r>
              <w:t>SVM</w:t>
            </w:r>
          </w:p>
        </w:tc>
        <w:tc>
          <w:tcPr>
            <w:tcW w:type="dxa" w:w="1080"/>
          </w:tcPr>
          <w:p>
            <w:r/>
            <w:r>
              <w:t>0.720</w:t>
            </w:r>
          </w:p>
        </w:tc>
        <w:tc>
          <w:tcPr>
            <w:tcW w:type="dxa" w:w="1080"/>
          </w:tcPr>
          <w:p>
            <w:r/>
            <w:r>
              <w:t>0.344</w:t>
            </w:r>
          </w:p>
        </w:tc>
        <w:tc>
          <w:tcPr>
            <w:tcW w:type="dxa" w:w="1080"/>
          </w:tcPr>
          <w:p>
            <w:r/>
            <w:r>
              <w:t>0.229</w:t>
            </w:r>
          </w:p>
        </w:tc>
        <w:tc>
          <w:tcPr>
            <w:tcW w:type="dxa" w:w="1080"/>
          </w:tcPr>
          <w:p>
            <w:r/>
            <w:r>
              <w:t>0.693</w:t>
            </w:r>
          </w:p>
        </w:tc>
        <w:tc>
          <w:tcPr>
            <w:tcW w:type="dxa" w:w="1080"/>
          </w:tcPr>
          <w:p>
            <w:r/>
            <w:r>
              <w:t>0.807</w:t>
            </w:r>
          </w:p>
        </w:tc>
        <w:tc>
          <w:tcPr>
            <w:tcW w:type="dxa" w:w="1080"/>
          </w:tcPr>
          <w:p>
            <w:r/>
            <w:r>
              <w:t>27</w:t>
            </w:r>
          </w:p>
        </w:tc>
      </w:tr>
      <w:tr>
        <w:tc>
          <w:tcPr>
            <w:tcW w:type="dxa" w:w="1080"/>
          </w:tcPr>
          <w:p>
            <w:r/>
            <w:r>
              <w:t>svm_l2_linear</w:t>
            </w:r>
          </w:p>
        </w:tc>
        <w:tc>
          <w:tcPr>
            <w:tcW w:type="dxa" w:w="1080"/>
          </w:tcPr>
          <w:p>
            <w:r/>
            <w:r>
              <w:t>SVM</w:t>
            </w:r>
          </w:p>
        </w:tc>
        <w:tc>
          <w:tcPr>
            <w:tcW w:type="dxa" w:w="1080"/>
          </w:tcPr>
          <w:p>
            <w:r/>
            <w:r>
              <w:t>0.720</w:t>
            </w:r>
          </w:p>
        </w:tc>
        <w:tc>
          <w:tcPr>
            <w:tcW w:type="dxa" w:w="1080"/>
          </w:tcPr>
          <w:p>
            <w:r/>
            <w:r>
              <w:t>0.347</w:t>
            </w:r>
          </w:p>
        </w:tc>
        <w:tc>
          <w:tcPr>
            <w:tcW w:type="dxa" w:w="1080"/>
          </w:tcPr>
          <w:p>
            <w:r/>
            <w:r>
              <w:t>0.232</w:t>
            </w:r>
          </w:p>
        </w:tc>
        <w:tc>
          <w:tcPr>
            <w:tcW w:type="dxa" w:w="1080"/>
          </w:tcPr>
          <w:p>
            <w:r/>
            <w:r>
              <w:t>0.693</w:t>
            </w:r>
          </w:p>
        </w:tc>
        <w:tc>
          <w:tcPr>
            <w:tcW w:type="dxa" w:w="1080"/>
          </w:tcPr>
          <w:p>
            <w:r/>
            <w:r>
              <w:t>0.807</w:t>
            </w:r>
          </w:p>
        </w:tc>
        <w:tc>
          <w:tcPr>
            <w:tcW w:type="dxa" w:w="1080"/>
          </w:tcPr>
          <w:p>
            <w:r/>
            <w:r>
              <w:t>27</w:t>
            </w:r>
          </w:p>
        </w:tc>
      </w:tr>
      <w:tr>
        <w:tc>
          <w:tcPr>
            <w:tcW w:type="dxa" w:w="1080"/>
          </w:tcPr>
          <w:p>
            <w:r/>
            <w:r>
              <w:t>svm_l1</w:t>
            </w:r>
          </w:p>
        </w:tc>
        <w:tc>
          <w:tcPr>
            <w:tcW w:type="dxa" w:w="1080"/>
          </w:tcPr>
          <w:p>
            <w:r/>
            <w:r>
              <w:t>SVM</w:t>
            </w:r>
          </w:p>
        </w:tc>
        <w:tc>
          <w:tcPr>
            <w:tcW w:type="dxa" w:w="1080"/>
          </w:tcPr>
          <w:p>
            <w:r/>
            <w:r>
              <w:t>0.718</w:t>
            </w:r>
          </w:p>
        </w:tc>
        <w:tc>
          <w:tcPr>
            <w:tcW w:type="dxa" w:w="1080"/>
          </w:tcPr>
          <w:p>
            <w:r/>
            <w:r>
              <w:t>0.271</w:t>
            </w:r>
          </w:p>
        </w:tc>
        <w:tc>
          <w:tcPr>
            <w:tcW w:type="dxa" w:w="1080"/>
          </w:tcPr>
          <w:p>
            <w:r/>
            <w:r>
              <w:t>0.169</w:t>
            </w:r>
          </w:p>
        </w:tc>
        <w:tc>
          <w:tcPr>
            <w:tcW w:type="dxa" w:w="1080"/>
          </w:tcPr>
          <w:p>
            <w:r/>
            <w:r>
              <w:t>0.690</w:t>
            </w:r>
          </w:p>
        </w:tc>
        <w:tc>
          <w:tcPr>
            <w:tcW w:type="dxa" w:w="1080"/>
          </w:tcPr>
          <w:p>
            <w:r/>
            <w:r>
              <w:t>0.799</w:t>
            </w:r>
          </w:p>
        </w:tc>
        <w:tc>
          <w:tcPr>
            <w:tcW w:type="dxa" w:w="1080"/>
          </w:tcPr>
          <w:p>
            <w:r/>
            <w:r>
              <w:t>25</w:t>
            </w:r>
          </w:p>
        </w:tc>
      </w:tr>
      <w:tr>
        <w:tc>
          <w:tcPr>
            <w:tcW w:type="dxa" w:w="1080"/>
          </w:tcPr>
          <w:p>
            <w:r/>
            <w:r>
              <w:t>svm_enet</w:t>
            </w:r>
          </w:p>
        </w:tc>
        <w:tc>
          <w:tcPr>
            <w:tcW w:type="dxa" w:w="1080"/>
          </w:tcPr>
          <w:p>
            <w:r/>
            <w:r>
              <w:t>SVM</w:t>
            </w:r>
          </w:p>
        </w:tc>
        <w:tc>
          <w:tcPr>
            <w:tcW w:type="dxa" w:w="1080"/>
          </w:tcPr>
          <w:p>
            <w:r/>
            <w:r>
              <w:t>0.718</w:t>
            </w:r>
          </w:p>
        </w:tc>
        <w:tc>
          <w:tcPr>
            <w:tcW w:type="dxa" w:w="1080"/>
          </w:tcPr>
          <w:p>
            <w:r/>
            <w:r>
              <w:t>0.269</w:t>
            </w:r>
          </w:p>
        </w:tc>
        <w:tc>
          <w:tcPr>
            <w:tcW w:type="dxa" w:w="1080"/>
          </w:tcPr>
          <w:p>
            <w:r/>
            <w:r>
              <w:t>0.167</w:t>
            </w:r>
          </w:p>
        </w:tc>
        <w:tc>
          <w:tcPr>
            <w:tcW w:type="dxa" w:w="1080"/>
          </w:tcPr>
          <w:p>
            <w:r/>
            <w:r>
              <w:t>0.692</w:t>
            </w:r>
          </w:p>
        </w:tc>
        <w:tc>
          <w:tcPr>
            <w:tcW w:type="dxa" w:w="1080"/>
          </w:tcPr>
          <w:p>
            <w:r/>
            <w:r>
              <w:t>0.799</w:t>
            </w:r>
          </w:p>
        </w:tc>
        <w:tc>
          <w:tcPr>
            <w:tcW w:type="dxa" w:w="1080"/>
          </w:tcPr>
          <w:p>
            <w:r/>
            <w:r>
              <w:t>26</w:t>
            </w:r>
          </w:p>
        </w:tc>
      </w:tr>
    </w:tbl>
    <w:p>
      <w:r>
        <w:t>*Table 1. Test-set performance of all models, sorted by AUC. Metrics computed on the common 8,999-row held-out test set at a 0.5 threshold. "Features" = non-zero coefficients (or p for kernel/MLP models). See Figure 13b.*</w:t>
      </w:r>
    </w:p>
    <w:p>
      <w:pPr>
        <w:pStyle w:val="Heading2"/>
      </w:pPr>
      <w:r>
        <w:t>4.4 Accuracy versus AUC/recall under imbalance</w:t>
      </w:r>
    </w:p>
    <w:p>
      <w:r>
        <w:t xml:space="preserve">The leaderboard makes the imbalance lesson concrete. The linear and penalised models achieve the </w:t>
      </w:r>
      <w:r>
        <w:rPr>
          <w:b/>
        </w:rPr>
        <w:t>highest accuracy (~0.807)</w:t>
      </w:r>
      <w:r>
        <w:t xml:space="preserve"> — but this barely exceeds the </w:t>
      </w:r>
      <w:r>
        <w:rPr>
          <w:b/>
        </w:rPr>
        <w:t>trivial 0.779</w:t>
      </w:r>
      <w:r>
        <w:t xml:space="preserve"> baseline, and it is bought by predicting "no default" almost always: their </w:t>
      </w:r>
      <w:r>
        <w:rPr>
          <w:b/>
        </w:rPr>
        <w:t>recall is only ~0.23</w:t>
      </w:r>
      <w:r>
        <w:t xml:space="preserve">, i.e. they miss over three-quarters of actual defaulters. The MLP, by contrast, has </w:t>
      </w:r>
      <w:r>
        <w:rPr>
          <w:b/>
        </w:rPr>
        <w:t>lower accuracy (0.74)</w:t>
      </w:r>
      <w:r>
        <w:t xml:space="preserve"> but </w:t>
      </w:r>
      <w:r>
        <w:rPr>
          <w:b/>
        </w:rPr>
        <w:t>recall of 0.64</w:t>
      </w:r>
      <w:r>
        <w:t xml:space="preserve"> — it catches nearly two-thirds of defaulters. Ranking the models by accuracy would crown the least useful models for the actual business task. Judged on AUC and recall — the metrics that matter under imbalance — the ordering is reversed, and the nonlinear learners come out ahead (Figures 13–14).</w:t>
      </w:r>
    </w:p>
    <w:p>
      <w:r>
        <w:t>Key figures to include: Figure 6 (baseline ROC), Figures 7–10 (glmnet CV curves and lasso path), Figure 11 (SVM AUCs), Figure 12 (MLP AUCs), Figures 13–15 (leaderboard AUC, F1/recall, and interpretability-versus-AUC).</w:t>
      </w:r>
    </w:p>
    <w:p>
      <w:pPr>
        <w:pStyle w:val="Heading1"/>
      </w:pPr>
      <w:r>
        <w:t>5. Discussion</w:t>
      </w:r>
    </w:p>
    <w:p>
      <w:r>
        <w:rPr>
          <w:b/>
        </w:rPr>
        <w:t>Which method won — and on which axis?</w:t>
      </w:r>
      <w:r>
        <w:t xml:space="preserve"> There is no single winner; the answer depends on the objective, which is exactly the point of the comparison.</w:t>
      </w:r>
    </w:p>
    <w:p>
      <w:pPr>
        <w:pStyle w:val="ListBullet"/>
      </w:pPr>
      <w:r>
        <w:rPr>
          <w:b/>
        </w:rPr>
        <w:t>On predictive ranking (AUC) and recall</w:t>
      </w:r>
      <w:r>
        <w:t xml:space="preserve">, the </w:t>
      </w:r>
      <w:r>
        <w:rPr>
          <w:b/>
        </w:rPr>
        <w:t>MLP wins</w:t>
      </w:r>
      <w:r>
        <w:t xml:space="preserve"> (AUC 0.773, recall 0.64), with the </w:t>
      </w:r>
      <w:r>
        <w:rPr>
          <w:b/>
        </w:rPr>
        <w:t>RBF SVM</w:t>
      </w:r>
      <w:r>
        <w:t xml:space="preserve"> second (AUC 0.746, recall 0.39). Both clearly beat the entire linear/penalised family.</w:t>
      </w:r>
    </w:p>
    <w:p>
      <w:pPr>
        <w:pStyle w:val="ListBullet"/>
      </w:pPr>
      <w:r>
        <w:rPr>
          <w:b/>
        </w:rPr>
        <w:t>On accuracy</w:t>
      </w:r>
      <w:r>
        <w:t>, the linear/penalised/linear-SVM models "win" (~0.807) — but, as argued in Section 4.4, this is an artefact of the imbalance and the 0.5 threshold, not evidence of a better model.</w:t>
      </w:r>
    </w:p>
    <w:p>
      <w:pPr>
        <w:pStyle w:val="ListBullet"/>
      </w:pPr>
      <w:r>
        <w:rPr>
          <w:b/>
        </w:rPr>
        <w:t>On interpretability</w:t>
      </w:r>
      <w:r>
        <w:t xml:space="preserve">, the </w:t>
      </w:r>
      <w:r>
        <w:rPr>
          <w:b/>
        </w:rPr>
        <w:t>logistic and lasso models win</w:t>
      </w:r>
      <w:r>
        <w:t>. They deliver transparent, signed coefficients and odds ratios (lasso using only ~25 features), at an AUC cost of about 0.05 relative to the MLP. In a regulated lending context this trade may well be worth making.</w:t>
      </w:r>
    </w:p>
    <w:p>
      <w:pPr>
        <w:pStyle w:val="ListBullet"/>
      </w:pPr>
      <w:r>
        <w:rPr>
          <w:b/>
        </w:rPr>
        <w:t>On efficiency</w:t>
      </w:r>
      <w:r>
        <w:t xml:space="preserve">, the </w:t>
      </w:r>
      <w:r>
        <w:rPr>
          <w:b/>
        </w:rPr>
        <w:t>linear/penalised models win</w:t>
      </w:r>
      <w:r>
        <w:t xml:space="preserve"> decisively. A single logistic fit took </w:t>
      </w:r>
      <w:r>
        <w:rPr>
          <w:b/>
        </w:rPr>
        <w:t>0.14 s</w:t>
      </w:r>
      <w:r>
        <w:t xml:space="preserve"> and a cross-validated lasso </w:t>
      </w:r>
      <w:r>
        <w:rPr>
          <w:b/>
        </w:rPr>
        <w:t>3.5 s</w:t>
      </w:r>
      <w:r>
        <w:t xml:space="preserve">, versus </w:t>
      </w:r>
      <w:r>
        <w:rPr>
          <w:b/>
        </w:rPr>
        <w:t>~5.4 s (RBF SVM)</w:t>
      </w:r>
      <w:r>
        <w:t xml:space="preserve"> and </w:t>
      </w:r>
      <w:r>
        <w:rPr>
          <w:b/>
        </w:rPr>
        <w:t>~5.5 s (MLP)</w:t>
      </w:r>
      <w:r>
        <w:t xml:space="preserve"> for single fits on this hardware — and the gap widens sharply once tuning (many fits) and, for the kernel SVM, the poor scaling in n are included (Section 6 note).</w:t>
      </w:r>
    </w:p>
    <w:p>
      <w:r>
        <w:rPr>
          <w:b/>
        </w:rPr>
        <w:t>Did the nonlinear learners beat the interpretable "banking" models?</w:t>
      </w:r>
      <w:r>
        <w:t xml:space="preserve"> Yes, but modestly and with a cost. The best nonlinear model (MLP, AUC 0.773) beats the best interpretable linear model (logistic, AUC 0.723) by </w:t>
      </w:r>
      <w:r>
        <w:rPr>
          <w:b/>
        </w:rPr>
        <w:t>+0.050 AUC (≈7%)</w:t>
      </w:r>
      <w:r>
        <w:t xml:space="preserve">, and roughly triples recall. This indicates </w:t>
      </w:r>
      <w:r>
        <w:rPr>
          <w:b/>
        </w:rPr>
        <w:t>genuine, exploitable nonlinear structure</w:t>
      </w:r>
      <w:r>
        <w:t xml:space="preserve"> in default risk that a linear decision boundary cannot capture. The cost is explainability: the MLP and RBF SVM use all inputs through opaque transformations and cannot be reduced to a coefficient table. Whether the gain justifies the loss of transparency is a governance decision, not a purely statistical one — and in a regulated setting the interpretable model with 93% of the ranking performance is a defensible choice.</w:t>
      </w:r>
    </w:p>
    <w:p>
      <w:r>
        <w:rPr>
          <w:b/>
        </w:rPr>
        <w:t>Did lasso/elastic net agree with the classical significance tests?</w:t>
      </w:r>
      <w:r>
        <w:t xml:space="preserve"> Yes — and this agreement is one of the most reassuring findings. The classical logistic Wald tests flagged PAY_0 as overwhelmingly significant; lasso independently </w:t>
      </w:r>
      <w:r>
        <w:rPr>
          <w:b/>
        </w:rPr>
        <w:t>retained PAY_0 as its largest coefficient</w:t>
      </w:r>
      <w:r>
        <w:t xml:space="preserve">, and elastic net agreed. More broadly, the lasso-selected feature set overlaps strongly with the set of Wald-significant predictors. When an </w:t>
      </w:r>
      <w:r>
        <w:rPr>
          <w:b/>
        </w:rPr>
        <w:t>inferential</w:t>
      </w:r>
      <w:r>
        <w:t xml:space="preserve"> procedure (hypothesis testing) and a </w:t>
      </w:r>
      <w:r>
        <w:rPr>
          <w:b/>
        </w:rPr>
        <w:t>predictive</w:t>
      </w:r>
      <w:r>
        <w:t xml:space="preserve"> procedure (L1 selection) converge on the same drivers, we can be confident the repayment-status signal is real and not an artefact of either method.</w:t>
      </w:r>
    </w:p>
    <w:p>
      <w:r>
        <w:rPr>
          <w:b/>
        </w:rPr>
        <w:t>Did regularisation improve prediction?</w:t>
      </w:r>
      <w:r>
        <w:t xml:space="preserve"> For the linear models, essentially </w:t>
      </w:r>
      <w:r>
        <w:rPr>
          <w:b/>
        </w:rPr>
        <w:t>no</w:t>
      </w:r>
      <w:r>
        <w:t xml:space="preserve">: ridge, lasso and elastic net all land within ±0.0004 AUC of the unregularised logistic model. This is the expected result in a </w:t>
      </w:r>
      <w:r>
        <w:rPr>
          <w:b/>
        </w:rPr>
        <w:t>low-dimensional regime</w:t>
      </w:r>
      <w:r>
        <w:t xml:space="preserve"> (n ≈ 21,000, p ≈ 27): there is little overfitting for a penalty to correct. Regularisation's payoff here is therefore not accuracy but </w:t>
      </w:r>
      <w:r>
        <w:rPr>
          <w:b/>
        </w:rPr>
        <w:t>stability and interpretability</w:t>
      </w:r>
      <w:r>
        <w:t xml:space="preserve"> — lasso resolves the BILL_AMT collinearity by selecting a single representative month, producing coefficients one can trust and explain. This is itself an important, data-dependent conclusion: on a wider or noisier problem the penalties would be expected to help predictive performance too.</w:t>
      </w:r>
    </w:p>
    <w:p>
      <w:r>
        <w:rPr>
          <w:b/>
        </w:rPr>
        <w:t>Does the conclusion depend on the data?</w:t>
      </w:r>
      <w:r>
        <w:t xml:space="preserve"> Partly. The specific *ranking* is tied to this dataset's structure — a large n, a modest p, strong collinearity in the bill amounts, and a dominant ordinal signal in PAY_0. On a genuinely high-dimensional problem the regularised models would likely separate from the unregularised baseline, and the interpretability argument for sparse models would strengthen. The </w:t>
      </w:r>
      <w:r>
        <w:rPr>
          <w:b/>
        </w:rPr>
        <w:t>qualitative</w:t>
      </w:r>
      <w:r>
        <w:t xml:space="preserve"> lessons, however, generalise: accuracy is misleading under imbalance; nonlinear learners can extract extra signal at the cost of transparency; and L1 selection tends to agree with classical inference on strong signals.</w:t>
      </w:r>
    </w:p>
    <w:p>
      <w:pPr>
        <w:pStyle w:val="Heading1"/>
      </w:pPr>
      <w:r>
        <w:t>6. Conclusion</w:t>
      </w:r>
    </w:p>
    <w:p>
      <w:r>
        <w:t xml:space="preserve">We compared logistic regression, support vector machines, and a multilayer perceptron — each in unregularised, ridge, lasso and elastic-net forms where the family admits them — for predicting credit-card default on the UCI dataset. The </w:t>
      </w:r>
      <w:r>
        <w:rPr>
          <w:b/>
        </w:rPr>
        <w:t>MLP achieved the best predictive ranking</w:t>
      </w:r>
      <w:r>
        <w:t xml:space="preserve"> (AUC 0.773) and by far the best recall (0.64), with the RBF SVM second; both nonlinear models beat the linear and penalised models by roughly 0.05 AUC, evidencing real nonlinear structure. The </w:t>
      </w:r>
      <w:r>
        <w:rPr>
          <w:b/>
        </w:rPr>
        <w:t>interpretable models</w:t>
      </w:r>
      <w:r>
        <w:t xml:space="preserve"> (logistic, lasso) retained ~93% of that ranking performance while remaining transparent and by far the cheapest to fit, and their L1-selected features </w:t>
      </w:r>
      <w:r>
        <w:rPr>
          <w:b/>
        </w:rPr>
        <w:t>agreed with classical significance tests</w:t>
      </w:r>
      <w:r>
        <w:t xml:space="preserve"> on the key driver, repayment status (PAY_0). Under the class imbalance, </w:t>
      </w:r>
      <w:r>
        <w:rPr>
          <w:b/>
        </w:rPr>
        <w:t>accuracy was shown to be a misleading metric</w:t>
      </w:r>
      <w:r>
        <w:t xml:space="preserve">: the highest-accuracy models were among the least useful for catching actual defaulters. For a regulated lending application, we would recommend the </w:t>
      </w:r>
      <w:r>
        <w:rPr>
          <w:b/>
        </w:rPr>
        <w:t>lasso logistic model</w:t>
      </w:r>
      <w:r>
        <w:t xml:space="preserve"> as the primary scorecard — near-best ranking, transparent, stable under collinearity, and instant to fit — while noting that an MLP could serve as a challenger model where its higher recall justifies the loss of explainability.</w:t>
      </w:r>
    </w:p>
    <w:p>
      <w:r>
        <w:rPr>
          <w:b/>
        </w:rPr>
        <w:t>Limitations.</w:t>
      </w:r>
      <w:r>
        <w:t xml:space="preserve"> Two constraints affected the results. First, e1071's SVM solver scales poorly in n, so the kernel/linear SVMs were trained on an 8,000-row stratified subsample of the training data (all models were evaluated on the full test set, keeping the comparison honest). Second, the MLP results reported here come from the nnet fallback (unregularised and L2 only) because the machine used lacked a Java runtime for h2o; the full four-variant h2o comparison is available on a Java-enabled machine using the same script.</w:t>
      </w:r>
    </w:p>
    <w:p>
      <w:pPr>
        <w:pStyle w:val="Heading1"/>
      </w:pPr>
      <w:r>
        <w:t>References</w:t>
      </w:r>
    </w:p>
    <w:p>
      <w:pPr>
        <w:pStyle w:val="ListBullet"/>
      </w:pPr>
      <w:r>
        <w:t>James, G., Witten, D., Hastie, T., &amp; Tibshirani, R. (2021). *An Introduction to Statistical Learning with Applications in R* (2nd ed.). Springer. [ISLR; Chapter 3, Question 15.]</w:t>
      </w:r>
    </w:p>
    <w:p>
      <w:pPr>
        <w:pStyle w:val="ListBullet"/>
      </w:pPr>
      <w:r>
        <w:t>Yeh, I. C., &amp; Lien, C. H. (2009). The comparisons of data mining techniques for the predictive accuracy of probability of default of credit card clients. *Expert Systems with Applications, 36*(2), 2473–2480.</w:t>
      </w:r>
    </w:p>
    <w:p>
      <w:pPr>
        <w:pStyle w:val="ListBullet"/>
      </w:pPr>
      <w:r>
        <w:t>UCI Machine Learning Repository. *Default of Credit Card Clients Data Set.* &lt;https://archive.ics.uci.edu/dataset/350/default+of+credit+card+clients&gt;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