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a637e80c7934f95" /><Relationship Type="http://schemas.openxmlformats.org/package/2006/relationships/metadata/core-properties" Target="/docProps/core.xml" Id="R7cc28f53dc1b4649" /><Relationship Type="http://schemas.openxmlformats.org/officeDocument/2006/relationships/extended-properties" Target="/docProps/app.xml" Id="R3842b0c2316c4dff" /><Relationship Type="http://schemas.openxmlformats.org/officeDocument/2006/relationships/custom-properties" Target="/docProps/custom.xml" Id="Rc3962775df2f4e4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Financial Default Risk Analytics</w:t>
      </w:r>
    </w:p>
    <w:p w14:paraId="00100002" w14:textId="00100003">
      <w:pPr>
        <w:pStyle w:val="Subtitle"/>
        <w:spacing w:after="80"/>
        <w:jc w:val="center"/>
      </w:pPr>
      <w:r>
        <w:rPr>
          <w:sz w:val="28"/>
        </w:rPr>
        <w:t xml:space="preserve">Project Report – Data Analytics on Stock Market Default Risk</w:t>
      </w:r>
    </w:p>
    <w:p w14:paraId="00100004" w14:textId="00100005">
      <w:pPr>
        <w:spacing w:after="480"/>
        <w:jc w:val="center"/>
      </w:pPr>
      <w:r>
        <w:rPr>
          <w:color w:val="666666"/>
          <w:sz w:val="22"/>
        </w:rPr>
        <w:t xml:space="preserve">Dataset: master_stock_data.csv  |  Technology: Python, Streamlit, Pandas, Plotly</w:t>
      </w:r>
    </w:p>
    <w:p w14:paraId="00100006" w14:textId="00100007">
      <w:pPr>
        <w:pStyle w:val="Heading1"/>
        <w:spacing w:after="120"/>
      </w:pPr>
      <w:r>
        <w:rPr>
          <w:b/>
          <w:sz w:val="32"/>
        </w:rPr>
        <w:t xml:space="preserve">Table of Contents</w:t>
      </w:r>
    </w:p>
    <w:p w14:paraId="001001E6" w14:textId="001001E7">
      <w:r>
        <w:fldChar w:fldCharType="begin"/>
      </w:r>
      <w:r>
        <w:instrText xml:space="preserve"> TOC \o "1-3" \h \u </w:instrText>
      </w:r>
      <w:r>
        <w:fldChar w:fldCharType="separate"/>
      </w:r>
      <w:r>
        <w:t xml:space="preserve">Update field to see table of contents</w:t>
      </w:r>
      <w:r>
        <w:fldChar w:fldCharType="end"/>
      </w:r>
    </w:p>
    <w:p w14:paraId="00100008" w14:textId="00100009">
      <w:pPr>
        <w:pStyle w:val="Heading1"/>
        <w:spacing w:before="360" w:after="120"/>
      </w:pPr>
      <w:r>
        <w:rPr>
          <w:b/>
          <w:sz w:val="32"/>
        </w:rPr>
        <w:t xml:space="preserve">1. Executive Summary</w:t>
      </w:r>
    </w:p>
    <w:p w14:paraId="0010000A" w14:textId="0010000B">
      <w:pPr>
        <w:spacing w:after="160"/>
      </w:pPr>
      <w:r>
        <w:rPr>
          <w:sz w:val="22"/>
        </w:rPr>
        <w:t xml:space="preserve">This report presents a comprehensive data analytics project focused on Financial Default Risk analysis using historical stock market data. The dataset, master_stock_data.csv, contains multi-ticker daily price and volume data spanning from 1999 to the present, covering key OHLCV (Open, High, Low, Close, Volume) fields along with dividend and stock-split information.</w:t>
      </w:r>
    </w:p>
    <w:p w14:paraId="0010000C" w14:textId="0010000D">
      <w:pPr>
        <w:spacing w:after="160"/>
      </w:pPr>
      <w:r>
        <w:rPr>
          <w:sz w:val="22"/>
        </w:rPr>
        <w:t xml:space="preserve">The project implements a full end-to-end analytics pipeline: data loading and validation, data cleaning, feature engineering (including a composite Default Risk Score), statistical grouping and summarisation, interactive data visualisations, and business decision intelligence. The frontend is built using Streamlit and Plotly, providing an interactive seven-page dashboard accessible via a web browser.</w:t>
      </w:r>
    </w:p>
    <w:p w14:paraId="0010000E" w14:textId="0010000F">
      <w:pPr>
        <w:spacing w:after="240"/>
      </w:pPr>
      <w:r>
        <w:rPr>
          <w:sz w:val="22"/>
        </w:rPr>
        <w:t xml:space="preserve">Key findings include identification of tickers with persistently high default risk, periods of elevated market volatility correlated with historical economic events, and a clear delineation between defensive low-risk and speculative high-risk securities.</w:t>
      </w:r>
    </w:p>
    <w:p w14:paraId="00100010" w14:textId="00100011">
      <w:pPr>
        <w:pStyle w:val="Heading1"/>
        <w:spacing w:before="360" w:after="120"/>
      </w:pPr>
      <w:r>
        <w:rPr>
          <w:b/>
          <w:sz w:val="32"/>
        </w:rPr>
        <w:t xml:space="preserve">2. Dataset Description</w:t>
      </w:r>
    </w:p>
    <w:p w14:paraId="00100012" w14:textId="00100013">
      <w:pPr>
        <w:pStyle w:val="Heading2"/>
        <w:spacing w:after="80"/>
      </w:pPr>
      <w:r>
        <w:rPr>
          <w:b/>
          <w:sz w:val="26"/>
        </w:rPr>
        <w:t xml:space="preserve">2.1 Source and Structure</w:t>
      </w:r>
    </w:p>
    <w:p w14:paraId="00100014" w14:textId="00100015">
      <w:pPr>
        <w:spacing w:after="120"/>
      </w:pPr>
      <w:r>
        <w:rPr>
          <w:sz w:val="22"/>
        </w:rPr>
        <w:t xml:space="preserve">The dataset master_stock_data.csv is a flat CSV file containing historical daily trading records for multiple stock tickers. Each row represents one trading day for one ticker. The file contains the following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6" w14:textId="00100017">
            <w:r>
              <w:t xml:space="preserve">Column</w:t>
            </w:r>
          </w:p>
        </w:tc>
        <w:tc>
          <w:p w14:paraId="00100018" w14:textId="00100019">
            <w:r>
              <w:t xml:space="preserve">Type</w:t>
            </w:r>
          </w:p>
        </w:tc>
        <w:tc>
          <w:p w14:paraId="0010001A" w14:textId="0010001B">
            <w:r>
              <w:t xml:space="preserve">Description</w:t>
            </w:r>
          </w:p>
        </w:tc>
      </w:tr>
      <w:tr>
        <w:trPr/>
        <w:tc>
          <w:p w14:paraId="0010001C" w14:textId="0010001D">
            <w:r>
              <w:t xml:space="preserve">Date</w:t>
            </w:r>
          </w:p>
        </w:tc>
        <w:tc>
          <w:p w14:paraId="0010001E" w14:textId="0010001F">
            <w:r>
              <w:t xml:space="preserve">DateTime</w:t>
            </w:r>
          </w:p>
        </w:tc>
        <w:tc>
          <w:p w14:paraId="00100020" w14:textId="00100021">
            <w:r>
              <w:t xml:space="preserve">Trading date (daily frequency)</w:t>
            </w:r>
          </w:p>
        </w:tc>
      </w:tr>
      <w:tr>
        <w:trPr/>
        <w:tc>
          <w:p w14:paraId="00100022" w14:textId="00100023">
            <w:r>
              <w:t xml:space="preserve">Ticker</w:t>
            </w:r>
          </w:p>
        </w:tc>
        <w:tc>
          <w:p w14:paraId="00100024" w14:textId="00100025">
            <w:r>
              <w:t xml:space="preserve">String</w:t>
            </w:r>
          </w:p>
        </w:tc>
        <w:tc>
          <w:p w14:paraId="00100026" w14:textId="00100027">
            <w:r>
              <w:t xml:space="preserve">Stock ticker symbol (e.g. AAPL, MSFT)</w:t>
            </w:r>
          </w:p>
        </w:tc>
      </w:tr>
      <w:tr>
        <w:trPr/>
        <w:tc>
          <w:p w14:paraId="00100028" w14:textId="00100029">
            <w:r>
              <w:t xml:space="preserve">Adj Close</w:t>
            </w:r>
          </w:p>
        </w:tc>
        <w:tc>
          <w:p w14:paraId="0010002A" w14:textId="0010002B">
            <w:r>
              <w:t xml:space="preserve">Float</w:t>
            </w:r>
          </w:p>
        </w:tc>
        <w:tc>
          <w:p w14:paraId="0010002C" w14:textId="0010002D">
            <w:r>
              <w:t xml:space="preserve">Dividend/split-adjusted closing price</w:t>
            </w:r>
          </w:p>
        </w:tc>
      </w:tr>
      <w:tr>
        <w:trPr/>
        <w:tc>
          <w:p w14:paraId="0010002E" w14:textId="0010002F">
            <w:r>
              <w:t xml:space="preserve">Close</w:t>
            </w:r>
          </w:p>
        </w:tc>
        <w:tc>
          <w:p w14:paraId="00100030" w14:textId="00100031">
            <w:r>
              <w:t xml:space="preserve">Float</w:t>
            </w:r>
          </w:p>
        </w:tc>
        <w:tc>
          <w:p w14:paraId="00100032" w14:textId="00100033">
            <w:r>
              <w:t xml:space="preserve">Raw closing price</w:t>
            </w:r>
          </w:p>
        </w:tc>
      </w:tr>
      <w:tr>
        <w:trPr/>
        <w:tc>
          <w:p w14:paraId="00100034" w14:textId="00100035">
            <w:r>
              <w:t xml:space="preserve">Dividends</w:t>
            </w:r>
          </w:p>
        </w:tc>
        <w:tc>
          <w:p w14:paraId="00100036" w14:textId="00100037">
            <w:r>
              <w:t xml:space="preserve">Float</w:t>
            </w:r>
          </w:p>
        </w:tc>
        <w:tc>
          <w:p w14:paraId="00100038" w14:textId="00100039">
            <w:r>
              <w:t xml:space="preserve">Dividend amount paid on that date</w:t>
            </w:r>
          </w:p>
        </w:tc>
      </w:tr>
      <w:tr>
        <w:trPr/>
        <w:tc>
          <w:p w14:paraId="0010003A" w14:textId="0010003B">
            <w:r>
              <w:t xml:space="preserve">High</w:t>
            </w:r>
          </w:p>
        </w:tc>
        <w:tc>
          <w:p w14:paraId="0010003C" w14:textId="0010003D">
            <w:r>
              <w:t xml:space="preserve">Float</w:t>
            </w:r>
          </w:p>
        </w:tc>
        <w:tc>
          <w:p w14:paraId="0010003E" w14:textId="0010003F">
            <w:r>
              <w:t xml:space="preserve">Intraday high price</w:t>
            </w:r>
          </w:p>
        </w:tc>
      </w:tr>
      <w:tr>
        <w:trPr/>
        <w:tc>
          <w:p w14:paraId="00100040" w14:textId="00100041">
            <w:r>
              <w:t xml:space="preserve">Low</w:t>
            </w:r>
          </w:p>
        </w:tc>
        <w:tc>
          <w:p w14:paraId="00100042" w14:textId="00100043">
            <w:r>
              <w:t xml:space="preserve">Float</w:t>
            </w:r>
          </w:p>
        </w:tc>
        <w:tc>
          <w:p w14:paraId="00100044" w14:textId="00100045">
            <w:r>
              <w:t xml:space="preserve">Intraday low price</w:t>
            </w:r>
          </w:p>
        </w:tc>
      </w:tr>
      <w:tr>
        <w:trPr/>
        <w:tc>
          <w:p w14:paraId="00100046" w14:textId="00100047">
            <w:r>
              <w:t xml:space="preserve">Open</w:t>
            </w:r>
          </w:p>
        </w:tc>
        <w:tc>
          <w:p w14:paraId="00100048" w14:textId="00100049">
            <w:r>
              <w:t xml:space="preserve">Float</w:t>
            </w:r>
          </w:p>
        </w:tc>
        <w:tc>
          <w:p w14:paraId="0010004A" w14:textId="0010004B">
            <w:r>
              <w:t xml:space="preserve">Opening price of the trading day</w:t>
            </w:r>
          </w:p>
        </w:tc>
      </w:tr>
      <w:tr>
        <w:trPr/>
        <w:tc>
          <w:p w14:paraId="0010004C" w14:textId="0010004D">
            <w:r>
              <w:t xml:space="preserve">Stock Splits</w:t>
            </w:r>
          </w:p>
        </w:tc>
        <w:tc>
          <w:p w14:paraId="0010004E" w14:textId="0010004F">
            <w:r>
              <w:t xml:space="preserve">Float</w:t>
            </w:r>
          </w:p>
        </w:tc>
        <w:tc>
          <w:p w14:paraId="00100050" w14:textId="00100051">
            <w:r>
              <w:t xml:space="preserve">Stock split factor (0 = no split)</w:t>
            </w:r>
          </w:p>
        </w:tc>
      </w:tr>
      <w:tr>
        <w:trPr/>
        <w:tc>
          <w:p w14:paraId="00100052" w14:textId="00100053">
            <w:r>
              <w:t xml:space="preserve">Volume</w:t>
            </w:r>
          </w:p>
        </w:tc>
        <w:tc>
          <w:p w14:paraId="00100054" w14:textId="00100055">
            <w:r>
              <w:t xml:space="preserve">Integer</w:t>
            </w:r>
          </w:p>
        </w:tc>
        <w:tc>
          <w:p w14:paraId="00100056" w14:textId="00100057">
            <w:r>
              <w:t xml:space="preserve">Number of shares traded</w:t>
            </w:r>
          </w:p>
        </w:tc>
      </w:tr>
    </w:tbl>
    <w:p w14:paraId="00100058" w14:textId="00100059">
      <w:pPr>
        <w:pStyle w:val="Heading2"/>
        <w:spacing w:before="240" w:after="80"/>
      </w:pPr>
      <w:r>
        <w:rPr>
          <w:b/>
          <w:sz w:val="26"/>
        </w:rPr>
        <w:t xml:space="preserve">2.2 Dataset Scale</w:t>
      </w:r>
    </w:p>
    <w:p w14:paraId="0010005A" w14:textId="0010005B">
      <w:pPr>
        <w:spacing w:after="240"/>
      </w:pPr>
      <w:r>
        <w:rPr>
          <w:sz w:val="22"/>
        </w:rPr>
        <w:t xml:space="preserve">The dataset contains hundreds of thousands of daily trading records across multiple unique tickers, spanning over two decades of market data from 1999 to 2024. This scale provides sufficient statistical depth for volatility estimation, drawdown analysis, and risk scoring.</w:t>
      </w:r>
    </w:p>
    <w:p w14:paraId="0010005C" w14:textId="0010005D">
      <w:pPr>
        <w:pStyle w:val="Heading1"/>
        <w:spacing w:before="360" w:after="120"/>
      </w:pPr>
      <w:r>
        <w:rPr>
          <w:b/>
          <w:sz w:val="32"/>
        </w:rPr>
        <w:t xml:space="preserve">3. Data Collection and Loading</w:t>
      </w:r>
    </w:p>
    <w:p w14:paraId="0010005E" w14:textId="0010005F">
      <w:pPr>
        <w:spacing w:after="160"/>
      </w:pPr>
      <w:r>
        <w:rPr>
          <w:sz w:val="22"/>
        </w:rPr>
        <w:t xml:space="preserve">The data loading module (utils/data_loader.py) implements the load_data() function which reads the CSV using pandas.read_csv() with automatic date parsing for the Date column. The function verifies file existence before attempting to read, raising a descriptive FileNotFoundError if the path is invalid.</w:t>
      </w:r>
    </w:p>
    <w:p w14:paraId="00100060" w14:textId="00100061">
      <w:pPr>
        <w:spacing w:after="240"/>
      </w:pPr>
      <w:r>
        <w:rPr>
          <w:sz w:val="22"/>
        </w:rPr>
        <w:t xml:space="preserve">The data is loaded into a pandas DataFrame, which serves as the in-memory representation throughout the pipeline. The Streamlit frontend uses @st.cache_data to cache the loaded dataset, ensuring the CSV is parsed only once per session regardless of how many dashboard pages the user visits.</w:t>
      </w:r>
    </w:p>
    <w:p w14:paraId="00100062" w14:textId="00100063">
      <w:pPr>
        <w:pStyle w:val="Heading1"/>
        <w:spacing w:before="360" w:after="120"/>
      </w:pPr>
      <w:r>
        <w:rPr>
          <w:b/>
          <w:sz w:val="32"/>
        </w:rPr>
        <w:t xml:space="preserve">4. Data Quality and Validation</w:t>
      </w:r>
    </w:p>
    <w:p w14:paraId="00100064" w14:textId="00100065">
      <w:pPr>
        <w:pStyle w:val="Heading2"/>
        <w:spacing w:after="80"/>
      </w:pPr>
      <w:r>
        <w:rPr>
          <w:b/>
          <w:sz w:val="26"/>
        </w:rPr>
        <w:t xml:space="preserve">4.1 Validation Checks</w:t>
      </w:r>
    </w:p>
    <w:p w14:paraId="00100066" w14:textId="00100067">
      <w:pPr>
        <w:spacing w:after="120"/>
      </w:pPr>
      <w:r>
        <w:rPr>
          <w:sz w:val="22"/>
        </w:rPr>
        <w:t xml:space="preserve">The validate_data() function performs the following checks on the raw dataset before cleaning:</w:t>
      </w:r>
    </w:p>
    <w:p w14:paraId="00100068" w14:textId="00100069">
      <w:pPr>
        <w:spacing w:after="40"/>
      </w:pPr>
      <w:r>
        <w:rPr>
          <w:sz w:val="22"/>
        </w:rPr>
        <w:t xml:space="preserve">• Missing Columns: Verifies all 10 expected columns are present.</w:t>
      </w:r>
    </w:p>
    <w:p w14:paraId="0010006A" w14:textId="0010006B">
      <w:pPr>
        <w:spacing w:after="40"/>
      </w:pPr>
      <w:r>
        <w:rPr>
          <w:sz w:val="22"/>
        </w:rPr>
        <w:t xml:space="preserve">• Null Values: Counts missing values per column and reports any non-zero counts.</w:t>
      </w:r>
    </w:p>
    <w:p w14:paraId="0010006C" w14:textId="0010006D">
      <w:pPr>
        <w:spacing w:after="40"/>
      </w:pPr>
      <w:r>
        <w:rPr>
          <w:sz w:val="22"/>
        </w:rPr>
        <w:t xml:space="preserve">• Duplicate Rows: Counts exact full-row duplicates.</w:t>
      </w:r>
    </w:p>
    <w:p w14:paraId="0010006E" w14:textId="0010006F">
      <w:pPr>
        <w:spacing w:after="40"/>
      </w:pPr>
      <w:r>
        <w:rPr>
          <w:sz w:val="22"/>
        </w:rPr>
        <w:t xml:space="preserve">• Negative Prices: Flags rows where Close, High, Low, Open, or Adj Close are negative.</w:t>
      </w:r>
    </w:p>
    <w:p w14:paraId="00100070" w14:textId="00100071">
      <w:pPr>
        <w:spacing w:after="40"/>
      </w:pPr>
      <w:r>
        <w:rPr>
          <w:sz w:val="22"/>
        </w:rPr>
        <w:t xml:space="preserve">• High &lt; Low Inversions: Detects data integrity errors where High price is below Low.</w:t>
      </w:r>
    </w:p>
    <w:p w14:paraId="00100072" w14:textId="00100073">
      <w:pPr>
        <w:spacing w:after="40"/>
      </w:pPr>
      <w:r>
        <w:rPr>
          <w:sz w:val="22"/>
        </w:rPr>
        <w:t xml:space="preserve">• Zero/Negative Volume: Identifies illiquid or erroneous trading day records.</w:t>
      </w:r>
    </w:p>
    <w:p w14:paraId="00100074" w14:textId="00100075">
      <w:pPr>
        <w:spacing w:after="160"/>
      </w:pPr>
      <w:r>
        <w:rPr>
          <w:sz w:val="22"/>
        </w:rPr>
        <w:t xml:space="preserve">• Infinite Values: Scans all numeric columns for ±Infinity values.</w:t>
      </w:r>
    </w:p>
    <w:p w14:paraId="00100076" w14:textId="00100077">
      <w:pPr>
        <w:pStyle w:val="Heading2"/>
        <w:spacing w:after="80"/>
      </w:pPr>
      <w:r>
        <w:rPr>
          <w:b/>
          <w:sz w:val="26"/>
        </w:rPr>
        <w:t xml:space="preserve">4.2 Cleaning Steps Applied</w:t>
      </w:r>
    </w:p>
    <w:p w14:paraId="00100078" w14:textId="00100079">
      <w:pPr>
        <w:spacing w:after="120"/>
      </w:pPr>
      <w:r>
        <w:rPr>
          <w:sz w:val="22"/>
        </w:rPr>
        <w:t xml:space="preserve">The clean_data() function applies the following transformations in sequence:</w:t>
      </w:r>
    </w:p>
    <w:p w14:paraId="0010007A" w14:textId="0010007B">
      <w:pPr>
        <w:spacing w:after="40"/>
      </w:pPr>
      <w:r>
        <w:rPr>
          <w:sz w:val="22"/>
        </w:rPr>
        <w:t xml:space="preserve">1. Parses Date as datetime, coercing unparseable values to NaT.</w:t>
      </w:r>
    </w:p>
    <w:p w14:paraId="0010007C" w14:textId="0010007D">
      <w:pPr>
        <w:spacing w:after="40"/>
      </w:pPr>
      <w:r>
        <w:rPr>
          <w:sz w:val="22"/>
        </w:rPr>
        <w:t xml:space="preserve">2. Drops rows with null values in the critical columns (Date, Ticker, Close, High, Low, Open, Volume).</w:t>
      </w:r>
    </w:p>
    <w:p w14:paraId="0010007E" w14:textId="0010007F">
      <w:pPr>
        <w:spacing w:after="40"/>
      </w:pPr>
      <w:r>
        <w:rPr>
          <w:sz w:val="22"/>
        </w:rPr>
        <w:t xml:space="preserve">3. Removes exact duplicate rows.</w:t>
      </w:r>
    </w:p>
    <w:p w14:paraId="00100080" w14:textId="00100081">
      <w:pPr>
        <w:spacing w:after="40"/>
      </w:pPr>
      <w:r>
        <w:rPr>
          <w:sz w:val="22"/>
        </w:rPr>
        <w:t xml:space="preserve">4. Filters out rows with non-positive Close or Volume.</w:t>
      </w:r>
    </w:p>
    <w:p w14:paraId="00100082" w14:textId="00100083">
      <w:pPr>
        <w:spacing w:after="40"/>
      </w:pPr>
      <w:r>
        <w:rPr>
          <w:sz w:val="22"/>
        </w:rPr>
        <w:t xml:space="preserve">5. Corrects High/Low inversions by swapping the values.</w:t>
      </w:r>
    </w:p>
    <w:p w14:paraId="00100084" w14:textId="00100085">
      <w:pPr>
        <w:spacing w:after="40"/>
      </w:pPr>
      <w:r>
        <w:rPr>
          <w:sz w:val="22"/>
        </w:rPr>
        <w:t xml:space="preserve">6. Replaces ±Infinity with NaN and forward-fills / back-fills residual nulls.</w:t>
      </w:r>
    </w:p>
    <w:p w14:paraId="00100086" w14:textId="00100087">
      <w:pPr>
        <w:spacing w:after="240"/>
      </w:pPr>
      <w:r>
        <w:rPr>
          <w:sz w:val="22"/>
        </w:rPr>
        <w:t xml:space="preserve">7. Sorts the dataset by Ticker, then by Date.</w:t>
      </w:r>
    </w:p>
    <w:p w14:paraId="00100088" w14:textId="00100089">
      <w:pPr>
        <w:pStyle w:val="Heading1"/>
        <w:spacing w:before="360" w:after="120"/>
      </w:pPr>
      <w:r>
        <w:rPr>
          <w:b/>
          <w:sz w:val="32"/>
        </w:rPr>
        <w:t xml:space="preserve">5. Feature Engineering – Risk Metrics</w:t>
      </w:r>
    </w:p>
    <w:p w14:paraId="0010008A" w14:textId="0010008B">
      <w:pPr>
        <w:spacing w:after="120"/>
      </w:pPr>
      <w:r>
        <w:rPr>
          <w:sz w:val="22"/>
        </w:rPr>
        <w:t xml:space="preserve">The engineer_features() function computes the following derived metrics per ticker on a rolling basis: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C" w14:textId="0010008D">
            <w:r>
              <w:t xml:space="preserve">Feature</w:t>
            </w:r>
          </w:p>
        </w:tc>
        <w:tc>
          <w:p w14:paraId="0010008E" w14:textId="0010008F">
            <w:r>
              <w:t xml:space="preserve">Window</w:t>
            </w:r>
          </w:p>
        </w:tc>
        <w:tc>
          <w:p w14:paraId="00100090" w14:textId="00100091">
            <w:r>
              <w:t xml:space="preserve">Description</w:t>
            </w:r>
          </w:p>
        </w:tc>
      </w:tr>
      <w:tr>
        <w:trPr/>
        <w:tc>
          <w:p w14:paraId="00100092" w14:textId="00100093">
            <w:r>
              <w:t xml:space="preserve">Daily_Return</w:t>
            </w:r>
          </w:p>
        </w:tc>
        <w:tc>
          <w:p w14:paraId="00100094" w14:textId="00100095">
            <w:r>
              <w:t xml:space="preserve">Daily</w:t>
            </w:r>
          </w:p>
        </w:tc>
        <w:tc>
          <w:p w14:paraId="00100096" w14:textId="00100097">
            <w:r>
              <w:t xml:space="preserve">(Close_t - Close_{t-1}) / Close_{t-1} — percentage price change per day</w:t>
            </w:r>
          </w:p>
        </w:tc>
      </w:tr>
      <w:tr>
        <w:trPr/>
        <w:tc>
          <w:p w14:paraId="00100098" w14:textId="00100099">
            <w:r>
              <w:t xml:space="preserve">Volatility_30d</w:t>
            </w:r>
          </w:p>
        </w:tc>
        <w:tc>
          <w:p w14:paraId="0010009A" w14:textId="0010009B">
            <w:r>
              <w:t xml:space="preserve">30-day rolling</w:t>
            </w:r>
          </w:p>
        </w:tc>
        <w:tc>
          <w:p w14:paraId="0010009C" w14:textId="0010009D">
            <w:r>
              <w:t xml:space="preserve">Standard deviation of daily returns over 30 days — measures price uncertainty</w:t>
            </w:r>
          </w:p>
        </w:tc>
      </w:tr>
      <w:tr>
        <w:trPr/>
        <w:tc>
          <w:p w14:paraId="0010009E" w14:textId="0010009F">
            <w:r>
              <w:t xml:space="preserve">Price_Range_Pct</w:t>
            </w:r>
          </w:p>
        </w:tc>
        <w:tc>
          <w:p w14:paraId="001000A0" w14:textId="001000A1">
            <w:r>
              <w:t xml:space="preserve">Daily</w:t>
            </w:r>
          </w:p>
        </w:tc>
        <w:tc>
          <w:p w14:paraId="001000A2" w14:textId="001000A3">
            <w:r>
              <w:t xml:space="preserve">(High - Low) / Low × 100 — intraday price spread as proxy for daily risk</w:t>
            </w:r>
          </w:p>
        </w:tc>
      </w:tr>
      <w:tr>
        <w:trPr/>
        <w:tc>
          <w:p w14:paraId="001000A4" w14:textId="001000A5">
            <w:r>
              <w:t xml:space="preserve">Drawdown</w:t>
            </w:r>
          </w:p>
        </w:tc>
        <w:tc>
          <w:p w14:paraId="001000A6" w14:textId="001000A7">
            <w:r>
              <w:t xml:space="preserve">52-week rolling</w:t>
            </w:r>
          </w:p>
        </w:tc>
        <w:tc>
          <w:p w14:paraId="001000A8" w14:textId="001000A9">
            <w:r>
              <w:t xml:space="preserve">(Close - 52w Max Close) / 52w Max Close — distance from peak price</w:t>
            </w:r>
          </w:p>
        </w:tc>
      </w:tr>
      <w:tr>
        <w:trPr/>
        <w:tc>
          <w:p w14:paraId="001000AA" w14:textId="001000AB">
            <w:r>
              <w:t xml:space="preserve">Volume_Spike</w:t>
            </w:r>
          </w:p>
        </w:tc>
        <w:tc>
          <w:p w14:paraId="001000AC" w14:textId="001000AD">
            <w:r>
              <w:t xml:space="preserve">20-day rolling</w:t>
            </w:r>
          </w:p>
        </w:tc>
        <w:tc>
          <w:p w14:paraId="001000AE" w14:textId="001000AF">
            <w:r>
              <w:t xml:space="preserve">Volume / 20-day avg volume — flags abnormal trading activity</w:t>
            </w:r>
          </w:p>
        </w:tc>
      </w:tr>
      <w:tr>
        <w:trPr/>
        <w:tc>
          <w:p w14:paraId="001000B0" w14:textId="001000B1">
            <w:r>
              <w:t xml:space="preserve">RSI_14</w:t>
            </w:r>
          </w:p>
        </w:tc>
        <w:tc>
          <w:p w14:paraId="001000B2" w14:textId="001000B3">
            <w:r>
              <w:t xml:space="preserve">14-period</w:t>
            </w:r>
          </w:p>
        </w:tc>
        <w:tc>
          <w:p w14:paraId="001000B4" w14:textId="001000B5">
            <w:r>
              <w:t xml:space="preserve">Relative Strength Index — identifies overbought (&gt;70) and oversold (&lt;30) conditions</w:t>
            </w:r>
          </w:p>
        </w:tc>
      </w:tr>
      <w:tr>
        <w:trPr/>
        <w:tc>
          <w:p w14:paraId="001000B6" w14:textId="001000B7">
            <w:r>
              <w:t xml:space="preserve">Default_Risk_Score</w:t>
            </w:r>
          </w:p>
        </w:tc>
        <w:tc>
          <w:p w14:paraId="001000B8" w14:textId="001000B9">
            <w:r>
              <w:t xml:space="preserve">Composite</w:t>
            </w:r>
          </w:p>
        </w:tc>
        <w:tc>
          <w:p w14:paraId="001000BA" w14:textId="001000BB">
            <w:r>
              <w:t xml:space="preserve">Weighted score 0-100 from volatility, drawdown, RSI extremity, and price range</w:t>
            </w:r>
          </w:p>
        </w:tc>
      </w:tr>
      <w:tr>
        <w:trPr/>
        <w:tc>
          <w:p w14:paraId="001000BC" w14:textId="001000BD">
            <w:r>
              <w:t xml:space="preserve">Risk_Category</w:t>
            </w:r>
          </w:p>
        </w:tc>
        <w:tc>
          <w:p w14:paraId="001000BE" w14:textId="001000BF">
            <w:r>
              <w:t xml:space="preserve">Derived</w:t>
            </w:r>
          </w:p>
        </w:tc>
        <w:tc>
          <w:p w14:paraId="001000C0" w14:textId="001000C1">
            <w:r>
              <w:t xml:space="preserve">Categorical label: Low / Medium / High / Critical based on risk score bins</w:t>
            </w:r>
          </w:p>
        </w:tc>
      </w:tr>
    </w:tbl>
    <w:p w14:paraId="001000C2" w14:textId="001000C3">
      <w:pPr>
        <w:pStyle w:val="Heading2"/>
        <w:spacing w:before="240" w:after="80"/>
      </w:pPr>
      <w:r>
        <w:rPr>
          <w:b/>
          <w:sz w:val="26"/>
        </w:rPr>
        <w:t xml:space="preserve">5.1 Default Risk Score Formula</w:t>
      </w:r>
    </w:p>
    <w:p w14:paraId="001000C4" w14:textId="001000C5">
      <w:pPr>
        <w:spacing w:after="120"/>
      </w:pPr>
      <w:r>
        <w:rPr>
          <w:sz w:val="22"/>
        </w:rPr>
        <w:t xml:space="preserve">The composite Default Risk Score (0–100) is computed as a weighted sum of four normalised components:</w:t>
      </w:r>
    </w:p>
    <w:p w14:paraId="001000C6" w14:textId="001000C7">
      <w:pPr>
        <w:spacing w:after="120"/>
      </w:pPr>
      <w:r>
        <w:rPr>
          <w:b/>
          <w:sz w:val="22"/>
        </w:rPr>
        <w:t xml:space="preserve">Default Risk Score = (0.35 × Volatility Score) + (0.30 × Drawdown Score) + (0.20 × RSI Extremity Score) + (0.15 × Price Range Score)</w:t>
      </w:r>
    </w:p>
    <w:p w14:paraId="001000C8" w14:textId="001000C9">
      <w:pPr>
        <w:spacing w:after="120"/>
      </w:pPr>
      <w:r>
        <w:rPr>
          <w:sz w:val="22"/>
        </w:rPr>
        <w:t xml:space="preserve">Each component is normalised to [0, 1] using dataset-wide percentile scaling before weighting. The final score is then mapped to a Risk Category:</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A" w14:textId="001000CB">
            <w:r>
              <w:t xml:space="preserve">Score Range</w:t>
            </w:r>
          </w:p>
        </w:tc>
        <w:tc>
          <w:p w14:paraId="001000CC" w14:textId="001000CD">
            <w:r>
              <w:t xml:space="preserve">Category</w:t>
            </w:r>
          </w:p>
        </w:tc>
      </w:tr>
      <w:tr>
        <w:trPr/>
        <w:tc>
          <w:p w14:paraId="001000CE" w14:textId="001000CF">
            <w:r>
              <w:t xml:space="preserve">0 – 25</w:t>
            </w:r>
          </w:p>
        </w:tc>
        <w:tc>
          <w:p w14:paraId="001000D0" w14:textId="001000D1">
            <w:r>
              <w:t xml:space="preserve">Low</w:t>
            </w:r>
          </w:p>
        </w:tc>
      </w:tr>
      <w:tr>
        <w:trPr/>
        <w:tc>
          <w:p w14:paraId="001000D2" w14:textId="001000D3">
            <w:r>
              <w:t xml:space="preserve">25 – 50</w:t>
            </w:r>
          </w:p>
        </w:tc>
        <w:tc>
          <w:p w14:paraId="001000D4" w14:textId="001000D5">
            <w:r>
              <w:t xml:space="preserve">Medium</w:t>
            </w:r>
          </w:p>
        </w:tc>
      </w:tr>
      <w:tr>
        <w:trPr/>
        <w:tc>
          <w:p w14:paraId="001000D6" w14:textId="001000D7">
            <w:r>
              <w:t xml:space="preserve">50 – 75</w:t>
            </w:r>
          </w:p>
        </w:tc>
        <w:tc>
          <w:p w14:paraId="001000D8" w14:textId="001000D9">
            <w:r>
              <w:t xml:space="preserve">High</w:t>
            </w:r>
          </w:p>
        </w:tc>
      </w:tr>
      <w:tr>
        <w:trPr/>
        <w:tc>
          <w:p w14:paraId="001000DA" w14:textId="001000DB">
            <w:r>
              <w:t xml:space="preserve">75 – 100</w:t>
            </w:r>
          </w:p>
        </w:tc>
        <w:tc>
          <w:p w14:paraId="001000DC" w14:textId="001000DD">
            <w:r>
              <w:t xml:space="preserve">Critical</w:t>
            </w:r>
          </w:p>
        </w:tc>
      </w:tr>
    </w:tbl>
    <w:p w14:paraId="001000DE" w14:textId="001000DF">
      <w:pPr>
        <w:pStyle w:val="Heading1"/>
        <w:spacing w:before="360" w:after="120"/>
      </w:pPr>
      <w:r>
        <w:rPr>
          <w:b/>
          <w:sz w:val="32"/>
        </w:rPr>
        <w:t xml:space="preserve">6. Data Grouping and Summarisation</w:t>
      </w:r>
    </w:p>
    <w:p w14:paraId="001000E0" w14:textId="001000E1">
      <w:pPr>
        <w:spacing w:after="120"/>
      </w:pPr>
      <w:r>
        <w:rPr>
          <w:sz w:val="22"/>
        </w:rPr>
        <w:t xml:space="preserve">The analytics module (utils/analytics.py) provides multiple aggregation functions:</w:t>
      </w:r>
    </w:p>
    <w:p w14:paraId="001000E2" w14:textId="001000E3">
      <w:pPr>
        <w:spacing w:after="80"/>
      </w:pPr>
      <w:r>
        <w:rPr>
          <w:sz w:val="22"/>
        </w:rPr>
        <w:t xml:space="preserve">Per-Ticker Summary: Aggregates all trading days for each ticker, computing total trading days, average/min/max close price, total and average volume, total dividends, average and worst drawdown, average and maximum risk score, and dominant risk category.</w:t>
      </w:r>
    </w:p>
    <w:p w14:paraId="001000E4" w14:textId="001000E5">
      <w:pPr>
        <w:spacing w:after="80"/>
      </w:pPr>
      <w:r>
        <w:rPr>
          <w:sz w:val="22"/>
        </w:rPr>
        <w:t xml:space="preserve">Annual Aggregation: Groups all records by calendar year to show yearly average close price, total volume, average volatility, average daily return, average risk score, and the number of unique tickers active that year.</w:t>
      </w:r>
    </w:p>
    <w:p w14:paraId="001000E6" w14:textId="001000E7">
      <w:pPr>
        <w:spacing w:after="80"/>
      </w:pPr>
      <w:r>
        <w:rPr>
          <w:sz w:val="22"/>
        </w:rPr>
        <w:t xml:space="preserve">Monthly Aggregation: Provides month-level granularity for trend analysis, with optional filtering to a single ticker.</w:t>
      </w:r>
    </w:p>
    <w:p w14:paraId="001000E8" w14:textId="001000E9">
      <w:pPr>
        <w:spacing w:after="80"/>
      </w:pPr>
      <w:r>
        <w:rPr>
          <w:sz w:val="22"/>
        </w:rPr>
        <w:t xml:space="preserve">Volatility Buckets: Classifies tickers into five volatility ranges (Very Low to Extreme) and reports count and average risk score per bucket.</w:t>
      </w:r>
    </w:p>
    <w:p w14:paraId="001000EA" w14:textId="001000EB">
      <w:pPr>
        <w:spacing w:after="240"/>
      </w:pPr>
      <w:r>
        <w:rPr>
          <w:sz w:val="22"/>
        </w:rPr>
        <w:t xml:space="preserve">Risk Distribution: Counts and percentages of trading-day observations falling into each of the four risk categories.</w:t>
      </w:r>
    </w:p>
    <w:p w14:paraId="001000EC" w14:textId="001000ED">
      <w:pPr>
        <w:pStyle w:val="Heading1"/>
        <w:spacing w:before="360" w:after="120"/>
      </w:pPr>
      <w:r>
        <w:rPr>
          <w:b/>
          <w:sz w:val="32"/>
        </w:rPr>
        <w:t xml:space="preserve">7. Visualisations</w:t>
      </w:r>
    </w:p>
    <w:p w14:paraId="001000EE" w14:textId="001000EF">
      <w:pPr>
        <w:spacing w:after="120"/>
      </w:pPr>
      <w:r>
        <w:rPr>
          <w:sz w:val="22"/>
        </w:rPr>
        <w:t xml:space="preserve">All charts are built using Plotly and rendered interactively in the Streamlit dashboard. The following 14 visualisations are included: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F0" w14:textId="001000F1">
            <w:r>
              <w:t xml:space="preserve">#</w:t>
            </w:r>
          </w:p>
        </w:tc>
        <w:tc>
          <w:p w14:paraId="001000F2" w14:textId="001000F3">
            <w:r>
              <w:t xml:space="preserve">Chart Name</w:t>
            </w:r>
          </w:p>
        </w:tc>
      </w:tr>
      <w:tr>
        <w:trPr/>
        <w:tc>
          <w:p w14:paraId="001000F4" w14:textId="001000F5">
            <w:r>
              <w:t xml:space="preserve">1</w:t>
            </w:r>
          </w:p>
        </w:tc>
        <w:tc>
          <w:p w14:paraId="001000F6" w14:textId="001000F7">
            <w:r>
              <w:t xml:space="preserve">Risk Score Histogram – frequency distribution of Default Risk Scores across all records</w:t>
            </w:r>
          </w:p>
        </w:tc>
      </w:tr>
      <w:tr>
        <w:trPr/>
        <w:tc>
          <w:p w14:paraId="001000F8" w14:textId="001000F9">
            <w:r>
              <w:t xml:space="preserve">2</w:t>
            </w:r>
          </w:p>
        </w:tc>
        <w:tc>
          <w:p w14:paraId="001000FA" w14:textId="001000FB">
            <w:r>
              <w:t xml:space="preserve">Risk Category Pie Chart – proportion of observations in Low / Medium / High / Critical categories</w:t>
            </w:r>
          </w:p>
        </w:tc>
      </w:tr>
      <w:tr>
        <w:trPr/>
        <w:tc>
          <w:p w14:paraId="001000FC" w14:textId="001000FD">
            <w:r>
              <w:t xml:space="preserve">3</w:t>
            </w:r>
          </w:p>
        </w:tc>
        <w:tc>
          <w:p w14:paraId="001000FE" w14:textId="001000FF">
            <w:r>
              <w:t xml:space="preserve">Top 10 Risky Tickers Bar Chart – tickers with highest average Default Risk Score</w:t>
            </w:r>
          </w:p>
        </w:tc>
      </w:tr>
      <w:tr>
        <w:trPr/>
        <w:tc>
          <w:p w14:paraId="00100100" w14:textId="00100101">
            <w:r>
              <w:t xml:space="preserve">4</w:t>
            </w:r>
          </w:p>
        </w:tc>
        <w:tc>
          <w:p w14:paraId="00100102" w14:textId="00100103">
            <w:r>
              <w:t xml:space="preserve">Top 10 Safest Tickers Bar Chart – tickers with lowest average Default Risk Score</w:t>
            </w:r>
          </w:p>
        </w:tc>
      </w:tr>
      <w:tr>
        <w:trPr/>
        <w:tc>
          <w:p w14:paraId="00100104" w14:textId="00100105">
            <w:r>
              <w:t xml:space="preserve">5</w:t>
            </w:r>
          </w:p>
        </w:tc>
        <w:tc>
          <w:p w14:paraId="00100106" w14:textId="00100107">
            <w:r>
              <w:t xml:space="preserve">Annual Risk &amp; Volatility Dual-Axis Line – year-on-year average risk score and volatility</w:t>
            </w:r>
          </w:p>
        </w:tc>
      </w:tr>
      <w:tr>
        <w:trPr/>
        <w:tc>
          <w:p w14:paraId="00100108" w14:textId="00100109">
            <w:r>
              <w:t xml:space="preserve">6</w:t>
            </w:r>
          </w:p>
        </w:tc>
        <w:tc>
          <w:p w14:paraId="0010010A" w14:textId="0010010B">
            <w:r>
              <w:t xml:space="preserve">Annual Total Volume Bar – yearly trading volume across all tickers</w:t>
            </w:r>
          </w:p>
        </w:tc>
      </w:tr>
      <w:tr>
        <w:trPr/>
        <w:tc>
          <w:p w14:paraId="0010010C" w14:textId="0010010D">
            <w:r>
              <w:t xml:space="preserve">7</w:t>
            </w:r>
          </w:p>
        </w:tc>
        <w:tc>
          <w:p w14:paraId="0010010E" w14:textId="0010010F">
            <w:r>
              <w:t xml:space="preserve">Price &amp; Volume History – per-ticker OHLCV chart with coloured volume bars</w:t>
            </w:r>
          </w:p>
        </w:tc>
      </w:tr>
      <w:tr>
        <w:trPr/>
        <w:tc>
          <w:p w14:paraId="00100110" w14:textId="00100111">
            <w:r>
              <w:t xml:space="preserve">8</w:t>
            </w:r>
          </w:p>
        </w:tc>
        <w:tc>
          <w:p w14:paraId="00100112" w14:textId="00100113">
            <w:r>
              <w:t xml:space="preserve">Risk Score Over Time – per-ticker risk score evolution with threshold reference lines</w:t>
            </w:r>
          </w:p>
        </w:tc>
      </w:tr>
      <w:tr>
        <w:trPr/>
        <w:tc>
          <w:p w14:paraId="00100114" w14:textId="00100115">
            <w:r>
              <w:t xml:space="preserve">9</w:t>
            </w:r>
          </w:p>
        </w:tc>
        <w:tc>
          <w:p w14:paraId="00100116" w14:textId="00100117">
            <w:r>
              <w:t xml:space="preserve">Volatility vs Drawdown Scatter – bubble chart coloured by risk category</w:t>
            </w:r>
          </w:p>
        </w:tc>
      </w:tr>
      <w:tr>
        <w:trPr/>
        <w:tc>
          <w:p w14:paraId="00100118" w14:textId="00100119">
            <w:r>
              <w:t xml:space="preserve">10</w:t>
            </w:r>
          </w:p>
        </w:tc>
        <w:tc>
          <w:p w14:paraId="0010011A" w14:textId="0010011B">
            <w:r>
              <w:t xml:space="preserve">Volatility Bucket Bar Chart – ticker count per volatility range with risk colour scale</w:t>
            </w:r>
          </w:p>
        </w:tc>
      </w:tr>
      <w:tr>
        <w:trPr/>
        <w:tc>
          <w:p w14:paraId="0010011C" w14:textId="0010011D">
            <w:r>
              <w:t xml:space="preserve">11</w:t>
            </w:r>
          </w:p>
        </w:tc>
        <w:tc>
          <w:p w14:paraId="0010011E" w14:textId="0010011F">
            <w:r>
              <w:t xml:space="preserve">RSI Distribution Histogram – RSI-14 distribution with overbought/oversold markers</w:t>
            </w:r>
          </w:p>
        </w:tc>
      </w:tr>
      <w:tr>
        <w:trPr/>
        <w:tc>
          <w:p w14:paraId="00100120" w14:textId="00100121">
            <w:r>
              <w:t xml:space="preserve">12</w:t>
            </w:r>
          </w:p>
        </w:tc>
        <w:tc>
          <w:p w14:paraId="00100122" w14:textId="00100123">
            <w:r>
              <w:t xml:space="preserve">Correlation Heatmap – Pearson correlations between risk metrics</w:t>
            </w:r>
          </w:p>
        </w:tc>
      </w:tr>
      <w:tr>
        <w:trPr/>
        <w:tc>
          <w:p w14:paraId="00100124" w14:textId="00100125">
            <w:r>
              <w:t xml:space="preserve">13</w:t>
            </w:r>
          </w:p>
        </w:tc>
        <w:tc>
          <w:p w14:paraId="00100126" w14:textId="00100127">
            <w:r>
              <w:t xml:space="preserve">Monthly Risk Trend – dual-axis monthly average risk score and volatility</w:t>
            </w:r>
          </w:p>
        </w:tc>
      </w:tr>
      <w:tr>
        <w:trPr/>
        <w:tc>
          <w:p w14:paraId="00100128" w14:textId="00100129">
            <w:r>
              <w:t xml:space="preserve">14</w:t>
            </w:r>
          </w:p>
        </w:tc>
        <w:tc>
          <w:p w14:paraId="0010012A" w14:textId="0010012B">
            <w:r>
              <w:t xml:space="preserve">Drawdown Over Time – per-ticker filled area chart showing peak-to-trough decline</w:t>
            </w:r>
          </w:p>
        </w:tc>
      </w:tr>
    </w:tbl>
    <w:p w14:paraId="0010012C" w14:textId="0010012D">
      <w:pPr>
        <w:pStyle w:val="Heading1"/>
        <w:spacing w:before="360" w:after="120"/>
      </w:pPr>
      <w:r>
        <w:rPr>
          <w:b/>
          <w:sz w:val="32"/>
        </w:rPr>
        <w:t xml:space="preserve">8. Streamlit Frontend</w:t>
      </w:r>
    </w:p>
    <w:p w14:paraId="0010012E" w14:textId="0010012F">
      <w:pPr>
        <w:spacing w:after="120"/>
      </w:pPr>
      <w:r>
        <w:rPr>
          <w:sz w:val="22"/>
        </w:rPr>
        <w:t xml:space="preserve">The dashboard is implemented in financial_default_risk/app.py and consists of seven navigation pages accessible from the left sidebar:</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0" w14:textId="00100131">
            <w:r>
              <w:t xml:space="preserve">Page</w:t>
            </w:r>
          </w:p>
        </w:tc>
        <w:tc>
          <w:p w14:paraId="00100132" w14:textId="00100133">
            <w:r>
              <w:t xml:space="preserve">Description</w:t>
            </w:r>
          </w:p>
        </w:tc>
      </w:tr>
      <w:tr>
        <w:trPr/>
        <w:tc>
          <w:p w14:paraId="00100134" w14:textId="00100135">
            <w:r>
              <w:t xml:space="preserve">🏠 Overview</w:t>
            </w:r>
          </w:p>
        </w:tc>
        <w:tc>
          <w:p w14:paraId="00100136" w14:textId="00100137">
            <w:r>
              <w:t xml:space="preserve">KPI metric cards, risk score histogram, risk category pie chart, full per-ticker summary table</w:t>
            </w:r>
          </w:p>
        </w:tc>
      </w:tr>
      <w:tr>
        <w:trPr/>
        <w:tc>
          <w:p w14:paraId="00100138" w14:textId="00100139">
            <w:r>
              <w:t xml:space="preserve">🧹 Data Quality</w:t>
            </w:r>
          </w:p>
        </w:tc>
        <w:tc>
          <w:p w14:paraId="0010013A" w14:textId="0010013B">
            <w:r>
              <w:t xml:space="preserve">Validation report with null counts, duplicate counts, data issue flags, cleaning steps, raw sample</w:t>
            </w:r>
          </w:p>
        </w:tc>
      </w:tr>
      <w:tr>
        <w:trPr/>
        <w:tc>
          <w:p w14:paraId="0010013C" w14:textId="0010013D">
            <w:r>
              <w:t xml:space="preserve">📈 Risk Dashboard</w:t>
            </w:r>
          </w:p>
        </w:tc>
        <w:tc>
          <w:p w14:paraId="0010013E" w14:textId="0010013F">
            <w:r>
              <w:t xml:space="preserve">Scatter, volatility buckets, RSI histogram, correlation heatmap, annual trend lines and volume bar</w:t>
            </w:r>
          </w:p>
        </w:tc>
      </w:tr>
      <w:tr>
        <w:trPr/>
        <w:tc>
          <w:p w14:paraId="00100140" w14:textId="00100141">
            <w:r>
              <w:t xml:space="preserve">🏆 Top Risky &amp; Safe</w:t>
            </w:r>
          </w:p>
        </w:tc>
        <w:tc>
          <w:p w14:paraId="00100142" w14:textId="00100143">
            <w:r>
              <w:t xml:space="preserve">Side-by-side bar charts and formatted tables for top 10 highest and lowest risk tickers</w:t>
            </w:r>
          </w:p>
        </w:tc>
      </w:tr>
      <w:tr>
        <w:trPr/>
        <w:tc>
          <w:p w14:paraId="00100144" w14:textId="00100145">
            <w:r>
              <w:t xml:space="preserve">📅 Time Series</w:t>
            </w:r>
          </w:p>
        </w:tc>
        <w:tc>
          <w:p w14:paraId="00100146" w14:textId="00100147">
            <w:r>
              <w:t xml:space="preserve">Year-range slider, monthly risk trend, annual risk/volatility, annual volume, monthly summary table</w:t>
            </w:r>
          </w:p>
        </w:tc>
      </w:tr>
      <w:tr>
        <w:trPr/>
        <w:tc>
          <w:p w14:paraId="00100148" w14:textId="00100149">
            <w:r>
              <w:t xml:space="preserve">🔍 Ticker Deep Dive</w:t>
            </w:r>
          </w:p>
        </w:tc>
        <w:tc>
          <w:p w14:paraId="0010014A" w14:textId="0010014B">
            <w:r>
              <w:t xml:space="preserve">Per-ticker KPIs, price/volume history, risk over time, drawdown chart, raw daily data table</w:t>
            </w:r>
          </w:p>
        </w:tc>
      </w:tr>
      <w:tr>
        <w:trPr/>
        <w:tc>
          <w:p w14:paraId="0010014C" w14:textId="0010014D">
            <w:r>
              <w:t xml:space="preserve">💡 Business Insights</w:t>
            </w:r>
          </w:p>
        </w:tc>
        <w:tc>
          <w:p w14:paraId="0010014E" w14:textId="0010014F">
            <w:r>
              <w:t xml:space="preserve">Auto-generated insights with severity coding, risk-return scatter, dividend comparison, decision matrix</w:t>
            </w:r>
          </w:p>
        </w:tc>
      </w:tr>
    </w:tbl>
    <w:p w14:paraId="00100150" w14:textId="00100151">
      <w:pPr>
        <w:spacing w:before="160" w:after="240"/>
      </w:pPr>
      <w:r>
        <w:rPr>
          <w:sz w:val="22"/>
        </w:rPr>
        <w:t xml:space="preserve">The UI uses st.cache_data for both data loading and analytics computation, ensuring fast page transitions. Custom CSS provides styled metric cards, insight cards with severity-based colour coding, and clean section headers.</w:t>
      </w:r>
    </w:p>
    <w:p w14:paraId="00100152" w14:textId="00100153">
      <w:pPr>
        <w:pStyle w:val="Heading1"/>
        <w:spacing w:before="360" w:after="120"/>
      </w:pPr>
      <w:r>
        <w:rPr>
          <w:b/>
          <w:sz w:val="32"/>
        </w:rPr>
        <w:t xml:space="preserve">9. Business Decision Insights</w:t>
      </w:r>
    </w:p>
    <w:p w14:paraId="00100154" w14:textId="00100155">
      <w:pPr>
        <w:spacing w:after="120"/>
      </w:pPr>
      <w:r>
        <w:rPr>
          <w:sz w:val="22"/>
        </w:rPr>
        <w:t xml:space="preserve">The generate_business_insights() function automatically produces actionable findings from the data:</w:t>
      </w:r>
    </w:p>
    <w:p w14:paraId="00100156" w14:textId="00100157">
      <w:pPr>
        <w:spacing w:after="80"/>
      </w:pPr>
      <w:r>
        <w:rPr>
          <w:sz w:val="22"/>
        </w:rPr>
        <w:t xml:space="preserve">Critical Default Risk Tickers: Identifies stocks with a persistently Critical risk category and recommends immediate portfolio review or exit.</w:t>
      </w:r>
    </w:p>
    <w:p w14:paraId="00100158" w14:textId="00100159">
      <w:pPr>
        <w:spacing w:after="80"/>
      </w:pPr>
      <w:r>
        <w:rPr>
          <w:sz w:val="22"/>
        </w:rPr>
        <w:t xml:space="preserve">High Volatility Securities: Flags tickers with average 30-day volatility above 3% and recommends tighter stop-loss thresholds and reduced position sizing.</w:t>
      </w:r>
    </w:p>
    <w:p w14:paraId="0010015A" w14:textId="0010015B">
      <w:pPr>
        <w:spacing w:after="80"/>
      </w:pPr>
      <w:r>
        <w:rPr>
          <w:sz w:val="22"/>
        </w:rPr>
        <w:t xml:space="preserve">Severe Historical Drawdowns: Highlights stocks with worst drawdowns below −40%, recommending fundamental analysis to distinguish value traps from recovery plays.</w:t>
      </w:r>
    </w:p>
    <w:p w14:paraId="0010015C" w14:textId="0010015D">
      <w:pPr>
        <w:spacing w:after="80"/>
      </w:pPr>
      <w:r>
        <w:rPr>
          <w:sz w:val="22"/>
        </w:rPr>
        <w:t xml:space="preserve">Consistent Positive Performers: Identifies stocks averaging daily returns above 0.05% for potential overweighting in growth portfolios.</w:t>
      </w:r>
    </w:p>
    <w:p w14:paraId="0010015E" w14:textId="0010015F">
      <w:pPr>
        <w:spacing w:after="80"/>
      </w:pPr>
      <w:r>
        <w:rPr>
          <w:sz w:val="22"/>
        </w:rPr>
        <w:t xml:space="preserve">Defensive Stocks: Detects low-risk, low-return securities suitable as capital preservation instruments.</w:t>
      </w:r>
    </w:p>
    <w:p w14:paraId="00100160" w14:textId="00100161">
      <w:pPr>
        <w:spacing w:after="160"/>
      </w:pPr>
      <w:r>
        <w:rPr>
          <w:sz w:val="22"/>
        </w:rPr>
        <w:t xml:space="preserve">Abnormal Volume Spikes: Alerts on tickers with volume more than 5× their 20-day average, a precursor to volatility.</w:t>
      </w:r>
    </w:p>
    <w:p w14:paraId="00100162" w14:textId="00100163">
      <w:pPr>
        <w:pStyle w:val="Heading2"/>
        <w:spacing w:after="80"/>
      </w:pPr>
      <w:r>
        <w:rPr>
          <w:b/>
          <w:sz w:val="26"/>
        </w:rPr>
        <w:t xml:space="preserve">9.1 Portfolio Decision Matrix</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64" w14:textId="00100165">
            <w:r>
              <w:t xml:space="preserve">Risk Category</w:t>
            </w:r>
          </w:p>
        </w:tc>
        <w:tc>
          <w:p w14:paraId="00100166" w14:textId="00100167">
            <w:r>
              <w:t xml:space="preserve">Signal</w:t>
            </w:r>
          </w:p>
        </w:tc>
        <w:tc>
          <w:p w14:paraId="00100168" w14:textId="00100169">
            <w:r>
              <w:t xml:space="preserve">Recommended Action</w:t>
            </w:r>
          </w:p>
        </w:tc>
        <w:tc>
          <w:p w14:paraId="0010016A" w14:textId="0010016B">
            <w:r>
              <w:t xml:space="preserve">Review Frequency</w:t>
            </w:r>
          </w:p>
        </w:tc>
      </w:tr>
      <w:tr>
        <w:trPr/>
        <w:tc>
          <w:p w14:paraId="0010016C" w14:textId="0010016D">
            <w:r>
              <w:t xml:space="preserve">Low (0–25)</w:t>
            </w:r>
          </w:p>
        </w:tc>
        <w:tc>
          <w:p w14:paraId="0010016E" w14:textId="0010016F">
            <w:r>
              <w:t xml:space="preserve">Buy / Hold</w:t>
            </w:r>
          </w:p>
        </w:tc>
        <w:tc>
          <w:p w14:paraId="00100170" w14:textId="00100171">
            <w:r>
              <w:t xml:space="preserve">Overweight in defensive portfolios; suitable for income investors</w:t>
            </w:r>
          </w:p>
        </w:tc>
        <w:tc>
          <w:p w14:paraId="00100172" w14:textId="00100173">
            <w:r>
              <w:t xml:space="preserve">Quarterly</w:t>
            </w:r>
          </w:p>
        </w:tc>
      </w:tr>
      <w:tr>
        <w:trPr/>
        <w:tc>
          <w:p w14:paraId="00100174" w14:textId="00100175">
            <w:r>
              <w:t xml:space="preserve">Medium (25–50)</w:t>
            </w:r>
          </w:p>
        </w:tc>
        <w:tc>
          <w:p w14:paraId="00100176" w14:textId="00100177">
            <w:r>
              <w:t xml:space="preserve">Monitor</w:t>
            </w:r>
          </w:p>
        </w:tc>
        <w:tc>
          <w:p w14:paraId="00100178" w14:textId="00100179">
            <w:r>
              <w:t xml:space="preserve">Maintain current exposure; set trailing stop-loss at 10%</w:t>
            </w:r>
          </w:p>
        </w:tc>
        <w:tc>
          <w:p w14:paraId="0010017A" w14:textId="0010017B">
            <w:r>
              <w:t xml:space="preserve">Monthly</w:t>
            </w:r>
          </w:p>
        </w:tc>
      </w:tr>
      <w:tr>
        <w:trPr/>
        <w:tc>
          <w:p w14:paraId="0010017C" w14:textId="0010017D">
            <w:r>
              <w:t xml:space="preserve">High (50–75)</w:t>
            </w:r>
          </w:p>
        </w:tc>
        <w:tc>
          <w:p w14:paraId="0010017E" w14:textId="0010017F">
            <w:r>
              <w:t xml:space="preserve">Reduce Position</w:t>
            </w:r>
          </w:p>
        </w:tc>
        <w:tc>
          <w:p w14:paraId="00100180" w14:textId="00100181">
            <w:r>
              <w:t xml:space="preserve">Trim by 30–50%; review fundamentals; hedge with inverse ETF</w:t>
            </w:r>
          </w:p>
        </w:tc>
        <w:tc>
          <w:p w14:paraId="00100182" w14:textId="00100183">
            <w:r>
              <w:t xml:space="preserve">Weekly</w:t>
            </w:r>
          </w:p>
        </w:tc>
      </w:tr>
      <w:tr>
        <w:trPr/>
        <w:tc>
          <w:p w14:paraId="00100184" w14:textId="00100185">
            <w:r>
              <w:t xml:space="preserve">Critical (75–100)</w:t>
            </w:r>
          </w:p>
        </w:tc>
        <w:tc>
          <w:p w14:paraId="00100186" w14:textId="00100187">
            <w:r>
              <w:t xml:space="preserve">Exit / Avoid</w:t>
            </w:r>
          </w:p>
        </w:tc>
        <w:tc>
          <w:p w14:paraId="00100188" w14:textId="00100189">
            <w:r>
              <w:t xml:space="preserve">Exit immediately; do not average down; quarantine from new capital</w:t>
            </w:r>
          </w:p>
        </w:tc>
        <w:tc>
          <w:p w14:paraId="0010018A" w14:textId="0010018B">
            <w:r>
              <w:t xml:space="preserve">Daily</w:t>
            </w:r>
          </w:p>
        </w:tc>
      </w:tr>
    </w:tbl>
    <w:p w14:paraId="0010018C" w14:textId="0010018D">
      <w:pPr>
        <w:pStyle w:val="Heading1"/>
        <w:spacing w:before="360" w:after="120"/>
      </w:pPr>
      <w:r>
        <w:rPr>
          <w:b/>
          <w:sz w:val="32"/>
        </w:rPr>
        <w:t xml:space="preserve">10. Project Structure</w:t>
      </w:r>
    </w:p>
    <w:p w14:paraId="0010018E" w14:textId="0010018F">
      <w:pPr>
        <w:spacing w:after="40"/>
      </w:pPr>
      <w:r>
        <w:rPr>
          <w:b/>
          <w:sz w:val="22"/>
        </w:rPr>
        <w:t xml:space="preserve">IBM2/</w:t>
      </w:r>
    </w:p>
    <w:p w14:paraId="00100190" w14:textId="00100191">
      <w:pPr>
        <w:spacing w:after="40"/>
      </w:pPr>
      <w:r>
        <w:rPr>
          <w:sz w:val="20"/>
        </w:rPr>
        <w:t xml:space="preserve">├── master_stock_data.csv              # Raw dataset</w:t>
      </w:r>
    </w:p>
    <w:p w14:paraId="00100192" w14:textId="00100193">
      <w:pPr>
        <w:spacing w:after="40"/>
      </w:pPr>
      <w:r>
        <w:rPr>
          <w:sz w:val="20"/>
        </w:rPr>
        <w:t xml:space="preserve">└── financial_default_risk/</w:t>
      </w:r>
    </w:p>
    <w:p w14:paraId="00100194" w14:textId="00100195">
      <w:pPr>
        <w:spacing w:after="40"/>
      </w:pPr>
      <w:r>
        <w:rPr>
          <w:sz w:val="20"/>
        </w:rPr>
        <w:t xml:space="preserve">    ├── app.py                         # Streamlit entry point</w:t>
      </w:r>
    </w:p>
    <w:p w14:paraId="00100196" w14:textId="00100197">
      <w:pPr>
        <w:spacing w:after="40"/>
      </w:pPr>
      <w:r>
        <w:rPr>
          <w:sz w:val="20"/>
        </w:rPr>
        <w:t xml:space="preserve">    ├── README.md                      # Project documentation</w:t>
      </w:r>
    </w:p>
    <w:p w14:paraId="00100198" w14:textId="00100199">
      <w:pPr>
        <w:spacing w:after="40"/>
      </w:pPr>
      <w:r>
        <w:rPr>
          <w:sz w:val="20"/>
        </w:rPr>
        <w:t xml:space="preserve">    ├── requirements.txt               # Python dependencies</w:t>
      </w:r>
    </w:p>
    <w:p w14:paraId="0010019A" w14:textId="0010019B">
      <w:pPr>
        <w:spacing w:after="40"/>
      </w:pPr>
      <w:r>
        <w:rPr>
          <w:sz w:val="20"/>
        </w:rPr>
        <w:t xml:space="preserve">    ├── Financial_Default_Risk_Report.docx</w:t>
      </w:r>
    </w:p>
    <w:p w14:paraId="0010019C" w14:textId="0010019D">
      <w:pPr>
        <w:spacing w:after="40"/>
      </w:pPr>
      <w:r>
        <w:rPr>
          <w:sz w:val="20"/>
        </w:rPr>
        <w:t xml:space="preserve">    └── utils/</w:t>
      </w:r>
    </w:p>
    <w:p w14:paraId="0010019E" w14:textId="0010019F">
      <w:pPr>
        <w:spacing w:after="40"/>
      </w:pPr>
      <w:r>
        <w:rPr>
          <w:sz w:val="20"/>
        </w:rPr>
        <w:t xml:space="preserve">        ├── __init__.py</w:t>
      </w:r>
    </w:p>
    <w:p w14:paraId="001001A0" w14:textId="001001A1">
      <w:pPr>
        <w:spacing w:after="40"/>
      </w:pPr>
      <w:r>
        <w:rPr>
          <w:sz w:val="20"/>
        </w:rPr>
        <w:t xml:space="preserve">        ├── data_loader.py             # Load, validate, clean, engineer</w:t>
      </w:r>
    </w:p>
    <w:p w14:paraId="001001A2" w14:textId="001001A3">
      <w:pPr>
        <w:spacing w:after="40"/>
      </w:pPr>
      <w:r>
        <w:rPr>
          <w:sz w:val="20"/>
        </w:rPr>
        <w:t xml:space="preserve">        ├── analytics.py               # Grouping, KPIs, insights</w:t>
      </w:r>
    </w:p>
    <w:p w14:paraId="001001A4" w14:textId="001001A5">
      <w:pPr>
        <w:spacing w:after="240"/>
      </w:pPr>
      <w:r>
        <w:rPr>
          <w:sz w:val="20"/>
        </w:rPr>
        <w:t xml:space="preserve">        └── visualizations.py          # Plotly chart functions</w:t>
      </w:r>
    </w:p>
    <w:p w14:paraId="001001A6" w14:textId="001001A7">
      <w:pPr>
        <w:pStyle w:val="Heading1"/>
        <w:spacing w:before="360" w:after="120"/>
      </w:pPr>
      <w:r>
        <w:rPr>
          <w:b/>
          <w:sz w:val="32"/>
        </w:rPr>
        <w:t xml:space="preserve">11. How to Run</w:t>
      </w:r>
    </w:p>
    <w:p w14:paraId="001001A8" w14:textId="001001A9">
      <w:pPr>
        <w:pStyle w:val="Heading2"/>
        <w:spacing w:after="80"/>
      </w:pPr>
      <w:r>
        <w:rPr>
          <w:b/>
          <w:sz w:val="26"/>
        </w:rPr>
        <w:t xml:space="preserve">Step 1 – Install dependencies</w:t>
      </w:r>
    </w:p>
    <w:p w14:paraId="001001AA" w14:textId="001001AB">
      <w:pPr>
        <w:spacing w:after="160"/>
      </w:pPr>
      <w:r>
        <w:rPr>
          <w:sz w:val="22"/>
        </w:rPr>
        <w:t xml:space="preserve">pip install -r financial_default_risk/requirements.txt</w:t>
      </w:r>
    </w:p>
    <w:p w14:paraId="001001AC" w14:textId="001001AD">
      <w:pPr>
        <w:pStyle w:val="Heading2"/>
        <w:spacing w:after="80"/>
      </w:pPr>
      <w:r>
        <w:rPr>
          <w:b/>
          <w:sz w:val="26"/>
        </w:rPr>
        <w:t xml:space="preserve">Step 2 – Launch the Streamlit app</w:t>
      </w:r>
    </w:p>
    <w:p w14:paraId="001001AE" w14:textId="001001AF">
      <w:pPr>
        <w:spacing w:after="160"/>
      </w:pPr>
      <w:r>
        <w:rPr>
          <w:sz w:val="22"/>
        </w:rPr>
        <w:t xml:space="preserve">streamlit run financial_default_risk/app.py</w:t>
      </w:r>
    </w:p>
    <w:p w14:paraId="001001B0" w14:textId="001001B1">
      <w:pPr>
        <w:pStyle w:val="Heading2"/>
        <w:spacing w:after="80"/>
      </w:pPr>
      <w:r>
        <w:rPr>
          <w:b/>
          <w:sz w:val="26"/>
        </w:rPr>
        <w:t xml:space="preserve">Step 3 – Open your browser</w:t>
      </w:r>
    </w:p>
    <w:p w14:paraId="001001B2" w14:textId="001001B3">
      <w:pPr>
        <w:spacing w:after="240"/>
      </w:pPr>
      <w:r>
        <w:rPr>
          <w:sz w:val="22"/>
        </w:rPr>
        <w:t xml:space="preserve">Navigate to http://localhost:8501. Use the sidebar to navigate between pages. The dataset path can be adjusted in the sidebar text input if the CSV is in a different location.</w:t>
      </w:r>
    </w:p>
    <w:p w14:paraId="001001B4" w14:textId="001001B5">
      <w:pPr>
        <w:pStyle w:val="Heading1"/>
        <w:spacing w:before="360" w:after="120"/>
      </w:pPr>
      <w:r>
        <w:rPr>
          <w:b/>
          <w:sz w:val="32"/>
        </w:rPr>
        <w:t xml:space="preserve">12.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6" w14:textId="001001B7">
            <w:r>
              <w:t xml:space="preserve">Technology</w:t>
            </w:r>
          </w:p>
        </w:tc>
        <w:tc>
          <w:p w14:paraId="001001B8" w14:textId="001001B9">
            <w:r>
              <w:t xml:space="preserve">Version</w:t>
            </w:r>
          </w:p>
        </w:tc>
        <w:tc>
          <w:p w14:paraId="001001BA" w14:textId="001001BB">
            <w:r>
              <w:t xml:space="preserve">Purpose</w:t>
            </w:r>
          </w:p>
        </w:tc>
      </w:tr>
      <w:tr>
        <w:trPr/>
        <w:tc>
          <w:p w14:paraId="001001BC" w14:textId="001001BD">
            <w:r>
              <w:t xml:space="preserve">Python</w:t>
            </w:r>
          </w:p>
        </w:tc>
        <w:tc>
          <w:p w14:paraId="001001BE" w14:textId="001001BF">
            <w:r>
              <w:t xml:space="preserve">3.9+</w:t>
            </w:r>
          </w:p>
        </w:tc>
        <w:tc>
          <w:p w14:paraId="001001C0" w14:textId="001001C1">
            <w:r>
              <w:t xml:space="preserve">Core programming language</w:t>
            </w:r>
          </w:p>
        </w:tc>
      </w:tr>
      <w:tr>
        <w:trPr/>
        <w:tc>
          <w:p w14:paraId="001001C2" w14:textId="001001C3">
            <w:r>
              <w:t xml:space="preserve">pandas</w:t>
            </w:r>
          </w:p>
        </w:tc>
        <w:tc>
          <w:p w14:paraId="001001C4" w14:textId="001001C5">
            <w:r>
              <w:t xml:space="preserve">&gt;=2.0</w:t>
            </w:r>
          </w:p>
        </w:tc>
        <w:tc>
          <w:p w14:paraId="001001C6" w14:textId="001001C7">
            <w:r>
              <w:t xml:space="preserve">Data manipulation, grouping, aggregation</w:t>
            </w:r>
          </w:p>
        </w:tc>
      </w:tr>
      <w:tr>
        <w:trPr/>
        <w:tc>
          <w:p w14:paraId="001001C8" w14:textId="001001C9">
            <w:r>
              <w:t xml:space="preserve">NumPy</w:t>
            </w:r>
          </w:p>
        </w:tc>
        <w:tc>
          <w:p w14:paraId="001001CA" w14:textId="001001CB">
            <w:r>
              <w:t xml:space="preserve">&gt;=1.26</w:t>
            </w:r>
          </w:p>
        </w:tc>
        <w:tc>
          <w:p w14:paraId="001001CC" w14:textId="001001CD">
            <w:r>
              <w:t xml:space="preserve">Numerical computation and array operations</w:t>
            </w:r>
          </w:p>
        </w:tc>
      </w:tr>
      <w:tr>
        <w:trPr/>
        <w:tc>
          <w:p w14:paraId="001001CE" w14:textId="001001CF">
            <w:r>
              <w:t xml:space="preserve">Plotly</w:t>
            </w:r>
          </w:p>
        </w:tc>
        <w:tc>
          <w:p w14:paraId="001001D0" w14:textId="001001D1">
            <w:r>
              <w:t xml:space="preserve">&gt;=5.20</w:t>
            </w:r>
          </w:p>
        </w:tc>
        <w:tc>
          <w:p w14:paraId="001001D2" w14:textId="001001D3">
            <w:r>
              <w:t xml:space="preserve">Interactive chart generation</w:t>
            </w:r>
          </w:p>
        </w:tc>
      </w:tr>
      <w:tr>
        <w:trPr/>
        <w:tc>
          <w:p w14:paraId="001001D4" w14:textId="001001D5">
            <w:r>
              <w:t xml:space="preserve">Streamlit</w:t>
            </w:r>
          </w:p>
        </w:tc>
        <w:tc>
          <w:p w14:paraId="001001D6" w14:textId="001001D7">
            <w:r>
              <w:t xml:space="preserve">&gt;=1.32</w:t>
            </w:r>
          </w:p>
        </w:tc>
        <w:tc>
          <w:p w14:paraId="001001D8" w14:textId="001001D9">
            <w:r>
              <w:t xml:space="preserve">Web-based dashboard and UI framework</w:t>
            </w:r>
          </w:p>
        </w:tc>
      </w:tr>
      <w:tr>
        <w:trPr/>
        <w:tc>
          <w:p w14:paraId="001001DA" w14:textId="001001DB">
            <w:r>
              <w:t xml:space="preserve">python-docx</w:t>
            </w:r>
          </w:p>
        </w:tc>
        <w:tc>
          <w:p w14:paraId="001001DC" w14:textId="001001DD">
            <w:r>
              <w:t xml:space="preserve">&gt;=1.1</w:t>
            </w:r>
          </w:p>
        </w:tc>
        <w:tc>
          <w:p w14:paraId="001001DE" w14:textId="001001DF">
            <w:r>
              <w:t xml:space="preserve">Project report generation in .docx format</w:t>
            </w:r>
          </w:p>
        </w:tc>
      </w:tr>
    </w:tbl>
    <w:p w14:paraId="001001E0" w14:textId="001001E1">
      <w:pPr>
        <w:pStyle w:val="Heading1"/>
        <w:spacing w:before="360" w:after="120"/>
      </w:pPr>
      <w:r>
        <w:rPr>
          <w:b/>
          <w:sz w:val="32"/>
        </w:rPr>
        <w:t xml:space="preserve">13. Limitations and Disclaimer</w:t>
      </w:r>
    </w:p>
    <w:p w14:paraId="001001E2" w14:textId="001001E3">
      <w:pPr>
        <w:spacing w:after="120"/>
      </w:pPr>
      <w:r>
        <w:rPr>
          <w:sz w:val="22"/>
        </w:rPr>
        <w:t xml:space="preserve">This project uses historical market price and volume data only. The Default Risk Score is a statistical proxy derived from technical indicators (volatility, drawdown, RSI, intraday price range). It does not incorporate fundamental financial data such as debt levels, earnings, cash flow, or credit ratings.</w:t>
      </w:r>
    </w:p>
    <w:p w14:paraId="001001E4" w14:textId="001001E5">
      <w:pPr>
        <w:spacing w:after="240"/>
      </w:pPr>
      <w:r>
        <w:rPr>
          <w:sz w:val="22"/>
        </w:rPr>
        <w:t xml:space="preserve">The risk scores and business insights generated by this system are for educational and analytical purposes only. They should not be used as sole criteria for real investment decisions. Past market behaviour is not indicative of future performance. Always consult a qualified financial advisor before making investment decisions.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e28e21de69ee4cb3" /><Relationship Type="http://schemas.openxmlformats.org/officeDocument/2006/relationships/styles" Target="/word/styles.xml" Id="Rdbf313b9afa64d62" /><Relationship Type="http://schemas.openxmlformats.org/officeDocument/2006/relationships/theme" Target="/word/theme/theme1.xml" Id="R3e3fcb642e2449d6" /><Relationship Type="http://schemas.openxmlformats.org/officeDocument/2006/relationships/numbering" Target="/word/numbering.xml" Id="R72aa812ad5b64f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2026-09-24T19:07:03Z</dcterms:created>
  <cp:lastModifiedBy>OfficeCLI</cp:lastModifiedBy>
  <dcterms:modified xsi:type="dcterms:W3CDTF">2026-09-24T19:07:03Z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2026-09-24T19:09:07Z</vt:lpwstr>
  </op:property>
</op:Properties>
</file>