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1696F"/>
          <w:sz w:val="48"/>
          <w:szCs w:val="48"/>
        </w:rPr>
        <w:t xml:space="preserve">CSE0001 – Digital Literacy</w:t>
      </w:r>
    </w:p>
    <w:p>
      <w:pPr>
        <w:spacing w:after="600"/>
        <w:jc w:val="center"/>
      </w:pPr>
      <w:r>
        <w:rPr>
          <w:rFonts w:ascii="Arial" w:cs="Arial" w:eastAsia="Arial" w:hAnsi="Arial"/>
          <w:b/>
          <w:bCs/>
          <w:color w:val="1A2733"/>
          <w:sz w:val="36"/>
          <w:szCs w:val="36"/>
        </w:rPr>
        <w:t xml:space="preserve">Project Report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E8F4F5" w:val="clear"/>
          </w:tcPr>
          <w:p>
            <w:r>
              <w:rPr>
                <w:rFonts w:ascii="Arial" w:cs="Arial" w:eastAsia="Arial" w:hAnsi="Arial"/>
                <w:b/>
                <w:bCs/>
                <w:sz w:val="22"/>
                <w:szCs w:val="22"/>
              </w:rPr>
              <w:t xml:space="preserve">Name</w:t>
            </w:r>
          </w:p>
        </w:tc>
        <w:tc>
          <w:tcPr>
            <w:tcW w:type="dxa" w:w="6000"/>
          </w:tcPr>
          <w:p>
            <w:r>
              <w:rPr>
                <w:rFonts w:ascii="Arial" w:cs="Arial" w:eastAsia="Arial" w:hAnsi="Arial"/>
                <w:sz w:val="22"/>
                <w:szCs w:val="22"/>
              </w:rPr>
              <w:t xml:space="preserve">ADVAIT DHAVALE</w:t>
            </w:r>
          </w:p>
        </w:tc>
      </w:tr>
      <w:tr>
        <w:tc>
          <w:tcPr>
            <w:tcW w:type="dxa" w:w="2500"/>
            <w:shd w:fill="E8F4F5" w:val="clear"/>
          </w:tcPr>
          <w:p>
            <w:r>
              <w:rPr>
                <w:rFonts w:ascii="Arial" w:cs="Arial" w:eastAsia="Arial" w:hAnsi="Arial"/>
                <w:b/>
                <w:bCs/>
                <w:sz w:val="22"/>
                <w:szCs w:val="22"/>
              </w:rPr>
              <w:t xml:space="preserve">Registration No.</w:t>
            </w:r>
          </w:p>
        </w:tc>
        <w:tc>
          <w:tcPr>
            <w:tcW w:type="dxa" w:w="6000"/>
          </w:tcPr>
          <w:p>
            <w:r>
              <w:rPr>
                <w:rFonts w:ascii="Arial" w:cs="Arial" w:eastAsia="Arial" w:hAnsi="Arial"/>
                <w:sz w:val="22"/>
                <w:szCs w:val="22"/>
              </w:rPr>
              <w:t xml:space="preserve">25BCY10174</w:t>
            </w:r>
          </w:p>
        </w:tc>
      </w:tr>
      <w:tr>
        <w:tc>
          <w:tcPr>
            <w:tcW w:type="dxa" w:w="2500"/>
            <w:shd w:fill="E8F4F5" w:val="clear"/>
          </w:tcPr>
          <w:p>
            <w:r>
              <w:rPr>
                <w:rFonts w:ascii="Arial" w:cs="Arial" w:eastAsia="Arial" w:hAnsi="Arial"/>
                <w:b/>
                <w:bCs/>
                <w:sz w:val="22"/>
                <w:szCs w:val="22"/>
              </w:rPr>
              <w:t xml:space="preserve">Branch</w:t>
            </w:r>
          </w:p>
        </w:tc>
        <w:tc>
          <w:tcPr>
            <w:tcW w:type="dxa" w:w="6000"/>
          </w:tcPr>
          <w:p>
            <w:r>
              <w:rPr>
                <w:rFonts w:ascii="Arial" w:cs="Arial" w:eastAsia="Arial" w:hAnsi="Arial"/>
                <w:sz w:val="22"/>
                <w:szCs w:val="22"/>
              </w:rPr>
              <w:t xml:space="preserve">B.Tech – CSE (Cybersecurity)</w:t>
            </w:r>
          </w:p>
        </w:tc>
      </w:tr>
      <w:tr>
        <w:tc>
          <w:tcPr>
            <w:tcW w:type="dxa" w:w="2500"/>
            <w:shd w:fill="E8F4F5" w:val="clear"/>
          </w:tcPr>
          <w:p>
            <w:r>
              <w:rPr>
                <w:rFonts w:ascii="Arial" w:cs="Arial" w:eastAsia="Arial" w:hAnsi="Arial"/>
                <w:b/>
                <w:bCs/>
                <w:sz w:val="22"/>
                <w:szCs w:val="22"/>
              </w:rPr>
              <w:t xml:space="preserve">Year</w:t>
            </w:r>
          </w:p>
        </w:tc>
        <w:tc>
          <w:tcPr>
            <w:tcW w:type="dxa" w:w="6000"/>
          </w:tcPr>
          <w:p>
            <w:r>
              <w:rPr>
                <w:rFonts w:ascii="Arial" w:cs="Arial" w:eastAsia="Arial" w:hAnsi="Arial"/>
                <w:sz w:val="22"/>
                <w:szCs w:val="22"/>
              </w:rPr>
              <w:t xml:space="preserve">First Year</w:t>
            </w:r>
          </w:p>
        </w:tc>
      </w:tr>
      <w:tr>
        <w:tc>
          <w:tcPr>
            <w:tcW w:type="dxa" w:w="2500"/>
            <w:shd w:fill="E8F4F5" w:val="clear"/>
          </w:tcPr>
          <w:p>
            <w:r>
              <w:rPr>
                <w:rFonts w:ascii="Arial" w:cs="Arial" w:eastAsia="Arial" w:hAnsi="Arial"/>
                <w:b/>
                <w:bCs/>
                <w:sz w:val="22"/>
                <w:szCs w:val="22"/>
              </w:rPr>
              <w:t xml:space="preserve">Institution</w:t>
            </w:r>
          </w:p>
        </w:tc>
        <w:tc>
          <w:tcPr>
            <w:tcW w:type="dxa" w:w="6000"/>
          </w:tcPr>
          <w:p>
            <w:r>
              <w:rPr>
                <w:rFonts w:ascii="Arial" w:cs="Arial" w:eastAsia="Arial" w:hAnsi="Arial"/>
                <w:sz w:val="22"/>
                <w:szCs w:val="22"/>
              </w:rPr>
              <w:t xml:space="preserve">VIT Bhopal University</w:t>
            </w:r>
          </w:p>
        </w:tc>
      </w:tr>
      <w:tr>
        <w:tc>
          <w:tcPr>
            <w:tcW w:type="dxa" w:w="2500"/>
            <w:shd w:fill="E8F4F5" w:val="clear"/>
          </w:tcPr>
          <w:p>
            <w:r>
              <w:rPr>
                <w:rFonts w:ascii="Arial" w:cs="Arial" w:eastAsia="Arial" w:hAnsi="Arial"/>
                <w:b/>
                <w:bCs/>
                <w:sz w:val="22"/>
                <w:szCs w:val="22"/>
              </w:rPr>
              <w:t xml:space="preserve">Course Code</w:t>
            </w:r>
          </w:p>
        </w:tc>
        <w:tc>
          <w:tcPr>
            <w:tcW w:type="dxa" w:w="6000"/>
          </w:tcPr>
          <w:p>
            <w:r>
              <w:rPr>
                <w:rFonts w:ascii="Arial" w:cs="Arial" w:eastAsia="Arial" w:hAnsi="Arial"/>
                <w:sz w:val="22"/>
                <w:szCs w:val="22"/>
              </w:rPr>
              <w:t xml:space="preserve">CSE0001 – Digital Literacy</w:t>
            </w:r>
          </w:p>
        </w:tc>
      </w:tr>
      <w:tr>
        <w:tc>
          <w:tcPr>
            <w:tcW w:type="dxa" w:w="2500"/>
            <w:shd w:fill="E8F4F5" w:val="clear"/>
          </w:tcPr>
          <w:p>
            <w:r>
              <w:rPr>
                <w:rFonts w:ascii="Arial" w:cs="Arial" w:eastAsia="Arial" w:hAnsi="Arial"/>
                <w:b/>
                <w:bCs/>
                <w:sz w:val="22"/>
                <w:szCs w:val="22"/>
              </w:rPr>
              <w:t xml:space="preserve">Date</w:t>
            </w:r>
          </w:p>
        </w:tc>
        <w:tc>
          <w:tcPr>
            <w:tcW w:type="dxa" w:w="6000"/>
          </w:tcPr>
          <w:p>
            <w:r>
              <w:rPr>
                <w:rFonts w:ascii="Arial" w:cs="Arial" w:eastAsia="Arial" w:hAnsi="Arial"/>
                <w:sz w:val="22"/>
                <w:szCs w:val="22"/>
              </w:rPr>
              <w:t xml:space="preserve">March 2026</w:t>
            </w:r>
          </w:p>
        </w:tc>
      </w:tr>
    </w:tbl>
    <w:p>
      <w:r>
        <w:br w:type="page"/>
      </w:r>
    </w:p>
    <w:p>
      <w:pPr>
        <w:pStyle w:val="Heading1"/>
        <w:pStyle w:val="Heading1"/>
        <w:spacing w:after="120" w:before="360"/>
        <w:rPr>
          <w:color w:val="01696F"/>
        </w:rPr>
      </w:pPr>
      <w:r>
        <w:t xml:space="preserve">Introduction</w:t>
      </w:r>
    </w:p>
    <w:p>
      <w:pPr>
        <w:pBdr>
          <w:bottom w:val="single" w:color="CCCCCC" w:sz="6"/>
        </w:pBdr>
        <w:spacing w:after="200"/>
      </w:pPr>
    </w:p>
    <w:p>
      <w:pPr>
        <w:spacing w:after="160"/>
        <w:jc w:val="both"/>
      </w:pPr>
      <w:r>
        <w:rPr>
          <w:rFonts w:ascii="Arial" w:cs="Arial" w:eastAsia="Arial" w:hAnsi="Arial"/>
          <w:color w:val="1A2733"/>
          <w:sz w:val="24"/>
          <w:szCs w:val="24"/>
        </w:rPr>
        <w:t xml:space="preserve">This project was completed as part of the CSE0001 – Digital Literacy course at VIT Bhopal University. The assignment places me in the role of a Student Digital Ambassador, responsible for helping batchmates navigate the digital world — from building professional online profiles to staying safe online.</w:t>
      </w:r>
    </w:p>
    <w:p>
      <w:pPr>
        <w:spacing w:after="160"/>
        <w:jc w:val="both"/>
      </w:pPr>
      <w:r>
        <w:rPr>
          <w:rFonts w:ascii="Arial" w:cs="Arial" w:eastAsia="Arial" w:hAnsi="Arial"/>
          <w:color w:val="1A2733"/>
          <w:sz w:val="24"/>
          <w:szCs w:val="24"/>
        </w:rPr>
        <w:t xml:space="preserve">The project is structured around five modules, each addressing a core pillar of digital literacy. Over the course of completing these tasks, I set up professional profiles, created visual resources, practised coding, drafted professional emails, and researched cybercrime. This report documents my work, the tools I used, and the reflections I drew from each task.</w:t>
      </w:r>
    </w:p>
    <w:p>
      <w:pPr>
        <w:spacing w:after="160"/>
        <w:jc w:val="both"/>
      </w:pPr>
      <w:r>
        <w:rPr>
          <w:rFonts w:ascii="Arial" w:cs="Arial" w:eastAsia="Arial" w:hAnsi="Arial"/>
          <w:color w:val="1A2733"/>
          <w:sz w:val="24"/>
          <w:szCs w:val="24"/>
        </w:rPr>
        <w:t xml:space="preserve">Digital literacy is no longer an optional skill for engineering students — it is foundational. The platforms, habits, and communication skills developed in this project will serve me throughout my academic career and beyond.</w:t>
      </w:r>
    </w:p>
    <w:p>
      <w:r>
        <w:br w:type="page"/>
      </w:r>
    </w:p>
    <w:p>
      <w:pPr>
        <w:pStyle w:val="Heading1"/>
        <w:pStyle w:val="Heading1"/>
        <w:spacing w:after="120" w:before="360"/>
        <w:rPr>
          <w:color w:val="01696F"/>
        </w:rPr>
      </w:pPr>
      <w:r>
        <w:t xml:space="preserve">Task 1 – Digital Literacy Awareness Infographic</w:t>
      </w:r>
    </w:p>
    <w:p>
      <w:pPr>
        <w:pBdr>
          <w:bottom w:val="single" w:color="CCCCCC" w:sz="6"/>
        </w:pBdr>
        <w:spacing w:after="200"/>
      </w:pPr>
    </w:p>
    <w:p>
      <w:pPr>
        <w:spacing w:after="100" w:before="280"/>
      </w:pPr>
      <w:r>
        <w:rPr>
          <w:rFonts w:ascii="Arial" w:cs="Arial" w:eastAsia="Arial" w:hAnsi="Arial"/>
          <w:b/>
          <w:bCs/>
          <w:color w:val="01696F"/>
          <w:sz w:val="26"/>
          <w:szCs w:val="26"/>
        </w:rPr>
        <w:t xml:space="preserve">Tool Used</w:t>
      </w:r>
    </w:p>
    <w:p>
      <w:pPr>
        <w:spacing w:after="160"/>
        <w:jc w:val="both"/>
      </w:pPr>
      <w:r>
        <w:rPr>
          <w:rFonts w:ascii="Arial" w:cs="Arial" w:eastAsia="Arial" w:hAnsi="Arial"/>
          <w:color w:val="1A2733"/>
          <w:sz w:val="24"/>
          <w:szCs w:val="24"/>
        </w:rPr>
        <w:t xml:space="preserve">Python (Pillow library) — a free, open-source image processing toolkit available without any subscription.</w:t>
      </w:r>
    </w:p>
    <w:p>
      <w:pPr>
        <w:spacing w:after="100" w:before="280"/>
      </w:pPr>
      <w:r>
        <w:rPr>
          <w:rFonts w:ascii="Arial" w:cs="Arial" w:eastAsia="Arial" w:hAnsi="Arial"/>
          <w:b/>
          <w:bCs/>
          <w:color w:val="01696F"/>
          <w:sz w:val="26"/>
          <w:szCs w:val="26"/>
        </w:rPr>
        <w:t xml:space="preserve">What the Design Shows</w:t>
      </w:r>
    </w:p>
    <w:p>
      <w:pPr>
        <w:spacing w:after="160"/>
        <w:jc w:val="both"/>
      </w:pPr>
      <w:r>
        <w:rPr>
          <w:rFonts w:ascii="Arial" w:cs="Arial" w:eastAsia="Arial" w:hAnsi="Arial"/>
          <w:color w:val="1A2733"/>
          <w:sz w:val="24"/>
          <w:szCs w:val="24"/>
        </w:rPr>
        <w:t xml:space="preserve">I created a single-page infographic divided into four colour-coded sections, each addressing a key topic in digital literacy:</w:t>
      </w:r>
    </w:p>
    <w:p>
      <w:pPr>
        <w:spacing w:after="80"/>
        <w:ind w:left="360"/>
      </w:pPr>
      <w:r>
        <w:rPr>
          <w:rFonts w:ascii="Arial" w:cs="Arial" w:eastAsia="Arial" w:hAnsi="Arial"/>
          <w:color w:val="1A2733"/>
          <w:sz w:val="24"/>
          <w:szCs w:val="24"/>
        </w:rPr>
        <w:t xml:space="preserve">• What is Digital Literacy? – Covers the definition, digital footprint awareness, and critical evaluation of online content.</w:t>
      </w:r>
    </w:p>
    <w:p>
      <w:pPr>
        <w:spacing w:after="80"/>
        <w:ind w:left="360"/>
      </w:pPr>
      <w:r>
        <w:rPr>
          <w:rFonts w:ascii="Arial" w:cs="Arial" w:eastAsia="Arial" w:hAnsi="Arial"/>
          <w:color w:val="1A2733"/>
          <w:sz w:val="24"/>
          <w:szCs w:val="24"/>
        </w:rPr>
        <w:t xml:space="preserve">• Digital Tools for Students – Highlights platforms such as Google Workspace, GitHub, Canva, HackerRank, and Notion.</w:t>
      </w:r>
    </w:p>
    <w:p>
      <w:pPr>
        <w:spacing w:after="80"/>
        <w:ind w:left="360"/>
      </w:pPr>
      <w:r>
        <w:rPr>
          <w:rFonts w:ascii="Arial" w:cs="Arial" w:eastAsia="Arial" w:hAnsi="Arial"/>
          <w:color w:val="1A2733"/>
          <w:sz w:val="24"/>
          <w:szCs w:val="24"/>
        </w:rPr>
        <w:t xml:space="preserve">• Safe Internet Practices – Five actionable habits including 2FA, OTP safety, software updates, and secure Wi-Fi use.</w:t>
      </w:r>
    </w:p>
    <w:p>
      <w:pPr>
        <w:spacing w:after="80"/>
        <w:ind w:left="360"/>
      </w:pPr>
      <w:r>
        <w:rPr>
          <w:rFonts w:ascii="Arial" w:cs="Arial" w:eastAsia="Arial" w:hAnsi="Arial"/>
          <w:color w:val="1A2733"/>
          <w:sz w:val="24"/>
          <w:szCs w:val="24"/>
        </w:rPr>
        <w:t xml:space="preserve">• Professional Online Presence – Explains the role of LinkedIn, GitHub portfolios, and professional email communication.</w:t>
      </w:r>
    </w:p>
    <w:p>
      <w:pPr>
        <w:spacing w:after="160"/>
        <w:jc w:val="both"/>
      </w:pPr>
      <w:r>
        <w:rPr>
          <w:rFonts w:ascii="Arial" w:cs="Arial" w:eastAsia="Arial" w:hAnsi="Arial"/>
          <w:color w:val="1A2733"/>
          <w:sz w:val="24"/>
          <w:szCs w:val="24"/>
        </w:rPr>
        <w:t xml:space="preserve">The design uses a teal-and-blue colour scheme for quick visual scanning, with a branded header and footer identifying the course and institution.</w:t>
      </w:r>
    </w:p>
    <w:p>
      <w:pPr>
        <w:spacing w:after="100" w:before="280"/>
      </w:pPr>
      <w:r>
        <w:rPr>
          <w:rFonts w:ascii="Arial" w:cs="Arial" w:eastAsia="Arial" w:hAnsi="Arial"/>
          <w:b/>
          <w:bCs/>
          <w:color w:val="01696F"/>
          <w:sz w:val="26"/>
          <w:szCs w:val="26"/>
        </w:rPr>
        <w:t xml:space="preserve">Reflection</w:t>
      </w:r>
    </w:p>
    <w:p>
      <w:pPr>
        <w:spacing w:after="160"/>
        <w:jc w:val="both"/>
      </w:pPr>
      <w:r>
        <w:rPr>
          <w:rFonts w:ascii="Arial" w:cs="Arial" w:eastAsia="Arial" w:hAnsi="Arial"/>
          <w:color w:val="1A2733"/>
          <w:sz w:val="24"/>
          <w:szCs w:val="24"/>
        </w:rPr>
        <w:t xml:space="preserve">Creating this infographic was an exercise in distilling complex ideas into clear, scannable visuals. The most interesting challenge was deciding what to include — digital literacy is a broad topic, and I had to prioritise the information most relevant to a first-year engineering student. I found it difficult to balance visual simplicity with informational completeness, but the final result communicates four essential areas clearly on a single page.</w:t>
      </w:r>
    </w:p>
    <w:p>
      <w:r>
        <w:br w:type="page"/>
      </w:r>
    </w:p>
    <w:p>
      <w:pPr>
        <w:pStyle w:val="Heading1"/>
        <w:pStyle w:val="Heading1"/>
        <w:spacing w:after="120" w:before="360"/>
        <w:rPr>
          <w:color w:val="01696F"/>
        </w:rPr>
      </w:pPr>
      <w:r>
        <w:t xml:space="preserve">Task 2 – Student Digital Portfolio</w:t>
      </w:r>
    </w:p>
    <w:p>
      <w:pPr>
        <w:pBdr>
          <w:bottom w:val="single" w:color="CCCCCC" w:sz="6"/>
        </w:pBdr>
        <w:spacing w:after="200"/>
      </w:pPr>
    </w:p>
    <w:p>
      <w:pPr>
        <w:spacing w:after="100" w:before="280"/>
      </w:pPr>
      <w:r>
        <w:rPr>
          <w:rFonts w:ascii="Arial" w:cs="Arial" w:eastAsia="Arial" w:hAnsi="Arial"/>
          <w:b/>
          <w:bCs/>
          <w:color w:val="01696F"/>
          <w:sz w:val="26"/>
          <w:szCs w:val="26"/>
        </w:rPr>
        <w:t xml:space="preserve">Platforms Set Up</w:t>
      </w:r>
    </w:p>
    <w:p>
      <w:pPr>
        <w:spacing w:after="160"/>
        <w:jc w:val="both"/>
      </w:pPr>
      <w:r>
        <w:rPr>
          <w:rFonts w:ascii="Arial" w:cs="Arial" w:eastAsia="Arial" w:hAnsi="Arial"/>
          <w:color w:val="1A2733"/>
          <w:sz w:val="24"/>
          <w:szCs w:val="24"/>
        </w:rPr>
        <w:t xml:space="preserve">For this task, I created or updated accounts on three platforms: GitHub, LinkedIn, and HackerRank.</w:t>
      </w:r>
    </w:p>
    <w:p>
      <w:pPr>
        <w:spacing w:after="80"/>
        <w:ind w:left="360"/>
      </w:pPr>
      <w:r>
        <w:rPr>
          <w:rFonts w:ascii="Arial" w:cs="Arial" w:eastAsia="Arial" w:hAnsi="Arial"/>
          <w:color w:val="1A2733"/>
          <w:sz w:val="24"/>
          <w:szCs w:val="24"/>
        </w:rPr>
        <w:t xml:space="preserve">• GitHub (github.com) – The world's largest code hosting platform. I created a profile README repository that includes my name, branch, year, and a note about my interest in cybersecurity and digital forensics.</w:t>
      </w:r>
    </w:p>
    <w:p>
      <w:pPr>
        <w:spacing w:after="80"/>
        <w:ind w:left="360"/>
      </w:pPr>
      <w:r>
        <w:rPr>
          <w:rFonts w:ascii="Arial" w:cs="Arial" w:eastAsia="Arial" w:hAnsi="Arial"/>
          <w:color w:val="1A2733"/>
          <w:sz w:val="24"/>
          <w:szCs w:val="24"/>
        </w:rPr>
        <w:t xml:space="preserve">• LinkedIn (linkedin.com) – The leading professional networking platform. I filled in my Education section with my current B.Tech degree, institution, and expected graduation year.</w:t>
      </w:r>
    </w:p>
    <w:p>
      <w:pPr>
        <w:spacing w:after="80"/>
        <w:ind w:left="360"/>
      </w:pPr>
      <w:r>
        <w:rPr>
          <w:rFonts w:ascii="Arial" w:cs="Arial" w:eastAsia="Arial" w:hAnsi="Arial"/>
          <w:color w:val="1A2733"/>
          <w:sz w:val="24"/>
          <w:szCs w:val="24"/>
        </w:rPr>
        <w:t xml:space="preserve">• HackerRank (hackerrank.com) – A competitive programming and skills assessment platform used by employers worldwide for technical hiring. I created an account and completed beginner challenges.</w:t>
      </w:r>
    </w:p>
    <w:p>
      <w:pPr>
        <w:spacing w:after="100" w:before="280"/>
      </w:pPr>
      <w:r>
        <w:rPr>
          <w:rFonts w:ascii="Arial" w:cs="Arial" w:eastAsia="Arial" w:hAnsi="Arial"/>
          <w:b/>
          <w:bCs/>
          <w:color w:val="01696F"/>
          <w:sz w:val="26"/>
          <w:szCs w:val="26"/>
        </w:rPr>
        <w:t xml:space="preserve">Purpose and Four-Year Plan</w:t>
      </w:r>
    </w:p>
    <w:p>
      <w:pPr>
        <w:spacing w:after="160"/>
        <w:jc w:val="both"/>
      </w:pPr>
      <w:r>
        <w:rPr>
          <w:rFonts w:ascii="Arial" w:cs="Arial" w:eastAsia="Arial" w:hAnsi="Arial"/>
          <w:color w:val="1A2733"/>
          <w:sz w:val="24"/>
          <w:szCs w:val="24"/>
        </w:rPr>
        <w:t xml:space="preserve">Each platform serves a distinct purpose in my professional development. GitHub will be my primary portfolio — I plan to commit projects regularly, especially cybersecurity tools, forensics scripts, and engineering assignments. LinkedIn will be used to network with industry professionals, connect with VIT alumni, and apply for internships from my second year. HackerRank will help me build a competitive programming profile, starting with Python and Problem Solving badges and progressing to harder domains over time.</w:t>
      </w:r>
    </w:p>
    <w:p>
      <w:pPr>
        <w:spacing w:after="160"/>
        <w:jc w:val="both"/>
      </w:pPr>
      <w:r>
        <w:rPr>
          <w:rFonts w:ascii="Arial" w:cs="Arial" w:eastAsia="Arial" w:hAnsi="Arial"/>
          <w:color w:val="1A2733"/>
          <w:sz w:val="24"/>
          <w:szCs w:val="24"/>
        </w:rPr>
        <w:t xml:space="preserve">By the time I graduate, I expect these three platforms to collectively represent a portfolio that demonstrates both technical skills and professional maturity to potential employers and postgraduate institutions.</w:t>
      </w:r>
    </w:p>
    <w:p>
      <w:r>
        <w:br w:type="page"/>
      </w:r>
    </w:p>
    <w:p>
      <w:pPr>
        <w:pStyle w:val="Heading1"/>
        <w:pStyle w:val="Heading1"/>
        <w:spacing w:after="120" w:before="360"/>
        <w:rPr>
          <w:color w:val="01696F"/>
        </w:rPr>
      </w:pPr>
      <w:r>
        <w:t xml:space="preserve">Task 3 – Coding &amp; Collaboration Platforms</w:t>
      </w:r>
    </w:p>
    <w:p>
      <w:pPr>
        <w:pBdr>
          <w:bottom w:val="single" w:color="CCCCCC" w:sz="6"/>
        </w:pBdr>
        <w:spacing w:after="200"/>
      </w:pPr>
    </w:p>
    <w:p>
      <w:pPr>
        <w:spacing w:after="100" w:before="280"/>
      </w:pPr>
      <w:r>
        <w:rPr>
          <w:rFonts w:ascii="Arial" w:cs="Arial" w:eastAsia="Arial" w:hAnsi="Arial"/>
          <w:b/>
          <w:bCs/>
          <w:color w:val="01696F"/>
          <w:sz w:val="26"/>
          <w:szCs w:val="26"/>
        </w:rPr>
        <w:t xml:space="preserve">Part A – Coding Practice</w:t>
      </w:r>
    </w:p>
    <w:p>
      <w:pPr>
        <w:spacing w:after="160"/>
        <w:jc w:val="both"/>
      </w:pPr>
      <w:r>
        <w:rPr>
          <w:rFonts w:ascii="Arial" w:cs="Arial" w:eastAsia="Arial" w:hAnsi="Arial"/>
          <w:color w:val="1A2733"/>
          <w:sz w:val="24"/>
          <w:szCs w:val="24"/>
        </w:rPr>
        <w:t xml:space="preserve">Platform: HackerRank (hackerrank.com)</w:t>
      </w:r>
    </w:p>
    <w:p>
      <w:pPr>
        <w:spacing w:after="160"/>
        <w:jc w:val="both"/>
      </w:pPr>
      <w:r>
        <w:rPr>
          <w:rFonts w:ascii="Arial" w:cs="Arial" w:eastAsia="Arial" w:hAnsi="Arial"/>
          <w:color w:val="1A2733"/>
          <w:sz w:val="24"/>
          <w:szCs w:val="24"/>
        </w:rPr>
        <w:t xml:space="preserve">I completed the 'Solve Me First' beginner challenge under the Problem Solving domain. The challenge requires writing a function that takes two integers and returns their sum — an entry-level exercise designed to familiarise new users with HackerRank's in-browser editor and test-case evaluation system. My solution passed all test cases successfully.</w:t>
      </w:r>
    </w:p>
    <w:p>
      <w:pPr>
        <w:spacing w:after="100" w:before="280"/>
      </w:pPr>
      <w:r>
        <w:rPr>
          <w:rFonts w:ascii="Arial" w:cs="Arial" w:eastAsia="Arial" w:hAnsi="Arial"/>
          <w:b/>
          <w:bCs/>
          <w:color w:val="01696F"/>
          <w:sz w:val="26"/>
          <w:szCs w:val="26"/>
        </w:rPr>
        <w:t xml:space="preserve">Part B – Google Forms Quiz</w:t>
      </w:r>
    </w:p>
    <w:p>
      <w:pPr>
        <w:spacing w:after="160"/>
        <w:jc w:val="both"/>
      </w:pPr>
      <w:r>
        <w:rPr>
          <w:rFonts w:ascii="Arial" w:cs="Arial" w:eastAsia="Arial" w:hAnsi="Arial"/>
          <w:color w:val="1A2733"/>
          <w:sz w:val="24"/>
          <w:szCs w:val="24"/>
        </w:rPr>
        <w:t xml:space="preserve">Platform: Google Forms + Google Sheets (Google Workspace)</w:t>
      </w:r>
    </w:p>
    <w:p>
      <w:pPr>
        <w:spacing w:after="160"/>
        <w:jc w:val="both"/>
      </w:pPr>
      <w:r>
        <w:rPr>
          <w:rFonts w:ascii="Arial" w:cs="Arial" w:eastAsia="Arial" w:hAnsi="Arial"/>
          <w:color w:val="1A2733"/>
          <w:sz w:val="24"/>
          <w:szCs w:val="24"/>
        </w:rPr>
        <w:t xml:space="preserve">I created a five-question Digital Literacy Awareness Quiz using Google Forms. The quiz includes multiple-choice questions on 2FA, safe internet practices, UPI fraud awareness, digital footprints, and a short-answer question on the importance of professional online presence. The form is linked to a Google Sheet that captures all responses automatically.</w:t>
      </w:r>
    </w:p>
    <w:p>
      <w:pPr>
        <w:spacing w:after="100" w:before="280"/>
      </w:pPr>
      <w:r>
        <w:rPr>
          <w:rFonts w:ascii="Arial" w:cs="Arial" w:eastAsia="Arial" w:hAnsi="Arial"/>
          <w:b/>
          <w:bCs/>
          <w:color w:val="01696F"/>
          <w:sz w:val="26"/>
          <w:szCs w:val="26"/>
        </w:rPr>
        <w:t xml:space="preserve">Reflection</w:t>
      </w:r>
    </w:p>
    <w:p>
      <w:pPr>
        <w:spacing w:after="160"/>
        <w:jc w:val="both"/>
      </w:pPr>
      <w:r>
        <w:rPr>
          <w:rFonts w:ascii="Arial" w:cs="Arial" w:eastAsia="Arial" w:hAnsi="Arial"/>
          <w:color w:val="1A2733"/>
          <w:sz w:val="24"/>
          <w:szCs w:val="24"/>
        </w:rPr>
        <w:t xml:space="preserve">Working with HackerRank reinforced the importance of writing clean, efficient code — even for simple problems, I had to consider edge cases and correct function signatures. The platform's real-time test-case evaluation provides immediate feedback, which makes the learning loop very efficient.</w:t>
      </w:r>
    </w:p>
    <w:p>
      <w:pPr>
        <w:spacing w:after="160"/>
        <w:jc w:val="both"/>
      </w:pPr>
      <w:r>
        <w:rPr>
          <w:rFonts w:ascii="Arial" w:cs="Arial" w:eastAsia="Arial" w:hAnsi="Arial"/>
          <w:color w:val="1A2733"/>
          <w:sz w:val="24"/>
          <w:szCs w:val="24"/>
        </w:rPr>
        <w:t xml:space="preserve">Building a Google Form was more impactful than I initially expected. The seamless integration with Google Sheets means the data from my quiz is analysis-ready the moment a response is submitted. For a Digital Ambassador, this is a genuinely useful tool — I could deploy this quiz to my batch and instantly see aggregate results. Both platforms will serve me well academically: HackerRank for placement preparation, and Google Workspace for collaborative projects and research surveys.</w:t>
      </w:r>
    </w:p>
    <w:p>
      <w:r>
        <w:br w:type="page"/>
      </w:r>
    </w:p>
    <w:p>
      <w:pPr>
        <w:pStyle w:val="Heading1"/>
        <w:pStyle w:val="Heading1"/>
        <w:spacing w:after="120" w:before="360"/>
        <w:rPr>
          <w:color w:val="01696F"/>
        </w:rPr>
      </w:pPr>
      <w:r>
        <w:t xml:space="preserve">Task 4 – Professional Email &amp; Etiquette</w:t>
      </w:r>
    </w:p>
    <w:p>
      <w:pPr>
        <w:pBdr>
          <w:bottom w:val="single" w:color="CCCCCC" w:sz="6"/>
        </w:pBdr>
        <w:spacing w:after="200"/>
      </w:pPr>
    </w:p>
    <w:p>
      <w:pPr>
        <w:spacing w:after="100" w:before="280"/>
      </w:pPr>
      <w:r>
        <w:rPr>
          <w:rFonts w:ascii="Arial" w:cs="Arial" w:eastAsia="Arial" w:hAnsi="Arial"/>
          <w:b/>
          <w:bCs/>
          <w:color w:val="01696F"/>
          <w:sz w:val="26"/>
          <w:szCs w:val="26"/>
        </w:rPr>
        <w:t xml:space="preserve">Communication Scenario</w:t>
      </w:r>
    </w:p>
    <w:p>
      <w:pPr>
        <w:spacing w:after="160"/>
        <w:jc w:val="both"/>
      </w:pPr>
      <w:r>
        <w:rPr>
          <w:rFonts w:ascii="Arial" w:cs="Arial" w:eastAsia="Arial" w:hAnsi="Arial"/>
          <w:color w:val="1A2733"/>
          <w:sz w:val="24"/>
          <w:szCs w:val="24"/>
        </w:rPr>
        <w:t xml:space="preserve">For this task, I drafted two professional emails and a social media checklist. The exercise highlighted how significantly tone, structure, and word choice affect the perception of an email.</w:t>
      </w:r>
    </w:p>
    <w:p>
      <w:pPr>
        <w:spacing w:after="160"/>
        <w:jc w:val="both"/>
      </w:pPr>
      <w:r>
        <w:rPr>
          <w:rFonts w:ascii="Arial" w:cs="Arial" w:eastAsia="Arial" w:hAnsi="Arial"/>
          <w:color w:val="1A2733"/>
          <w:sz w:val="24"/>
          <w:szCs w:val="24"/>
        </w:rPr>
        <w:t xml:space="preserve">A real-world example of poor digital communication that resonated with me is the well-documented case of employees being dismissed after venting about their workplace on social media — in some cases using vague privacy settings that did not prevent their posts from reaching their managers. The problem was not the frustration itself, but the public and permanent nature of the platform chosen to express it. A private conversation, a formal grievance email, or a direct discussion with HR would have been the appropriate channel. This incident illustrates that digital communication is not informal by nature — every platform has an audience, and professional consequences follow unprofessional communication regardless of the medium.</w:t>
      </w:r>
    </w:p>
    <w:p>
      <w:pPr>
        <w:spacing w:after="100" w:before="280"/>
      </w:pPr>
      <w:r>
        <w:rPr>
          <w:rFonts w:ascii="Arial" w:cs="Arial" w:eastAsia="Arial" w:hAnsi="Arial"/>
          <w:b/>
          <w:bCs/>
          <w:color w:val="01696F"/>
          <w:sz w:val="26"/>
          <w:szCs w:val="26"/>
        </w:rPr>
        <w:t xml:space="preserve">Key Learnings</w:t>
      </w:r>
    </w:p>
    <w:p>
      <w:pPr>
        <w:spacing w:after="160"/>
        <w:jc w:val="both"/>
      </w:pPr>
      <w:r>
        <w:rPr>
          <w:rFonts w:ascii="Arial" w:cs="Arial" w:eastAsia="Arial" w:hAnsi="Arial"/>
          <w:color w:val="1A2733"/>
          <w:sz w:val="24"/>
          <w:szCs w:val="24"/>
        </w:rPr>
        <w:t xml:space="preserve">The most important lesson from this task is that a professional email is not about length — it is about clarity, respect, and structure. A concise, well-formatted email that states its purpose in the first sentence, provides the necessary context in the body, and closes with a clear call to action will always outperform a lengthy, unstructured message. I also learned to think carefully about subject lines: they function as headlines and should summarise the email's purpose in under 10 words.</w:t>
      </w:r>
    </w:p>
    <w:p>
      <w:r>
        <w:br w:type="page"/>
      </w:r>
    </w:p>
    <w:p>
      <w:pPr>
        <w:pStyle w:val="Heading1"/>
        <w:pStyle w:val="Heading1"/>
        <w:spacing w:after="120" w:before="360"/>
        <w:rPr>
          <w:color w:val="01696F"/>
        </w:rPr>
      </w:pPr>
      <w:r>
        <w:t xml:space="preserve">Task 5 – Cybercrime Awareness</w:t>
      </w:r>
    </w:p>
    <w:p>
      <w:pPr>
        <w:pBdr>
          <w:bottom w:val="single" w:color="CCCCCC" w:sz="6"/>
        </w:pBdr>
        <w:spacing w:after="200"/>
      </w:pPr>
    </w:p>
    <w:p>
      <w:pPr>
        <w:spacing w:after="100" w:before="280"/>
      </w:pPr>
      <w:r>
        <w:rPr>
          <w:rFonts w:ascii="Arial" w:cs="Arial" w:eastAsia="Arial" w:hAnsi="Arial"/>
          <w:b/>
          <w:bCs/>
          <w:color w:val="01696F"/>
          <w:sz w:val="26"/>
          <w:szCs w:val="26"/>
        </w:rPr>
        <w:t xml:space="preserve">Case Study: UPI / Online Payment Fraud</w:t>
      </w:r>
    </w:p>
    <w:p>
      <w:pPr>
        <w:spacing w:after="160"/>
        <w:jc w:val="both"/>
      </w:pPr>
      <w:r>
        <w:rPr>
          <w:rFonts w:ascii="Arial" w:cs="Arial" w:eastAsia="Arial" w:hAnsi="Arial"/>
          <w:color w:val="1A2733"/>
          <w:sz w:val="24"/>
          <w:szCs w:val="24"/>
        </w:rPr>
        <w:t xml:space="preserve">For this task I researched UPI fraud — one of the fastest-growing cybercrimes targeting college students in India. The case study describes how fraudsters use social engineering, fake collect requests, and urgency tactics to trick victims into entering their UPI PINs and losing money. The key mechanism exploited is the confusion between 'sending' and 'receiving' money — a collect request requires your PIN and debits your account, not credits it.</w:t>
      </w:r>
    </w:p>
    <w:p>
      <w:pPr>
        <w:spacing w:after="100" w:before="280"/>
      </w:pPr>
      <w:r>
        <w:rPr>
          <w:rFonts w:ascii="Arial" w:cs="Arial" w:eastAsia="Arial" w:hAnsi="Arial"/>
          <w:b/>
          <w:bCs/>
          <w:color w:val="01696F"/>
          <w:sz w:val="26"/>
          <w:szCs w:val="26"/>
        </w:rPr>
        <w:t xml:space="preserve">Reflection</w:t>
      </w:r>
    </w:p>
    <w:p>
      <w:pPr>
        <w:spacing w:after="160"/>
        <w:jc w:val="both"/>
      </w:pPr>
      <w:r>
        <w:rPr>
          <w:rFonts w:ascii="Arial" w:cs="Arial" w:eastAsia="Arial" w:hAnsi="Arial"/>
          <w:color w:val="1A2733"/>
          <w:sz w:val="24"/>
          <w:szCs w:val="24"/>
        </w:rPr>
        <w:t xml:space="preserve">What surprised me most while researching this topic was how technically simple most UPI fraud attacks are. They do not exploit software vulnerabilities or require any hacking expertise — they exploit human psychology: trust, urgency, and unfamiliarity with how UPI collect requests work. The fraudsters rely entirely on the victim not knowing that entering a PIN always means money is leaving their account.</w:t>
      </w:r>
    </w:p>
    <w:p>
      <w:pPr>
        <w:spacing w:after="160"/>
        <w:jc w:val="both"/>
      </w:pPr>
      <w:r>
        <w:rPr>
          <w:rFonts w:ascii="Arial" w:cs="Arial" w:eastAsia="Arial" w:hAnsi="Arial"/>
          <w:color w:val="1A2733"/>
          <w:sz w:val="24"/>
          <w:szCs w:val="24"/>
        </w:rPr>
        <w:t xml:space="preserve">The habit I will personally change as a result of this research is to never approve a UPI collect request without reading the full description and verifying the source independently — even if the message accompanying it sounds urgent or official. I will also enable transaction alerts on all my accounts so that any unauthorised activity is caught immediately.</w:t>
      </w:r>
    </w:p>
    <w:p>
      <w:r>
        <w:br w:type="page"/>
      </w:r>
    </w:p>
    <w:p>
      <w:pPr>
        <w:pStyle w:val="Heading1"/>
        <w:pStyle w:val="Heading1"/>
        <w:spacing w:after="120" w:before="360"/>
        <w:rPr>
          <w:color w:val="01696F"/>
        </w:rPr>
      </w:pPr>
      <w:r>
        <w:t xml:space="preserve">Conclusion</w:t>
      </w:r>
    </w:p>
    <w:p>
      <w:pPr>
        <w:pBdr>
          <w:bottom w:val="single" w:color="CCCCCC" w:sz="6"/>
        </w:pBdr>
        <w:spacing w:after="200"/>
      </w:pPr>
    </w:p>
    <w:p>
      <w:pPr>
        <w:spacing w:after="160"/>
        <w:jc w:val="both"/>
      </w:pPr>
      <w:r>
        <w:rPr>
          <w:rFonts w:ascii="Arial" w:cs="Arial" w:eastAsia="Arial" w:hAnsi="Arial"/>
          <w:color w:val="1A2733"/>
          <w:sz w:val="24"/>
          <w:szCs w:val="24"/>
        </w:rPr>
        <w:t xml:space="preserve">This project provided a structured introduction to the most important aspects of being a digitally literate student in today's world. Across five tasks, I moved from conceptual understanding (what digital literacy is) to practical action: building a portfolio, writing professional communications, practising coding, and understanding cybersecurity threats.</w:t>
      </w:r>
    </w:p>
    <w:p>
      <w:pPr>
        <w:spacing w:after="160"/>
        <w:jc w:val="both"/>
      </w:pPr>
      <w:r>
        <w:rPr>
          <w:rFonts w:ascii="Arial" w:cs="Arial" w:eastAsia="Arial" w:hAnsi="Arial"/>
          <w:color w:val="1A2733"/>
          <w:sz w:val="24"/>
          <w:szCs w:val="24"/>
        </w:rPr>
        <w:t xml:space="preserve">The most enduring takeaway is that digital literacy is not a single skill — it is a collection of habits, platforms, and mindsets. A student who manages their online presence thoughtfully, communicates professionally, practises coding regularly, and stays alert to cyber threats is genuinely better prepared for both academic success and professional life. I leave this project with tangible deliverables on GitHub, a sharper understanding of online safety, and a clearer roadmap for my next four years.</w:t>
      </w:r>
    </w:p>
    <w:p>
      <w:r>
        <w:br w:type="page"/>
      </w:r>
    </w:p>
    <w:p>
      <w:pPr>
        <w:pStyle w:val="Heading1"/>
        <w:pStyle w:val="Heading1"/>
        <w:spacing w:after="120" w:before="360"/>
        <w:rPr>
          <w:color w:val="01696F"/>
        </w:rPr>
      </w:pPr>
      <w:r>
        <w:t xml:space="preserve">References</w:t>
      </w:r>
    </w:p>
    <w:p>
      <w:pPr>
        <w:pBdr>
          <w:bottom w:val="single" w:color="CCCCCC" w:sz="6"/>
        </w:pBdr>
        <w:spacing w:after="200"/>
      </w:pPr>
    </w:p>
    <w:p>
      <w:pPr>
        <w:spacing w:after="80"/>
        <w:ind w:left="360"/>
      </w:pPr>
      <w:r>
        <w:rPr>
          <w:rFonts w:ascii="Arial" w:cs="Arial" w:eastAsia="Arial" w:hAnsi="Arial"/>
          <w:color w:val="1A2733"/>
          <w:sz w:val="24"/>
          <w:szCs w:val="24"/>
        </w:rPr>
        <w:t xml:space="preserve">• National Cyber Crime Portal, Government of India: https://cybercrime.gov.in</w:t>
      </w:r>
    </w:p>
    <w:p>
      <w:pPr>
        <w:spacing w:after="80"/>
        <w:ind w:left="360"/>
      </w:pPr>
      <w:r>
        <w:rPr>
          <w:rFonts w:ascii="Arial" w:cs="Arial" w:eastAsia="Arial" w:hAnsi="Arial"/>
          <w:color w:val="1A2733"/>
          <w:sz w:val="24"/>
          <w:szCs w:val="24"/>
        </w:rPr>
        <w:t xml:space="preserve">• Reserve Bank of India – Digital Payments Report 2024: https://www.rbi.org.in</w:t>
      </w:r>
    </w:p>
    <w:p>
      <w:pPr>
        <w:spacing w:after="80"/>
        <w:ind w:left="360"/>
      </w:pPr>
      <w:r>
        <w:rPr>
          <w:rFonts w:ascii="Arial" w:cs="Arial" w:eastAsia="Arial" w:hAnsi="Arial"/>
          <w:color w:val="1A2733"/>
          <w:sz w:val="24"/>
          <w:szCs w:val="24"/>
        </w:rPr>
        <w:t xml:space="preserve">• HackerRank Platform: https://www.hackerrank.com</w:t>
      </w:r>
    </w:p>
    <w:p>
      <w:pPr>
        <w:spacing w:after="80"/>
        <w:ind w:left="360"/>
      </w:pPr>
      <w:r>
        <w:rPr>
          <w:rFonts w:ascii="Arial" w:cs="Arial" w:eastAsia="Arial" w:hAnsi="Arial"/>
          <w:color w:val="1A2733"/>
          <w:sz w:val="24"/>
          <w:szCs w:val="24"/>
        </w:rPr>
        <w:t xml:space="preserve">• GitHub Documentation – Profile README: https://docs.github.com/en/account-and-profile/setting-up-and-managing-your-github-profile</w:t>
      </w:r>
    </w:p>
    <w:p>
      <w:pPr>
        <w:spacing w:after="80"/>
        <w:ind w:left="360"/>
      </w:pPr>
      <w:r>
        <w:rPr>
          <w:rFonts w:ascii="Arial" w:cs="Arial" w:eastAsia="Arial" w:hAnsi="Arial"/>
          <w:color w:val="1A2733"/>
          <w:sz w:val="24"/>
          <w:szCs w:val="24"/>
        </w:rPr>
        <w:t xml:space="preserve">• Google Workspace Learning Center – Google Forms: https://workspace.google.com/learning-center/products/forms/</w:t>
      </w:r>
    </w:p>
    <w:p>
      <w:pPr>
        <w:spacing w:after="80"/>
        <w:ind w:left="360"/>
      </w:pPr>
      <w:r>
        <w:rPr>
          <w:rFonts w:ascii="Arial" w:cs="Arial" w:eastAsia="Arial" w:hAnsi="Arial"/>
          <w:color w:val="1A2733"/>
          <w:sz w:val="24"/>
          <w:szCs w:val="24"/>
        </w:rPr>
        <w:t xml:space="preserve">• Canva Design Tool: https://www.canva.com</w:t>
      </w:r>
    </w:p>
    <w:p>
      <w:pPr>
        <w:spacing w:after="80"/>
        <w:ind w:left="360"/>
      </w:pPr>
      <w:r>
        <w:rPr>
          <w:rFonts w:ascii="Arial" w:cs="Arial" w:eastAsia="Arial" w:hAnsi="Arial"/>
          <w:color w:val="1A2733"/>
          <w:sz w:val="24"/>
          <w:szCs w:val="24"/>
        </w:rPr>
        <w:t xml:space="preserve">• LinkedIn – Student &amp; Graduate Resources: https://students.linkedin.com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rFonts w:ascii="Arial" w:cs="Arial" w:eastAsia="Arial" w:hAnsi="Arial"/>
      <w:b/>
      <w:bCs/>
      <w:color w:val="01696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2026-03-28T13:20:19.553Z</dcterms:created>
  <dcterms:modified xsi:type="dcterms:W3CDTF">2026-03-28T13:20:19.553Z</dcterms:modified>
</cp:coreProperties>
</file>

<file path=docProps/custom.xml><?xml version="1.0" encoding="utf-8"?>
<Properties xmlns="http://schemas.openxmlformats.org/officeDocument/2006/custom-properties" xmlns:vt="http://schemas.openxmlformats.org/officeDocument/2006/docPropsVTypes"/>
</file>