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E3219" w14:textId="77777777" w:rsidR="005755EB" w:rsidRDefault="005755EB" w:rsidP="00742004">
      <w:r w:rsidRPr="00807405">
        <w:fldChar w:fldCharType="begin"/>
      </w:r>
      <w:r w:rsidRPr="00807405">
        <w:instrText xml:space="preserve"> INCLUDEPICTURE "https://mbagradschools.com/wp-content/uploads/2020/05/Boston-College-Carroll-School-of-Management-1024x255.jpg" \* MERGEFORMATINET </w:instrText>
      </w:r>
      <w:r w:rsidRPr="00807405">
        <w:fldChar w:fldCharType="separate"/>
      </w:r>
      <w:r w:rsidRPr="00807405">
        <w:rPr>
          <w:noProof/>
        </w:rPr>
        <w:drawing>
          <wp:inline distT="0" distB="0" distL="0" distR="0" wp14:anchorId="27C7A57C" wp14:editId="3C87F58B">
            <wp:extent cx="5917021" cy="1473200"/>
            <wp:effectExtent l="0" t="0" r="1270" b="0"/>
            <wp:docPr id="12" name="图片 12" descr="Boston College Carroll School of Management Top MBA 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ston College Carroll School of Management Top MBA progra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1553" cy="1499226"/>
                    </a:xfrm>
                    <a:prstGeom prst="rect">
                      <a:avLst/>
                    </a:prstGeom>
                    <a:noFill/>
                    <a:ln>
                      <a:noFill/>
                    </a:ln>
                  </pic:spPr>
                </pic:pic>
              </a:graphicData>
            </a:graphic>
          </wp:inline>
        </w:drawing>
      </w:r>
      <w:r w:rsidRPr="00807405">
        <w:fldChar w:fldCharType="end"/>
      </w:r>
    </w:p>
    <w:p w14:paraId="62595912" w14:textId="38DBB156" w:rsidR="005755EB" w:rsidRDefault="005755EB" w:rsidP="005755EB"/>
    <w:p w14:paraId="5F2F0AAE" w14:textId="2AB99845" w:rsidR="00C85623" w:rsidRDefault="00C85623" w:rsidP="005755EB"/>
    <w:p w14:paraId="2D13477D" w14:textId="57AA57A2" w:rsidR="00C85623" w:rsidRDefault="00C85623" w:rsidP="005755EB"/>
    <w:p w14:paraId="3CF0B7CB" w14:textId="77777777" w:rsidR="00C85623" w:rsidRDefault="00C85623" w:rsidP="005755EB"/>
    <w:p w14:paraId="7CD3D97E" w14:textId="77777777" w:rsidR="00C85623" w:rsidRPr="00C85623" w:rsidRDefault="00C85623" w:rsidP="004C2AFF">
      <w:pPr>
        <w:spacing w:before="100" w:after="100"/>
        <w:jc w:val="center"/>
        <w:rPr>
          <w:rFonts w:ascii="Times New Roman" w:eastAsia="PMingLiU" w:hAnsi="Times New Roman" w:cs="Times New Roman"/>
          <w:b/>
          <w:bCs/>
          <w:sz w:val="56"/>
          <w:szCs w:val="56"/>
          <w:lang w:eastAsia="zh-TW"/>
        </w:rPr>
      </w:pPr>
      <w:r w:rsidRPr="00C85623">
        <w:rPr>
          <w:rFonts w:ascii="Times New Roman" w:eastAsia="PMingLiU" w:hAnsi="Times New Roman" w:cs="Times New Roman"/>
          <w:b/>
          <w:bCs/>
          <w:sz w:val="56"/>
          <w:szCs w:val="56"/>
          <w:lang w:eastAsia="zh-TW"/>
        </w:rPr>
        <w:t>Case Write-up</w:t>
      </w:r>
    </w:p>
    <w:p w14:paraId="0FB0C833" w14:textId="77777777" w:rsidR="00C85623" w:rsidRDefault="00C85623" w:rsidP="004C2AFF">
      <w:pPr>
        <w:spacing w:before="100" w:after="100"/>
        <w:jc w:val="center"/>
        <w:rPr>
          <w:rFonts w:ascii="Times New Roman" w:eastAsia="PMingLiU" w:hAnsi="Times New Roman" w:cs="Times New Roman"/>
          <w:b/>
          <w:bCs/>
          <w:sz w:val="56"/>
          <w:szCs w:val="56"/>
          <w:lang w:eastAsia="zh-TW"/>
        </w:rPr>
      </w:pPr>
      <w:r w:rsidRPr="00C85623">
        <w:rPr>
          <w:rFonts w:ascii="Times New Roman" w:eastAsia="PMingLiU" w:hAnsi="Times New Roman" w:cs="Times New Roman"/>
          <w:b/>
          <w:bCs/>
          <w:sz w:val="56"/>
          <w:szCs w:val="56"/>
          <w:lang w:eastAsia="zh-TW"/>
        </w:rPr>
        <w:t xml:space="preserve">The Vanderbilt University </w:t>
      </w:r>
    </w:p>
    <w:p w14:paraId="30637056" w14:textId="6693CD10" w:rsidR="00C85623" w:rsidRDefault="00C85623" w:rsidP="004C2AFF">
      <w:pPr>
        <w:spacing w:before="100" w:after="100"/>
        <w:jc w:val="center"/>
        <w:rPr>
          <w:rFonts w:ascii="Times New Roman" w:eastAsia="PMingLiU" w:hAnsi="Times New Roman" w:cs="Times New Roman"/>
          <w:b/>
          <w:bCs/>
          <w:sz w:val="56"/>
          <w:szCs w:val="56"/>
          <w:lang w:eastAsia="zh-TW"/>
        </w:rPr>
      </w:pPr>
      <w:r w:rsidRPr="00C85623">
        <w:rPr>
          <w:rFonts w:ascii="Times New Roman" w:eastAsia="PMingLiU" w:hAnsi="Times New Roman" w:cs="Times New Roman"/>
          <w:b/>
          <w:bCs/>
          <w:sz w:val="56"/>
          <w:szCs w:val="56"/>
          <w:lang w:eastAsia="zh-TW"/>
        </w:rPr>
        <w:t>Endowment</w:t>
      </w:r>
      <w:r>
        <w:rPr>
          <w:rFonts w:ascii="Times New Roman" w:eastAsia="PMingLiU" w:hAnsi="Times New Roman" w:cs="Times New Roman"/>
          <w:b/>
          <w:bCs/>
          <w:sz w:val="56"/>
          <w:szCs w:val="56"/>
          <w:lang w:eastAsia="zh-TW"/>
        </w:rPr>
        <w:t xml:space="preserve"> (2006)</w:t>
      </w:r>
    </w:p>
    <w:p w14:paraId="0850BEFD" w14:textId="77777777" w:rsidR="004C2AFF" w:rsidRPr="004C2AFF" w:rsidRDefault="004C2AFF" w:rsidP="00C85623">
      <w:pPr>
        <w:spacing w:before="100" w:after="100" w:line="288" w:lineRule="auto"/>
        <w:jc w:val="center"/>
        <w:rPr>
          <w:rFonts w:ascii="Times New Roman" w:eastAsia="PMingLiU" w:hAnsi="Times New Roman" w:cs="Times New Roman"/>
          <w:b/>
          <w:bCs/>
          <w:lang w:eastAsia="zh-TW"/>
        </w:rPr>
      </w:pPr>
    </w:p>
    <w:p w14:paraId="32405542" w14:textId="1CBB924E" w:rsidR="00C85623" w:rsidRDefault="00C85623" w:rsidP="00C85623">
      <w:pPr>
        <w:spacing w:before="100" w:after="100" w:line="288" w:lineRule="auto"/>
        <w:jc w:val="center"/>
        <w:rPr>
          <w:rFonts w:ascii="Times New Roman" w:eastAsia="PMingLiU" w:hAnsi="Times New Roman" w:cs="Times New Roman"/>
          <w:b/>
          <w:bCs/>
          <w:lang w:eastAsia="zh-TW"/>
        </w:rPr>
      </w:pPr>
    </w:p>
    <w:p w14:paraId="62E87C1F" w14:textId="0BEE9D89" w:rsidR="004C2AFF" w:rsidRDefault="004C2AFF" w:rsidP="00C85623">
      <w:pPr>
        <w:spacing w:before="100" w:after="100" w:line="288" w:lineRule="auto"/>
        <w:jc w:val="center"/>
        <w:rPr>
          <w:rFonts w:ascii="Times New Roman" w:eastAsia="PMingLiU" w:hAnsi="Times New Roman" w:cs="Times New Roman"/>
          <w:b/>
          <w:bCs/>
          <w:lang w:eastAsia="zh-TW"/>
        </w:rPr>
      </w:pPr>
    </w:p>
    <w:p w14:paraId="5C1E564D" w14:textId="77777777" w:rsidR="004C2AFF" w:rsidRPr="00C85623" w:rsidRDefault="004C2AFF" w:rsidP="00C85623">
      <w:pPr>
        <w:spacing w:before="100" w:after="100" w:line="288" w:lineRule="auto"/>
        <w:jc w:val="center"/>
        <w:rPr>
          <w:rFonts w:ascii="Times New Roman" w:eastAsia="PMingLiU" w:hAnsi="Times New Roman" w:cs="Times New Roman"/>
          <w:b/>
          <w:bCs/>
          <w:lang w:eastAsia="zh-TW"/>
        </w:rPr>
      </w:pPr>
    </w:p>
    <w:p w14:paraId="0012AF18" w14:textId="77777777" w:rsidR="00C85623" w:rsidRDefault="00C85623" w:rsidP="00C85623">
      <w:pPr>
        <w:spacing w:before="100" w:after="100" w:line="288" w:lineRule="auto"/>
        <w:jc w:val="center"/>
        <w:rPr>
          <w:rFonts w:ascii="Times New Roman" w:eastAsia="PMingLiU" w:hAnsi="Times New Roman" w:cs="Times New Roman"/>
          <w:lang w:eastAsia="zh-TW"/>
        </w:rPr>
      </w:pPr>
      <w:r w:rsidRPr="00C85623">
        <w:rPr>
          <w:rFonts w:ascii="Times New Roman" w:eastAsia="PMingLiU" w:hAnsi="Times New Roman" w:cs="Times New Roman"/>
          <w:lang w:eastAsia="zh-TW"/>
        </w:rPr>
        <w:t>MFIN</w:t>
      </w:r>
      <w:r>
        <w:rPr>
          <w:rFonts w:ascii="Times New Roman" w:eastAsia="PMingLiU" w:hAnsi="Times New Roman" w:cs="Times New Roman"/>
          <w:lang w:eastAsia="zh-TW"/>
        </w:rPr>
        <w:t xml:space="preserve"> 8803 Quantitative Portfolio Management</w:t>
      </w:r>
    </w:p>
    <w:p w14:paraId="2D091468" w14:textId="320C2303" w:rsidR="00C85623" w:rsidRDefault="004C2AFF" w:rsidP="00C85623">
      <w:pPr>
        <w:spacing w:before="100" w:after="100" w:line="288" w:lineRule="auto"/>
        <w:jc w:val="center"/>
        <w:rPr>
          <w:rFonts w:ascii="Times New Roman" w:eastAsia="PMingLiU" w:hAnsi="Times New Roman" w:cs="Times New Roman"/>
          <w:lang w:eastAsia="zh-TW"/>
        </w:rPr>
      </w:pPr>
      <w:r>
        <w:rPr>
          <w:rFonts w:ascii="Times New Roman" w:eastAsia="PMingLiU" w:hAnsi="Times New Roman" w:cs="Times New Roman"/>
          <w:lang w:eastAsia="zh-TW"/>
        </w:rPr>
        <w:t xml:space="preserve">Presented to </w:t>
      </w:r>
      <w:r w:rsidR="00C85623">
        <w:rPr>
          <w:rFonts w:ascii="Times New Roman" w:eastAsia="PMingLiU" w:hAnsi="Times New Roman" w:cs="Times New Roman"/>
          <w:lang w:eastAsia="zh-TW"/>
        </w:rPr>
        <w:t xml:space="preserve">Prof. </w:t>
      </w:r>
      <w:r w:rsidR="00C85623" w:rsidRPr="00C85623">
        <w:rPr>
          <w:rFonts w:ascii="Times New Roman" w:eastAsia="PMingLiU" w:hAnsi="Times New Roman" w:cs="Times New Roman"/>
          <w:lang w:eastAsia="zh-TW"/>
        </w:rPr>
        <w:t>Arié Dahan</w:t>
      </w:r>
    </w:p>
    <w:p w14:paraId="2639EA92" w14:textId="77777777" w:rsidR="00C85623" w:rsidRDefault="00C85623" w:rsidP="00C85623">
      <w:pPr>
        <w:spacing w:before="100" w:after="100" w:line="288" w:lineRule="auto"/>
        <w:jc w:val="center"/>
        <w:rPr>
          <w:rFonts w:ascii="Times New Roman" w:eastAsia="PMingLiU" w:hAnsi="Times New Roman" w:cs="Times New Roman"/>
          <w:lang w:eastAsia="zh-TW"/>
        </w:rPr>
      </w:pPr>
    </w:p>
    <w:p w14:paraId="5ACA1E27" w14:textId="16A7F4DF" w:rsidR="00C85623" w:rsidRDefault="00C85623" w:rsidP="004C2AFF">
      <w:pPr>
        <w:spacing w:before="100" w:after="100" w:line="288" w:lineRule="auto"/>
        <w:rPr>
          <w:rFonts w:ascii="Times New Roman" w:eastAsia="PMingLiU" w:hAnsi="Times New Roman" w:cs="Times New Roman"/>
          <w:lang w:eastAsia="zh-TW"/>
        </w:rPr>
      </w:pPr>
    </w:p>
    <w:p w14:paraId="4469CD21" w14:textId="77777777" w:rsidR="004C2AFF" w:rsidRDefault="004C2AFF" w:rsidP="004C2AFF">
      <w:pPr>
        <w:spacing w:before="100" w:after="100" w:line="288" w:lineRule="auto"/>
        <w:rPr>
          <w:rFonts w:ascii="Times New Roman" w:eastAsia="PMingLiU" w:hAnsi="Times New Roman" w:cs="Times New Roman"/>
          <w:lang w:eastAsia="zh-TW"/>
        </w:rPr>
      </w:pPr>
    </w:p>
    <w:p w14:paraId="0CF624CD" w14:textId="31C1C07F" w:rsidR="004C2AFF" w:rsidRDefault="004C2AFF" w:rsidP="004C2AFF">
      <w:pPr>
        <w:spacing w:before="40" w:after="40"/>
        <w:jc w:val="center"/>
        <w:rPr>
          <w:rFonts w:ascii="Times New Roman" w:eastAsia="PMingLiU" w:hAnsi="Times New Roman" w:cs="Times New Roman"/>
          <w:lang w:eastAsia="zh-TW"/>
        </w:rPr>
      </w:pPr>
      <w:r>
        <w:rPr>
          <w:rFonts w:ascii="Times New Roman" w:eastAsia="PMingLiU" w:hAnsi="Times New Roman" w:cs="Times New Roman"/>
          <w:lang w:eastAsia="zh-TW"/>
        </w:rPr>
        <w:t>BAI, Ling</w:t>
      </w:r>
    </w:p>
    <w:p w14:paraId="7102917D" w14:textId="2B40F921" w:rsidR="004C2AFF" w:rsidRDefault="004C2AFF" w:rsidP="004C2AFF">
      <w:pPr>
        <w:spacing w:before="40" w:after="40"/>
        <w:jc w:val="center"/>
        <w:rPr>
          <w:rFonts w:ascii="Times New Roman" w:eastAsia="PMingLiU" w:hAnsi="Times New Roman" w:cs="Times New Roman"/>
          <w:lang w:eastAsia="zh-TW"/>
        </w:rPr>
      </w:pPr>
      <w:r>
        <w:rPr>
          <w:rFonts w:ascii="Times New Roman" w:eastAsia="PMingLiU" w:hAnsi="Times New Roman" w:cs="Times New Roman"/>
          <w:lang w:eastAsia="zh-TW"/>
        </w:rPr>
        <w:t>DINGLEY, Megan</w:t>
      </w:r>
    </w:p>
    <w:p w14:paraId="5466CBAD" w14:textId="00F958D1" w:rsidR="004C2AFF" w:rsidRDefault="004C2AFF" w:rsidP="004C2AFF">
      <w:pPr>
        <w:spacing w:before="40" w:after="40"/>
        <w:jc w:val="center"/>
        <w:rPr>
          <w:rFonts w:ascii="Times New Roman" w:eastAsia="PMingLiU" w:hAnsi="Times New Roman" w:cs="Times New Roman"/>
          <w:lang w:eastAsia="zh-TW"/>
        </w:rPr>
      </w:pPr>
      <w:r>
        <w:rPr>
          <w:rFonts w:ascii="Times New Roman" w:eastAsia="PMingLiU" w:hAnsi="Times New Roman" w:cs="Times New Roman"/>
          <w:lang w:eastAsia="zh-TW"/>
        </w:rPr>
        <w:t>JIN, Xiao</w:t>
      </w:r>
    </w:p>
    <w:p w14:paraId="47D7AB1F" w14:textId="77777777" w:rsidR="004C2AFF" w:rsidRDefault="004C2AFF" w:rsidP="004C2AFF">
      <w:pPr>
        <w:spacing w:before="40" w:after="40"/>
        <w:jc w:val="center"/>
        <w:rPr>
          <w:rFonts w:ascii="Times New Roman" w:eastAsia="PMingLiU" w:hAnsi="Times New Roman" w:cs="Times New Roman"/>
          <w:lang w:eastAsia="zh-TW"/>
        </w:rPr>
      </w:pPr>
      <w:r>
        <w:rPr>
          <w:rFonts w:ascii="Times New Roman" w:eastAsia="PMingLiU" w:hAnsi="Times New Roman" w:cs="Times New Roman"/>
          <w:lang w:eastAsia="zh-TW"/>
        </w:rPr>
        <w:t>LIU, Zixuan</w:t>
      </w:r>
    </w:p>
    <w:p w14:paraId="1E017FCF" w14:textId="77777777" w:rsidR="004C2AFF" w:rsidRDefault="004C2AFF" w:rsidP="004C2AFF">
      <w:pPr>
        <w:spacing w:before="40" w:after="40"/>
        <w:jc w:val="center"/>
        <w:rPr>
          <w:rFonts w:ascii="Times New Roman" w:eastAsia="PMingLiU" w:hAnsi="Times New Roman" w:cs="Times New Roman"/>
          <w:lang w:eastAsia="zh-TW"/>
        </w:rPr>
      </w:pPr>
      <w:r>
        <w:rPr>
          <w:rFonts w:ascii="Times New Roman" w:eastAsia="PMingLiU" w:hAnsi="Times New Roman" w:cs="Times New Roman"/>
          <w:lang w:eastAsia="zh-TW"/>
        </w:rPr>
        <w:t>VARMA, Advait A.</w:t>
      </w:r>
    </w:p>
    <w:p w14:paraId="62E94647" w14:textId="77777777" w:rsidR="004C2AFF" w:rsidRDefault="004C2AFF" w:rsidP="004C2AFF">
      <w:pPr>
        <w:spacing w:before="40" w:after="40"/>
        <w:jc w:val="center"/>
        <w:rPr>
          <w:rFonts w:ascii="Times New Roman" w:eastAsia="PMingLiU" w:hAnsi="Times New Roman" w:cs="Times New Roman"/>
          <w:lang w:eastAsia="zh-TW"/>
        </w:rPr>
      </w:pPr>
    </w:p>
    <w:p w14:paraId="0AE93956" w14:textId="77777777" w:rsidR="004C2AFF" w:rsidRDefault="004C2AFF" w:rsidP="004C2AFF">
      <w:pPr>
        <w:spacing w:before="40" w:after="40"/>
        <w:jc w:val="center"/>
        <w:rPr>
          <w:rFonts w:ascii="Times New Roman" w:eastAsia="PMingLiU" w:hAnsi="Times New Roman" w:cs="Times New Roman"/>
          <w:lang w:eastAsia="zh-TW"/>
        </w:rPr>
      </w:pPr>
    </w:p>
    <w:p w14:paraId="09BF02EE" w14:textId="77777777" w:rsidR="004C2AFF" w:rsidRDefault="004C2AFF" w:rsidP="004C2AFF">
      <w:pPr>
        <w:spacing w:before="40" w:after="40"/>
        <w:jc w:val="center"/>
        <w:rPr>
          <w:rFonts w:ascii="Times New Roman" w:eastAsia="PMingLiU" w:hAnsi="Times New Roman" w:cs="Times New Roman"/>
          <w:lang w:eastAsia="zh-TW"/>
        </w:rPr>
      </w:pPr>
    </w:p>
    <w:p w14:paraId="528A694A" w14:textId="77777777" w:rsidR="004C2AFF" w:rsidRDefault="004C2AFF" w:rsidP="004C2AFF">
      <w:pPr>
        <w:spacing w:before="40" w:after="40"/>
        <w:jc w:val="center"/>
        <w:rPr>
          <w:rFonts w:ascii="Times New Roman" w:eastAsia="PMingLiU" w:hAnsi="Times New Roman" w:cs="Times New Roman"/>
          <w:lang w:eastAsia="zh-TW"/>
        </w:rPr>
      </w:pPr>
    </w:p>
    <w:p w14:paraId="0326D816" w14:textId="415A2885" w:rsidR="004C2AFF" w:rsidRPr="00C85623" w:rsidRDefault="004C2AFF" w:rsidP="004C2AFF">
      <w:pPr>
        <w:spacing w:before="40" w:after="40"/>
        <w:jc w:val="center"/>
        <w:rPr>
          <w:rFonts w:ascii="Times New Roman" w:eastAsia="PMingLiU" w:hAnsi="Times New Roman" w:cs="Times New Roman"/>
          <w:lang w:eastAsia="zh-TW"/>
        </w:rPr>
        <w:sectPr w:rsidR="004C2AFF" w:rsidRPr="00C85623">
          <w:footerReference w:type="even" r:id="rId9"/>
          <w:footerReference w:type="default" r:id="rId10"/>
          <w:pgSz w:w="12240" w:h="15840"/>
          <w:pgMar w:top="1440" w:right="1440" w:bottom="1440" w:left="1440" w:header="720" w:footer="720" w:gutter="0"/>
          <w:cols w:space="720"/>
          <w:docGrid w:linePitch="360"/>
        </w:sectPr>
      </w:pPr>
      <w:r>
        <w:rPr>
          <w:rFonts w:ascii="Times New Roman" w:eastAsia="PMingLiU" w:hAnsi="Times New Roman" w:cs="Times New Roman"/>
          <w:lang w:eastAsia="zh-TW"/>
        </w:rPr>
        <w:t>November 30</w:t>
      </w:r>
      <w:r w:rsidRPr="004C2AFF">
        <w:rPr>
          <w:rFonts w:ascii="Times New Roman" w:eastAsia="PMingLiU" w:hAnsi="Times New Roman" w:cs="Times New Roman"/>
          <w:vertAlign w:val="superscript"/>
          <w:lang w:eastAsia="zh-TW"/>
        </w:rPr>
        <w:t>th</w:t>
      </w:r>
      <w:r>
        <w:rPr>
          <w:rFonts w:ascii="Times New Roman" w:eastAsia="PMingLiU" w:hAnsi="Times New Roman" w:cs="Times New Roman"/>
          <w:lang w:eastAsia="zh-TW"/>
        </w:rPr>
        <w:t>, 2021</w:t>
      </w:r>
    </w:p>
    <w:sdt>
      <w:sdtPr>
        <w:rPr>
          <w:rFonts w:asciiTheme="minorHAnsi" w:eastAsiaTheme="minorEastAsia" w:hAnsiTheme="minorHAnsi" w:cstheme="minorBidi"/>
          <w:b w:val="0"/>
          <w:bCs w:val="0"/>
          <w:color w:val="auto"/>
          <w:sz w:val="24"/>
          <w:szCs w:val="24"/>
          <w:lang w:eastAsia="zh-CN"/>
        </w:rPr>
        <w:id w:val="-818502124"/>
        <w:docPartObj>
          <w:docPartGallery w:val="Table of Contents"/>
          <w:docPartUnique/>
        </w:docPartObj>
      </w:sdtPr>
      <w:sdtEndPr>
        <w:rPr>
          <w:noProof/>
        </w:rPr>
      </w:sdtEndPr>
      <w:sdtContent>
        <w:p w14:paraId="2CD08D8D" w14:textId="786F79AB" w:rsidR="00710963" w:rsidRPr="00710963" w:rsidRDefault="00710963" w:rsidP="00710963">
          <w:pPr>
            <w:pStyle w:val="TOCHeading"/>
            <w:jc w:val="center"/>
          </w:pPr>
          <w:r w:rsidRPr="00710963">
            <w:t>Table of Contents</w:t>
          </w:r>
        </w:p>
        <w:p w14:paraId="6FE0B0C6" w14:textId="2A73176E" w:rsidR="00710963" w:rsidRPr="00710963" w:rsidRDefault="00710963">
          <w:pPr>
            <w:pStyle w:val="TOC1"/>
            <w:tabs>
              <w:tab w:val="right" w:leader="dot" w:pos="9350"/>
            </w:tabs>
            <w:rPr>
              <w:rFonts w:cstheme="minorBidi"/>
              <w:b w:val="0"/>
              <w:bCs w:val="0"/>
              <w:i w:val="0"/>
              <w:iCs w:val="0"/>
              <w:noProof/>
            </w:rPr>
          </w:pPr>
          <w:r w:rsidRPr="00710963">
            <w:rPr>
              <w:b w:val="0"/>
              <w:bCs w:val="0"/>
              <w:i w:val="0"/>
              <w:iCs w:val="0"/>
            </w:rPr>
            <w:fldChar w:fldCharType="begin"/>
          </w:r>
          <w:r w:rsidRPr="00710963">
            <w:rPr>
              <w:i w:val="0"/>
              <w:iCs w:val="0"/>
            </w:rPr>
            <w:instrText xml:space="preserve"> TOC \o "1-3" \h \z \u </w:instrText>
          </w:r>
          <w:r w:rsidRPr="00710963">
            <w:rPr>
              <w:b w:val="0"/>
              <w:bCs w:val="0"/>
              <w:i w:val="0"/>
              <w:iCs w:val="0"/>
            </w:rPr>
            <w:fldChar w:fldCharType="separate"/>
          </w:r>
          <w:hyperlink w:anchor="_Toc88879720" w:history="1">
            <w:r w:rsidRPr="00710963">
              <w:rPr>
                <w:rStyle w:val="Hyperlink"/>
                <w:rFonts w:ascii="Times New Roman" w:hAnsi="Times New Roman" w:cs="Times New Roman"/>
                <w:i w:val="0"/>
                <w:iCs w:val="0"/>
                <w:noProof/>
              </w:rPr>
              <w:t>Executive Summary</w:t>
            </w:r>
            <w:r w:rsidRPr="00710963">
              <w:rPr>
                <w:i w:val="0"/>
                <w:iCs w:val="0"/>
                <w:noProof/>
                <w:webHidden/>
              </w:rPr>
              <w:tab/>
            </w:r>
            <w:r w:rsidRPr="00710963">
              <w:rPr>
                <w:i w:val="0"/>
                <w:iCs w:val="0"/>
                <w:noProof/>
                <w:webHidden/>
              </w:rPr>
              <w:fldChar w:fldCharType="begin"/>
            </w:r>
            <w:r w:rsidRPr="00710963">
              <w:rPr>
                <w:i w:val="0"/>
                <w:iCs w:val="0"/>
                <w:noProof/>
                <w:webHidden/>
              </w:rPr>
              <w:instrText xml:space="preserve"> PAGEREF _Toc88879720 \h </w:instrText>
            </w:r>
            <w:r w:rsidRPr="00710963">
              <w:rPr>
                <w:i w:val="0"/>
                <w:iCs w:val="0"/>
                <w:noProof/>
                <w:webHidden/>
              </w:rPr>
            </w:r>
            <w:r w:rsidRPr="00710963">
              <w:rPr>
                <w:i w:val="0"/>
                <w:iCs w:val="0"/>
                <w:noProof/>
                <w:webHidden/>
              </w:rPr>
              <w:fldChar w:fldCharType="separate"/>
            </w:r>
            <w:r w:rsidRPr="00710963">
              <w:rPr>
                <w:i w:val="0"/>
                <w:iCs w:val="0"/>
                <w:noProof/>
                <w:webHidden/>
              </w:rPr>
              <w:t>3</w:t>
            </w:r>
            <w:r w:rsidRPr="00710963">
              <w:rPr>
                <w:i w:val="0"/>
                <w:iCs w:val="0"/>
                <w:noProof/>
                <w:webHidden/>
              </w:rPr>
              <w:fldChar w:fldCharType="end"/>
            </w:r>
          </w:hyperlink>
        </w:p>
        <w:p w14:paraId="19EA82A9" w14:textId="4E15E680" w:rsidR="00710963" w:rsidRPr="00710963" w:rsidRDefault="007B1554">
          <w:pPr>
            <w:pStyle w:val="TOC1"/>
            <w:tabs>
              <w:tab w:val="right" w:leader="dot" w:pos="9350"/>
            </w:tabs>
            <w:rPr>
              <w:rFonts w:cstheme="minorBidi"/>
              <w:b w:val="0"/>
              <w:bCs w:val="0"/>
              <w:i w:val="0"/>
              <w:iCs w:val="0"/>
              <w:noProof/>
            </w:rPr>
          </w:pPr>
          <w:hyperlink w:anchor="_Toc88879721" w:history="1">
            <w:r w:rsidR="00710963" w:rsidRPr="00710963">
              <w:rPr>
                <w:rStyle w:val="Hyperlink"/>
                <w:rFonts w:ascii="Times New Roman" w:hAnsi="Times New Roman" w:cs="Times New Roman"/>
                <w:i w:val="0"/>
                <w:iCs w:val="0"/>
                <w:noProof/>
              </w:rPr>
              <w:t>Major Concerns</w:t>
            </w:r>
            <w:r w:rsidR="00710963" w:rsidRPr="00710963">
              <w:rPr>
                <w:i w:val="0"/>
                <w:iCs w:val="0"/>
                <w:noProof/>
                <w:webHidden/>
              </w:rPr>
              <w:tab/>
            </w:r>
            <w:r w:rsidR="00710963" w:rsidRPr="00710963">
              <w:rPr>
                <w:i w:val="0"/>
                <w:iCs w:val="0"/>
                <w:noProof/>
                <w:webHidden/>
              </w:rPr>
              <w:fldChar w:fldCharType="begin"/>
            </w:r>
            <w:r w:rsidR="00710963" w:rsidRPr="00710963">
              <w:rPr>
                <w:i w:val="0"/>
                <w:iCs w:val="0"/>
                <w:noProof/>
                <w:webHidden/>
              </w:rPr>
              <w:instrText xml:space="preserve"> PAGEREF _Toc88879721 \h </w:instrText>
            </w:r>
            <w:r w:rsidR="00710963" w:rsidRPr="00710963">
              <w:rPr>
                <w:i w:val="0"/>
                <w:iCs w:val="0"/>
                <w:noProof/>
                <w:webHidden/>
              </w:rPr>
            </w:r>
            <w:r w:rsidR="00710963" w:rsidRPr="00710963">
              <w:rPr>
                <w:i w:val="0"/>
                <w:iCs w:val="0"/>
                <w:noProof/>
                <w:webHidden/>
              </w:rPr>
              <w:fldChar w:fldCharType="separate"/>
            </w:r>
            <w:r w:rsidR="00710963" w:rsidRPr="00710963">
              <w:rPr>
                <w:i w:val="0"/>
                <w:iCs w:val="0"/>
                <w:noProof/>
                <w:webHidden/>
              </w:rPr>
              <w:t>4</w:t>
            </w:r>
            <w:r w:rsidR="00710963" w:rsidRPr="00710963">
              <w:rPr>
                <w:i w:val="0"/>
                <w:iCs w:val="0"/>
                <w:noProof/>
                <w:webHidden/>
              </w:rPr>
              <w:fldChar w:fldCharType="end"/>
            </w:r>
          </w:hyperlink>
        </w:p>
        <w:p w14:paraId="54A34211" w14:textId="055D51C7" w:rsidR="00710963" w:rsidRPr="00710963" w:rsidRDefault="007B1554">
          <w:pPr>
            <w:pStyle w:val="TOC2"/>
            <w:tabs>
              <w:tab w:val="right" w:leader="dot" w:pos="9350"/>
            </w:tabs>
            <w:rPr>
              <w:rFonts w:cstheme="minorBidi"/>
              <w:b w:val="0"/>
              <w:bCs w:val="0"/>
              <w:noProof/>
              <w:sz w:val="24"/>
              <w:szCs w:val="24"/>
            </w:rPr>
          </w:pPr>
          <w:hyperlink w:anchor="_Toc88879722" w:history="1">
            <w:r w:rsidR="00710963" w:rsidRPr="00710963">
              <w:rPr>
                <w:rStyle w:val="Hyperlink"/>
                <w:rFonts w:ascii="Times New Roman" w:hAnsi="Times New Roman" w:cs="Times New Roman"/>
                <w:noProof/>
              </w:rPr>
              <w:t>Leverage</w:t>
            </w:r>
            <w:r w:rsidR="00710963" w:rsidRPr="00710963">
              <w:rPr>
                <w:noProof/>
                <w:webHidden/>
              </w:rPr>
              <w:tab/>
            </w:r>
            <w:r w:rsidR="00710963" w:rsidRPr="00710963">
              <w:rPr>
                <w:noProof/>
                <w:webHidden/>
              </w:rPr>
              <w:fldChar w:fldCharType="begin"/>
            </w:r>
            <w:r w:rsidR="00710963" w:rsidRPr="00710963">
              <w:rPr>
                <w:noProof/>
                <w:webHidden/>
              </w:rPr>
              <w:instrText xml:space="preserve"> PAGEREF _Toc88879722 \h </w:instrText>
            </w:r>
            <w:r w:rsidR="00710963" w:rsidRPr="00710963">
              <w:rPr>
                <w:noProof/>
                <w:webHidden/>
              </w:rPr>
            </w:r>
            <w:r w:rsidR="00710963" w:rsidRPr="00710963">
              <w:rPr>
                <w:noProof/>
                <w:webHidden/>
              </w:rPr>
              <w:fldChar w:fldCharType="separate"/>
            </w:r>
            <w:r w:rsidR="00710963" w:rsidRPr="00710963">
              <w:rPr>
                <w:noProof/>
                <w:webHidden/>
              </w:rPr>
              <w:t>4</w:t>
            </w:r>
            <w:r w:rsidR="00710963" w:rsidRPr="00710963">
              <w:rPr>
                <w:noProof/>
                <w:webHidden/>
              </w:rPr>
              <w:fldChar w:fldCharType="end"/>
            </w:r>
          </w:hyperlink>
        </w:p>
        <w:p w14:paraId="162A7A9E" w14:textId="2F22015B" w:rsidR="00710963" w:rsidRPr="00710963" w:rsidRDefault="007B1554">
          <w:pPr>
            <w:pStyle w:val="TOC2"/>
            <w:tabs>
              <w:tab w:val="right" w:leader="dot" w:pos="9350"/>
            </w:tabs>
            <w:rPr>
              <w:rFonts w:cstheme="minorBidi"/>
              <w:b w:val="0"/>
              <w:bCs w:val="0"/>
              <w:noProof/>
              <w:sz w:val="24"/>
              <w:szCs w:val="24"/>
            </w:rPr>
          </w:pPr>
          <w:hyperlink w:anchor="_Toc88879723" w:history="1">
            <w:r w:rsidR="00710963" w:rsidRPr="00710963">
              <w:rPr>
                <w:rStyle w:val="Hyperlink"/>
                <w:rFonts w:ascii="Times New Roman" w:hAnsi="Times New Roman" w:cs="Times New Roman"/>
                <w:noProof/>
              </w:rPr>
              <w:t>Lack of Transparency</w:t>
            </w:r>
            <w:r w:rsidR="00710963" w:rsidRPr="00710963">
              <w:rPr>
                <w:noProof/>
                <w:webHidden/>
              </w:rPr>
              <w:tab/>
            </w:r>
            <w:r w:rsidR="00710963" w:rsidRPr="00710963">
              <w:rPr>
                <w:noProof/>
                <w:webHidden/>
              </w:rPr>
              <w:fldChar w:fldCharType="begin"/>
            </w:r>
            <w:r w:rsidR="00710963" w:rsidRPr="00710963">
              <w:rPr>
                <w:noProof/>
                <w:webHidden/>
              </w:rPr>
              <w:instrText xml:space="preserve"> PAGEREF _Toc88879723 \h </w:instrText>
            </w:r>
            <w:r w:rsidR="00710963" w:rsidRPr="00710963">
              <w:rPr>
                <w:noProof/>
                <w:webHidden/>
              </w:rPr>
            </w:r>
            <w:r w:rsidR="00710963" w:rsidRPr="00710963">
              <w:rPr>
                <w:noProof/>
                <w:webHidden/>
              </w:rPr>
              <w:fldChar w:fldCharType="separate"/>
            </w:r>
            <w:r w:rsidR="00710963" w:rsidRPr="00710963">
              <w:rPr>
                <w:noProof/>
                <w:webHidden/>
              </w:rPr>
              <w:t>4</w:t>
            </w:r>
            <w:r w:rsidR="00710963" w:rsidRPr="00710963">
              <w:rPr>
                <w:noProof/>
                <w:webHidden/>
              </w:rPr>
              <w:fldChar w:fldCharType="end"/>
            </w:r>
          </w:hyperlink>
        </w:p>
        <w:p w14:paraId="76AEBD36" w14:textId="61597B2D" w:rsidR="00710963" w:rsidRPr="00710963" w:rsidRDefault="007B1554">
          <w:pPr>
            <w:pStyle w:val="TOC2"/>
            <w:tabs>
              <w:tab w:val="right" w:leader="dot" w:pos="9350"/>
            </w:tabs>
            <w:rPr>
              <w:rFonts w:cstheme="minorBidi"/>
              <w:b w:val="0"/>
              <w:bCs w:val="0"/>
              <w:noProof/>
              <w:sz w:val="24"/>
              <w:szCs w:val="24"/>
            </w:rPr>
          </w:pPr>
          <w:hyperlink w:anchor="_Toc88879724" w:history="1">
            <w:r w:rsidR="00710963" w:rsidRPr="00710963">
              <w:rPr>
                <w:rStyle w:val="Hyperlink"/>
                <w:rFonts w:ascii="Times New Roman" w:hAnsi="Times New Roman" w:cs="Times New Roman"/>
                <w:noProof/>
              </w:rPr>
              <w:t>Illiquidity</w:t>
            </w:r>
            <w:r w:rsidR="00710963" w:rsidRPr="00710963">
              <w:rPr>
                <w:noProof/>
                <w:webHidden/>
              </w:rPr>
              <w:tab/>
            </w:r>
            <w:r w:rsidR="00710963" w:rsidRPr="00710963">
              <w:rPr>
                <w:noProof/>
                <w:webHidden/>
              </w:rPr>
              <w:fldChar w:fldCharType="begin"/>
            </w:r>
            <w:r w:rsidR="00710963" w:rsidRPr="00710963">
              <w:rPr>
                <w:noProof/>
                <w:webHidden/>
              </w:rPr>
              <w:instrText xml:space="preserve"> PAGEREF _Toc88879724 \h </w:instrText>
            </w:r>
            <w:r w:rsidR="00710963" w:rsidRPr="00710963">
              <w:rPr>
                <w:noProof/>
                <w:webHidden/>
              </w:rPr>
            </w:r>
            <w:r w:rsidR="00710963" w:rsidRPr="00710963">
              <w:rPr>
                <w:noProof/>
                <w:webHidden/>
              </w:rPr>
              <w:fldChar w:fldCharType="separate"/>
            </w:r>
            <w:r w:rsidR="00710963" w:rsidRPr="00710963">
              <w:rPr>
                <w:noProof/>
                <w:webHidden/>
              </w:rPr>
              <w:t>5</w:t>
            </w:r>
            <w:r w:rsidR="00710963" w:rsidRPr="00710963">
              <w:rPr>
                <w:noProof/>
                <w:webHidden/>
              </w:rPr>
              <w:fldChar w:fldCharType="end"/>
            </w:r>
          </w:hyperlink>
        </w:p>
        <w:p w14:paraId="289DBB34" w14:textId="6E96E6FF" w:rsidR="00710963" w:rsidRPr="00710963" w:rsidRDefault="007B1554">
          <w:pPr>
            <w:pStyle w:val="TOC1"/>
            <w:tabs>
              <w:tab w:val="right" w:leader="dot" w:pos="9350"/>
            </w:tabs>
            <w:rPr>
              <w:rFonts w:cstheme="minorBidi"/>
              <w:b w:val="0"/>
              <w:bCs w:val="0"/>
              <w:i w:val="0"/>
              <w:iCs w:val="0"/>
              <w:noProof/>
            </w:rPr>
          </w:pPr>
          <w:hyperlink w:anchor="_Toc88879725" w:history="1">
            <w:r w:rsidR="00710963" w:rsidRPr="00710963">
              <w:rPr>
                <w:rStyle w:val="Hyperlink"/>
                <w:rFonts w:ascii="Times New Roman" w:hAnsi="Times New Roman" w:cs="Times New Roman"/>
                <w:i w:val="0"/>
                <w:iCs w:val="0"/>
                <w:noProof/>
              </w:rPr>
              <w:t>Recommended Portfolio for 2021</w:t>
            </w:r>
            <w:r w:rsidR="00710963" w:rsidRPr="00710963">
              <w:rPr>
                <w:i w:val="0"/>
                <w:iCs w:val="0"/>
                <w:noProof/>
                <w:webHidden/>
              </w:rPr>
              <w:tab/>
            </w:r>
            <w:r w:rsidR="00710963" w:rsidRPr="00710963">
              <w:rPr>
                <w:i w:val="0"/>
                <w:iCs w:val="0"/>
                <w:noProof/>
                <w:webHidden/>
              </w:rPr>
              <w:fldChar w:fldCharType="begin"/>
            </w:r>
            <w:r w:rsidR="00710963" w:rsidRPr="00710963">
              <w:rPr>
                <w:i w:val="0"/>
                <w:iCs w:val="0"/>
                <w:noProof/>
                <w:webHidden/>
              </w:rPr>
              <w:instrText xml:space="preserve"> PAGEREF _Toc88879725 \h </w:instrText>
            </w:r>
            <w:r w:rsidR="00710963" w:rsidRPr="00710963">
              <w:rPr>
                <w:i w:val="0"/>
                <w:iCs w:val="0"/>
                <w:noProof/>
                <w:webHidden/>
              </w:rPr>
            </w:r>
            <w:r w:rsidR="00710963" w:rsidRPr="00710963">
              <w:rPr>
                <w:i w:val="0"/>
                <w:iCs w:val="0"/>
                <w:noProof/>
                <w:webHidden/>
              </w:rPr>
              <w:fldChar w:fldCharType="separate"/>
            </w:r>
            <w:r w:rsidR="00710963" w:rsidRPr="00710963">
              <w:rPr>
                <w:i w:val="0"/>
                <w:iCs w:val="0"/>
                <w:noProof/>
                <w:webHidden/>
              </w:rPr>
              <w:t>5</w:t>
            </w:r>
            <w:r w:rsidR="00710963" w:rsidRPr="00710963">
              <w:rPr>
                <w:i w:val="0"/>
                <w:iCs w:val="0"/>
                <w:noProof/>
                <w:webHidden/>
              </w:rPr>
              <w:fldChar w:fldCharType="end"/>
            </w:r>
          </w:hyperlink>
        </w:p>
        <w:p w14:paraId="462373A9" w14:textId="1E8D06A0" w:rsidR="00710963" w:rsidRPr="00710963" w:rsidRDefault="007B1554">
          <w:pPr>
            <w:pStyle w:val="TOC2"/>
            <w:tabs>
              <w:tab w:val="right" w:leader="dot" w:pos="9350"/>
            </w:tabs>
            <w:rPr>
              <w:rFonts w:cstheme="minorBidi"/>
              <w:b w:val="0"/>
              <w:bCs w:val="0"/>
              <w:noProof/>
              <w:sz w:val="24"/>
              <w:szCs w:val="24"/>
            </w:rPr>
          </w:pPr>
          <w:hyperlink w:anchor="_Toc88879726" w:history="1">
            <w:r w:rsidR="00710963" w:rsidRPr="00710963">
              <w:rPr>
                <w:rStyle w:val="Hyperlink"/>
                <w:rFonts w:ascii="Times New Roman" w:hAnsi="Times New Roman" w:cs="Times New Roman"/>
                <w:noProof/>
              </w:rPr>
              <w:t>Benchmark Portfolio</w:t>
            </w:r>
            <w:r w:rsidR="00710963" w:rsidRPr="00710963">
              <w:rPr>
                <w:noProof/>
                <w:webHidden/>
              </w:rPr>
              <w:tab/>
            </w:r>
            <w:r w:rsidR="00710963" w:rsidRPr="00710963">
              <w:rPr>
                <w:noProof/>
                <w:webHidden/>
              </w:rPr>
              <w:fldChar w:fldCharType="begin"/>
            </w:r>
            <w:r w:rsidR="00710963" w:rsidRPr="00710963">
              <w:rPr>
                <w:noProof/>
                <w:webHidden/>
              </w:rPr>
              <w:instrText xml:space="preserve"> PAGEREF _Toc88879726 \h </w:instrText>
            </w:r>
            <w:r w:rsidR="00710963" w:rsidRPr="00710963">
              <w:rPr>
                <w:noProof/>
                <w:webHidden/>
              </w:rPr>
            </w:r>
            <w:r w:rsidR="00710963" w:rsidRPr="00710963">
              <w:rPr>
                <w:noProof/>
                <w:webHidden/>
              </w:rPr>
              <w:fldChar w:fldCharType="separate"/>
            </w:r>
            <w:r w:rsidR="00710963" w:rsidRPr="00710963">
              <w:rPr>
                <w:noProof/>
                <w:webHidden/>
              </w:rPr>
              <w:t>5</w:t>
            </w:r>
            <w:r w:rsidR="00710963" w:rsidRPr="00710963">
              <w:rPr>
                <w:noProof/>
                <w:webHidden/>
              </w:rPr>
              <w:fldChar w:fldCharType="end"/>
            </w:r>
          </w:hyperlink>
        </w:p>
        <w:p w14:paraId="5918F5F5" w14:textId="30D3C2D3" w:rsidR="00710963" w:rsidRPr="00710963" w:rsidRDefault="007B1554">
          <w:pPr>
            <w:pStyle w:val="TOC2"/>
            <w:tabs>
              <w:tab w:val="right" w:leader="dot" w:pos="9350"/>
            </w:tabs>
            <w:rPr>
              <w:rFonts w:cstheme="minorBidi"/>
              <w:b w:val="0"/>
              <w:bCs w:val="0"/>
              <w:noProof/>
              <w:sz w:val="24"/>
              <w:szCs w:val="24"/>
            </w:rPr>
          </w:pPr>
          <w:hyperlink w:anchor="_Toc88879727" w:history="1">
            <w:r w:rsidR="00710963" w:rsidRPr="00710963">
              <w:rPr>
                <w:rStyle w:val="Hyperlink"/>
                <w:rFonts w:ascii="Times New Roman" w:hAnsi="Times New Roman" w:cs="Times New Roman"/>
                <w:noProof/>
              </w:rPr>
              <w:t>Constraints Analysis</w:t>
            </w:r>
            <w:r w:rsidR="00710963" w:rsidRPr="00710963">
              <w:rPr>
                <w:noProof/>
                <w:webHidden/>
              </w:rPr>
              <w:tab/>
            </w:r>
            <w:r w:rsidR="00710963" w:rsidRPr="00710963">
              <w:rPr>
                <w:noProof/>
                <w:webHidden/>
              </w:rPr>
              <w:fldChar w:fldCharType="begin"/>
            </w:r>
            <w:r w:rsidR="00710963" w:rsidRPr="00710963">
              <w:rPr>
                <w:noProof/>
                <w:webHidden/>
              </w:rPr>
              <w:instrText xml:space="preserve"> PAGEREF _Toc88879727 \h </w:instrText>
            </w:r>
            <w:r w:rsidR="00710963" w:rsidRPr="00710963">
              <w:rPr>
                <w:noProof/>
                <w:webHidden/>
              </w:rPr>
            </w:r>
            <w:r w:rsidR="00710963" w:rsidRPr="00710963">
              <w:rPr>
                <w:noProof/>
                <w:webHidden/>
              </w:rPr>
              <w:fldChar w:fldCharType="separate"/>
            </w:r>
            <w:r w:rsidR="00710963" w:rsidRPr="00710963">
              <w:rPr>
                <w:noProof/>
                <w:webHidden/>
              </w:rPr>
              <w:t>5</w:t>
            </w:r>
            <w:r w:rsidR="00710963" w:rsidRPr="00710963">
              <w:rPr>
                <w:noProof/>
                <w:webHidden/>
              </w:rPr>
              <w:fldChar w:fldCharType="end"/>
            </w:r>
          </w:hyperlink>
        </w:p>
        <w:p w14:paraId="2DA0907F" w14:textId="7E93D4C7" w:rsidR="00710963" w:rsidRPr="00710963" w:rsidRDefault="007B1554">
          <w:pPr>
            <w:pStyle w:val="TOC2"/>
            <w:tabs>
              <w:tab w:val="right" w:leader="dot" w:pos="9350"/>
            </w:tabs>
            <w:rPr>
              <w:rFonts w:cstheme="minorBidi"/>
              <w:b w:val="0"/>
              <w:bCs w:val="0"/>
              <w:noProof/>
              <w:sz w:val="24"/>
              <w:szCs w:val="24"/>
            </w:rPr>
          </w:pPr>
          <w:hyperlink w:anchor="_Toc88879728" w:history="1">
            <w:r w:rsidR="00710963" w:rsidRPr="00710963">
              <w:rPr>
                <w:rStyle w:val="Hyperlink"/>
                <w:rFonts w:ascii="Times New Roman" w:hAnsi="Times New Roman" w:cs="Times New Roman"/>
                <w:noProof/>
              </w:rPr>
              <w:t>Final Recommendation</w:t>
            </w:r>
            <w:r w:rsidR="00710963" w:rsidRPr="00710963">
              <w:rPr>
                <w:noProof/>
                <w:webHidden/>
              </w:rPr>
              <w:tab/>
            </w:r>
            <w:r w:rsidR="00710963" w:rsidRPr="00710963">
              <w:rPr>
                <w:noProof/>
                <w:webHidden/>
              </w:rPr>
              <w:fldChar w:fldCharType="begin"/>
            </w:r>
            <w:r w:rsidR="00710963" w:rsidRPr="00710963">
              <w:rPr>
                <w:noProof/>
                <w:webHidden/>
              </w:rPr>
              <w:instrText xml:space="preserve"> PAGEREF _Toc88879728 \h </w:instrText>
            </w:r>
            <w:r w:rsidR="00710963" w:rsidRPr="00710963">
              <w:rPr>
                <w:noProof/>
                <w:webHidden/>
              </w:rPr>
            </w:r>
            <w:r w:rsidR="00710963" w:rsidRPr="00710963">
              <w:rPr>
                <w:noProof/>
                <w:webHidden/>
              </w:rPr>
              <w:fldChar w:fldCharType="separate"/>
            </w:r>
            <w:r w:rsidR="00710963" w:rsidRPr="00710963">
              <w:rPr>
                <w:noProof/>
                <w:webHidden/>
              </w:rPr>
              <w:t>6</w:t>
            </w:r>
            <w:r w:rsidR="00710963" w:rsidRPr="00710963">
              <w:rPr>
                <w:noProof/>
                <w:webHidden/>
              </w:rPr>
              <w:fldChar w:fldCharType="end"/>
            </w:r>
          </w:hyperlink>
        </w:p>
        <w:p w14:paraId="03D41F79" w14:textId="29BCEE04" w:rsidR="00710963" w:rsidRPr="00710963" w:rsidRDefault="007B1554">
          <w:pPr>
            <w:pStyle w:val="TOC1"/>
            <w:tabs>
              <w:tab w:val="right" w:leader="dot" w:pos="9350"/>
            </w:tabs>
            <w:rPr>
              <w:rFonts w:cstheme="minorBidi"/>
              <w:b w:val="0"/>
              <w:bCs w:val="0"/>
              <w:i w:val="0"/>
              <w:iCs w:val="0"/>
              <w:noProof/>
            </w:rPr>
          </w:pPr>
          <w:hyperlink w:anchor="_Toc88879729" w:history="1">
            <w:r w:rsidR="00710963" w:rsidRPr="00710963">
              <w:rPr>
                <w:rStyle w:val="Hyperlink"/>
                <w:rFonts w:ascii="Times New Roman" w:hAnsi="Times New Roman" w:cs="Times New Roman"/>
                <w:i w:val="0"/>
                <w:iCs w:val="0"/>
                <w:noProof/>
              </w:rPr>
              <w:t>Appendix – Quarterly Performance of Selected Asset Classes</w:t>
            </w:r>
            <w:r w:rsidR="00710963" w:rsidRPr="00710963">
              <w:rPr>
                <w:i w:val="0"/>
                <w:iCs w:val="0"/>
                <w:noProof/>
                <w:webHidden/>
              </w:rPr>
              <w:tab/>
            </w:r>
            <w:r w:rsidR="00710963" w:rsidRPr="00710963">
              <w:rPr>
                <w:i w:val="0"/>
                <w:iCs w:val="0"/>
                <w:noProof/>
                <w:webHidden/>
              </w:rPr>
              <w:fldChar w:fldCharType="begin"/>
            </w:r>
            <w:r w:rsidR="00710963" w:rsidRPr="00710963">
              <w:rPr>
                <w:i w:val="0"/>
                <w:iCs w:val="0"/>
                <w:noProof/>
                <w:webHidden/>
              </w:rPr>
              <w:instrText xml:space="preserve"> PAGEREF _Toc88879729 \h </w:instrText>
            </w:r>
            <w:r w:rsidR="00710963" w:rsidRPr="00710963">
              <w:rPr>
                <w:i w:val="0"/>
                <w:iCs w:val="0"/>
                <w:noProof/>
                <w:webHidden/>
              </w:rPr>
            </w:r>
            <w:r w:rsidR="00710963" w:rsidRPr="00710963">
              <w:rPr>
                <w:i w:val="0"/>
                <w:iCs w:val="0"/>
                <w:noProof/>
                <w:webHidden/>
              </w:rPr>
              <w:fldChar w:fldCharType="separate"/>
            </w:r>
            <w:r w:rsidR="00710963" w:rsidRPr="00710963">
              <w:rPr>
                <w:i w:val="0"/>
                <w:iCs w:val="0"/>
                <w:noProof/>
                <w:webHidden/>
              </w:rPr>
              <w:t>7</w:t>
            </w:r>
            <w:r w:rsidR="00710963" w:rsidRPr="00710963">
              <w:rPr>
                <w:i w:val="0"/>
                <w:iCs w:val="0"/>
                <w:noProof/>
                <w:webHidden/>
              </w:rPr>
              <w:fldChar w:fldCharType="end"/>
            </w:r>
          </w:hyperlink>
        </w:p>
        <w:p w14:paraId="7BC8156F" w14:textId="743FF430" w:rsidR="00710963" w:rsidRPr="00710963" w:rsidRDefault="007B1554">
          <w:pPr>
            <w:pStyle w:val="TOC1"/>
            <w:tabs>
              <w:tab w:val="right" w:leader="dot" w:pos="9350"/>
            </w:tabs>
            <w:rPr>
              <w:rFonts w:cstheme="minorBidi"/>
              <w:b w:val="0"/>
              <w:bCs w:val="0"/>
              <w:i w:val="0"/>
              <w:iCs w:val="0"/>
              <w:noProof/>
            </w:rPr>
          </w:pPr>
          <w:hyperlink w:anchor="_Toc88879730" w:history="1">
            <w:r w:rsidR="00710963" w:rsidRPr="00710963">
              <w:rPr>
                <w:rStyle w:val="Hyperlink"/>
                <w:rFonts w:ascii="Times New Roman" w:hAnsi="Times New Roman" w:cs="Times New Roman"/>
                <w:i w:val="0"/>
                <w:iCs w:val="0"/>
                <w:noProof/>
              </w:rPr>
              <w:t>References</w:t>
            </w:r>
            <w:r w:rsidR="00710963" w:rsidRPr="00710963">
              <w:rPr>
                <w:i w:val="0"/>
                <w:iCs w:val="0"/>
                <w:noProof/>
                <w:webHidden/>
              </w:rPr>
              <w:tab/>
            </w:r>
            <w:r w:rsidR="00710963" w:rsidRPr="00710963">
              <w:rPr>
                <w:i w:val="0"/>
                <w:iCs w:val="0"/>
                <w:noProof/>
                <w:webHidden/>
              </w:rPr>
              <w:fldChar w:fldCharType="begin"/>
            </w:r>
            <w:r w:rsidR="00710963" w:rsidRPr="00710963">
              <w:rPr>
                <w:i w:val="0"/>
                <w:iCs w:val="0"/>
                <w:noProof/>
                <w:webHidden/>
              </w:rPr>
              <w:instrText xml:space="preserve"> PAGEREF _Toc88879730 \h </w:instrText>
            </w:r>
            <w:r w:rsidR="00710963" w:rsidRPr="00710963">
              <w:rPr>
                <w:i w:val="0"/>
                <w:iCs w:val="0"/>
                <w:noProof/>
                <w:webHidden/>
              </w:rPr>
            </w:r>
            <w:r w:rsidR="00710963" w:rsidRPr="00710963">
              <w:rPr>
                <w:i w:val="0"/>
                <w:iCs w:val="0"/>
                <w:noProof/>
                <w:webHidden/>
              </w:rPr>
              <w:fldChar w:fldCharType="separate"/>
            </w:r>
            <w:r w:rsidR="00710963" w:rsidRPr="00710963">
              <w:rPr>
                <w:i w:val="0"/>
                <w:iCs w:val="0"/>
                <w:noProof/>
                <w:webHidden/>
              </w:rPr>
              <w:t>8</w:t>
            </w:r>
            <w:r w:rsidR="00710963" w:rsidRPr="00710963">
              <w:rPr>
                <w:i w:val="0"/>
                <w:iCs w:val="0"/>
                <w:noProof/>
                <w:webHidden/>
              </w:rPr>
              <w:fldChar w:fldCharType="end"/>
            </w:r>
          </w:hyperlink>
        </w:p>
        <w:p w14:paraId="57D329CC" w14:textId="5487CA79" w:rsidR="00710963" w:rsidRDefault="00710963">
          <w:r w:rsidRPr="00710963">
            <w:rPr>
              <w:b/>
              <w:bCs/>
              <w:noProof/>
            </w:rPr>
            <w:fldChar w:fldCharType="end"/>
          </w:r>
        </w:p>
      </w:sdtContent>
    </w:sdt>
    <w:p w14:paraId="50B5A1EC" w14:textId="430AFAC3" w:rsidR="005755EB" w:rsidRPr="005755EB" w:rsidRDefault="005755EB" w:rsidP="005755EB">
      <w:pPr>
        <w:sectPr w:rsidR="005755EB" w:rsidRPr="005755EB">
          <w:pgSz w:w="12240" w:h="15840"/>
          <w:pgMar w:top="1440" w:right="1440" w:bottom="1440" w:left="1440" w:header="720" w:footer="720" w:gutter="0"/>
          <w:cols w:space="720"/>
          <w:docGrid w:linePitch="360"/>
        </w:sectPr>
      </w:pPr>
    </w:p>
    <w:p w14:paraId="31576C24" w14:textId="05E8D810" w:rsidR="00FF66DD" w:rsidRPr="0029456E" w:rsidRDefault="00FF66DD" w:rsidP="00244190">
      <w:pPr>
        <w:pStyle w:val="Heading1"/>
        <w:spacing w:before="40" w:after="80"/>
        <w:jc w:val="center"/>
        <w:rPr>
          <w:rFonts w:ascii="Times New Roman" w:hAnsi="Times New Roman" w:cs="Times New Roman"/>
          <w:b/>
          <w:bCs/>
          <w:color w:val="000000" w:themeColor="text1"/>
          <w:sz w:val="22"/>
          <w:szCs w:val="22"/>
        </w:rPr>
      </w:pPr>
      <w:bookmarkStart w:id="0" w:name="_Toc88879720"/>
      <w:r w:rsidRPr="0029456E">
        <w:rPr>
          <w:rFonts w:ascii="Times New Roman" w:hAnsi="Times New Roman" w:cs="Times New Roman"/>
          <w:b/>
          <w:bCs/>
          <w:color w:val="000000" w:themeColor="text1"/>
          <w:sz w:val="22"/>
          <w:szCs w:val="22"/>
        </w:rPr>
        <w:lastRenderedPageBreak/>
        <w:t>Executive Summary</w:t>
      </w:r>
      <w:bookmarkEnd w:id="0"/>
    </w:p>
    <w:p w14:paraId="3993547F" w14:textId="77777777" w:rsidR="00FF66DD" w:rsidRPr="0029456E" w:rsidRDefault="00FF66DD" w:rsidP="00FF66DD">
      <w:pPr>
        <w:rPr>
          <w:rFonts w:ascii="Times New Roman" w:hAnsi="Times New Roman" w:cs="Times New Roman"/>
          <w:sz w:val="22"/>
          <w:szCs w:val="22"/>
        </w:rPr>
      </w:pPr>
    </w:p>
    <w:p w14:paraId="7E62A696" w14:textId="2E364159" w:rsidR="00114506" w:rsidRPr="0029456E" w:rsidRDefault="00114506" w:rsidP="00114506">
      <w:pPr>
        <w:pStyle w:val="NormalWeb"/>
        <w:spacing w:before="240" w:beforeAutospacing="0" w:after="240" w:afterAutospacing="0"/>
        <w:jc w:val="both"/>
        <w:rPr>
          <w:sz w:val="22"/>
          <w:szCs w:val="22"/>
        </w:rPr>
      </w:pPr>
      <w:r w:rsidRPr="0029456E">
        <w:rPr>
          <w:color w:val="000000"/>
          <w:sz w:val="22"/>
          <w:szCs w:val="22"/>
        </w:rPr>
        <w:t>Vanderbilt University located in Nashville, Tennessee. Numbers surrounding the university are as follows: 330-acre campus, 10 major schools and a major medical center (operating independently). The school has 11,000 students and it employs more than 20,000 people. 41 Active trustees who met semiannually, overseen by several board committees, including executive, Budget, and Investment committees, which met quarterly. Investment committee has 11 members, including 4 non trustees who were investment professionals.</w:t>
      </w:r>
    </w:p>
    <w:p w14:paraId="299DC972" w14:textId="495F3725" w:rsidR="00114506" w:rsidRPr="0029456E" w:rsidRDefault="00114506" w:rsidP="00114506">
      <w:pPr>
        <w:pStyle w:val="NormalWeb"/>
        <w:spacing w:before="240" w:beforeAutospacing="0" w:after="240" w:afterAutospacing="0"/>
        <w:jc w:val="both"/>
        <w:rPr>
          <w:sz w:val="22"/>
          <w:szCs w:val="22"/>
        </w:rPr>
      </w:pPr>
      <w:r w:rsidRPr="0029456E">
        <w:rPr>
          <w:color w:val="000000"/>
          <w:sz w:val="22"/>
          <w:szCs w:val="22"/>
        </w:rPr>
        <w:t>The case talks about Bill Bain who in 2006 September became the newest member and chair of Vanderbilt University’s Investment Committee. He had been a long-time member of Vanderbilt University’s Investment committee and remembered that the asset mix during the 1980s had been relatively simple. Now he finds himself in a conundrum. He feels that the portfolio has been more complicated in terms of the type of assets they have invested in. He realized that there were certain incongruencies in terms of the planning surrounding the asset mix and a general sense of unawareness on behalf of the constituencies that the investment committee represented.</w:t>
      </w:r>
    </w:p>
    <w:p w14:paraId="2545E51F" w14:textId="77777777" w:rsidR="00114506" w:rsidRPr="0029456E" w:rsidRDefault="00114506" w:rsidP="00114506">
      <w:pPr>
        <w:pStyle w:val="NormalWeb"/>
        <w:spacing w:before="240" w:beforeAutospacing="0" w:after="240" w:afterAutospacing="0"/>
        <w:rPr>
          <w:sz w:val="22"/>
          <w:szCs w:val="22"/>
        </w:rPr>
      </w:pPr>
      <w:r w:rsidRPr="0029456E">
        <w:rPr>
          <w:color w:val="000000"/>
          <w:sz w:val="22"/>
          <w:szCs w:val="22"/>
        </w:rPr>
        <w:t>Main Concern:</w:t>
      </w:r>
    </w:p>
    <w:p w14:paraId="05738D6A" w14:textId="63238AA4" w:rsidR="00114506" w:rsidRPr="0029456E" w:rsidRDefault="00114506" w:rsidP="00114506">
      <w:pPr>
        <w:pStyle w:val="NormalWeb"/>
        <w:spacing w:before="240" w:beforeAutospacing="0" w:after="240" w:afterAutospacing="0"/>
        <w:jc w:val="both"/>
        <w:rPr>
          <w:sz w:val="22"/>
          <w:szCs w:val="22"/>
        </w:rPr>
      </w:pPr>
      <w:r w:rsidRPr="0029456E">
        <w:rPr>
          <w:color w:val="000000"/>
          <w:sz w:val="22"/>
          <w:szCs w:val="22"/>
        </w:rPr>
        <w:t>The main concern was the tolerance or ability of the fund to withstand another financial crisis</w:t>
      </w:r>
      <w:r w:rsidR="008125A8" w:rsidRPr="0029456E">
        <w:rPr>
          <w:color w:val="000000"/>
          <w:sz w:val="22"/>
          <w:szCs w:val="22"/>
        </w:rPr>
        <w:t xml:space="preserve"> as the ability is highly dependent on the liquidity of the assets</w:t>
      </w:r>
      <w:r w:rsidR="00B8432F" w:rsidRPr="0029456E">
        <w:rPr>
          <w:color w:val="000000"/>
          <w:sz w:val="22"/>
          <w:szCs w:val="22"/>
        </w:rPr>
        <w:t xml:space="preserve"> in the portfolio</w:t>
      </w:r>
      <w:r w:rsidR="008125A8" w:rsidRPr="0029456E">
        <w:rPr>
          <w:color w:val="000000"/>
          <w:sz w:val="22"/>
          <w:szCs w:val="22"/>
        </w:rPr>
        <w:t>.</w:t>
      </w:r>
      <w:r w:rsidRPr="0029456E">
        <w:rPr>
          <w:color w:val="000000"/>
          <w:sz w:val="22"/>
          <w:szCs w:val="22"/>
        </w:rPr>
        <w:t xml:space="preserve"> There was considerable illiquidity in the portfolio as the fund had invested in Real Estate, Private Equity, and Hedge Funds</w:t>
      </w:r>
      <w:r w:rsidR="00B8432F" w:rsidRPr="0029456E">
        <w:rPr>
          <w:color w:val="000000"/>
          <w:sz w:val="22"/>
          <w:szCs w:val="22"/>
        </w:rPr>
        <w:t>.</w:t>
      </w:r>
    </w:p>
    <w:p w14:paraId="3D04C2FF" w14:textId="3957DE77" w:rsidR="00114506" w:rsidRPr="0029456E" w:rsidRDefault="00114506" w:rsidP="00114506">
      <w:pPr>
        <w:pStyle w:val="NormalWeb"/>
        <w:spacing w:before="240" w:beforeAutospacing="0" w:after="240" w:afterAutospacing="0"/>
        <w:jc w:val="both"/>
        <w:rPr>
          <w:color w:val="000000"/>
          <w:sz w:val="22"/>
          <w:szCs w:val="22"/>
        </w:rPr>
      </w:pPr>
      <w:r w:rsidRPr="0029456E">
        <w:rPr>
          <w:color w:val="000000"/>
          <w:sz w:val="22"/>
          <w:szCs w:val="22"/>
        </w:rPr>
        <w:t>Adding to that was the problem related to the amount of explicit leverage. That was difficult to evaluate as it was employed by PE firms and Hedge funds. Which also goes for the remaining portion of the fund, that was managed by Managers A through D. They had employed various strategies that took a significant amount of exposure in terms of the long and short positions in equity and investing the alpha earned into S&amp;P 500 Futures. It was difficult to translate them into how much leverage was in the position and if the members of the board and the fund understood the strategies executed by managers C and D.</w:t>
      </w:r>
    </w:p>
    <w:p w14:paraId="6C5E6B7D" w14:textId="2D9BE653" w:rsidR="00D74AEA" w:rsidRPr="0029456E" w:rsidRDefault="00D74AEA" w:rsidP="00114506">
      <w:pPr>
        <w:pStyle w:val="NormalWeb"/>
        <w:spacing w:before="240" w:beforeAutospacing="0" w:after="240" w:afterAutospacing="0"/>
        <w:jc w:val="both"/>
        <w:rPr>
          <w:sz w:val="22"/>
          <w:szCs w:val="22"/>
        </w:rPr>
      </w:pPr>
      <w:r w:rsidRPr="0029456E">
        <w:rPr>
          <w:sz w:val="22"/>
          <w:szCs w:val="22"/>
        </w:rPr>
        <w:t>The Recommended Portfolio:</w:t>
      </w:r>
    </w:p>
    <w:p w14:paraId="7AFE603B" w14:textId="6179E129" w:rsidR="00584607" w:rsidRPr="0029456E" w:rsidRDefault="00584607" w:rsidP="00114506">
      <w:pPr>
        <w:pStyle w:val="NormalWeb"/>
        <w:spacing w:before="240" w:beforeAutospacing="0" w:after="240" w:afterAutospacing="0"/>
        <w:jc w:val="both"/>
        <w:rPr>
          <w:sz w:val="22"/>
          <w:szCs w:val="22"/>
        </w:rPr>
      </w:pPr>
      <w:r w:rsidRPr="0029456E">
        <w:rPr>
          <w:sz w:val="22"/>
          <w:szCs w:val="22"/>
        </w:rPr>
        <w:t>The benchmark portfolio was created to reference the creation of Vanderbilt’s 2021 endowment portfolio.</w:t>
      </w:r>
      <w:r w:rsidR="00017454" w:rsidRPr="0029456E">
        <w:rPr>
          <w:sz w:val="22"/>
          <w:szCs w:val="22"/>
        </w:rPr>
        <w:t xml:space="preserve"> The portfolio would consist of fixed income assets, private equity</w:t>
      </w:r>
      <w:r w:rsidR="00225A96" w:rsidRPr="0029456E">
        <w:rPr>
          <w:sz w:val="22"/>
          <w:szCs w:val="22"/>
        </w:rPr>
        <w:t xml:space="preserve">, real estate, Natural resources, venture capital, hedge funds, US equities and cash. Availability of liquidity has been a prime concern while formulating the portfolio, thus the investments in g-bonds and </w:t>
      </w:r>
      <w:r w:rsidR="00D74AEA" w:rsidRPr="0029456E">
        <w:rPr>
          <w:sz w:val="22"/>
          <w:szCs w:val="22"/>
        </w:rPr>
        <w:t>T-bills</w:t>
      </w:r>
      <w:r w:rsidR="00225A96" w:rsidRPr="0029456E">
        <w:rPr>
          <w:sz w:val="22"/>
          <w:szCs w:val="22"/>
        </w:rPr>
        <w:t xml:space="preserve"> have been made accordingly.</w:t>
      </w:r>
      <w:r w:rsidR="001559A1" w:rsidRPr="0029456E">
        <w:rPr>
          <w:sz w:val="22"/>
          <w:szCs w:val="22"/>
        </w:rPr>
        <w:t xml:space="preserve"> Real estate has been used as a hedge against the stock </w:t>
      </w:r>
      <w:r w:rsidR="004F42C3" w:rsidRPr="0029456E">
        <w:rPr>
          <w:sz w:val="22"/>
          <w:szCs w:val="22"/>
        </w:rPr>
        <w:t>market</w:t>
      </w:r>
      <w:r w:rsidR="00D74AEA" w:rsidRPr="0029456E">
        <w:rPr>
          <w:sz w:val="22"/>
          <w:szCs w:val="22"/>
        </w:rPr>
        <w:t xml:space="preserve"> and inflation</w:t>
      </w:r>
      <w:r w:rsidR="004F42C3" w:rsidRPr="0029456E">
        <w:rPr>
          <w:sz w:val="22"/>
          <w:szCs w:val="22"/>
        </w:rPr>
        <w:t>.</w:t>
      </w:r>
      <w:r w:rsidR="001559A1" w:rsidRPr="0029456E">
        <w:rPr>
          <w:sz w:val="22"/>
          <w:szCs w:val="22"/>
        </w:rPr>
        <w:t xml:space="preserve"> </w:t>
      </w:r>
      <w:r w:rsidR="003F0730" w:rsidRPr="0029456E">
        <w:rPr>
          <w:sz w:val="22"/>
          <w:szCs w:val="22"/>
        </w:rPr>
        <w:t>Allocation to private equity</w:t>
      </w:r>
      <w:r w:rsidR="00B53F39" w:rsidRPr="0029456E">
        <w:rPr>
          <w:sz w:val="22"/>
          <w:szCs w:val="22"/>
        </w:rPr>
        <w:t xml:space="preserve"> was reduced. V</w:t>
      </w:r>
      <w:r w:rsidR="003F0730" w:rsidRPr="0029456E">
        <w:rPr>
          <w:sz w:val="22"/>
          <w:szCs w:val="22"/>
        </w:rPr>
        <w:t>enture capital</w:t>
      </w:r>
      <w:r w:rsidR="00B53F39" w:rsidRPr="0029456E">
        <w:rPr>
          <w:sz w:val="22"/>
          <w:szCs w:val="22"/>
        </w:rPr>
        <w:t xml:space="preserve"> and Hedge Funds</w:t>
      </w:r>
      <w:r w:rsidR="00D74AEA" w:rsidRPr="0029456E">
        <w:rPr>
          <w:sz w:val="22"/>
          <w:szCs w:val="22"/>
        </w:rPr>
        <w:t xml:space="preserve"> </w:t>
      </w:r>
      <w:r w:rsidR="00B53F39" w:rsidRPr="0029456E">
        <w:rPr>
          <w:sz w:val="22"/>
          <w:szCs w:val="22"/>
        </w:rPr>
        <w:t xml:space="preserve">investments </w:t>
      </w:r>
      <w:r w:rsidR="00D74AEA" w:rsidRPr="0029456E">
        <w:rPr>
          <w:sz w:val="22"/>
          <w:szCs w:val="22"/>
        </w:rPr>
        <w:t>ha</w:t>
      </w:r>
      <w:r w:rsidR="00B53F39" w:rsidRPr="0029456E">
        <w:rPr>
          <w:sz w:val="22"/>
          <w:szCs w:val="22"/>
        </w:rPr>
        <w:t>ve</w:t>
      </w:r>
      <w:r w:rsidR="00D74AEA" w:rsidRPr="0029456E">
        <w:rPr>
          <w:sz w:val="22"/>
          <w:szCs w:val="22"/>
        </w:rPr>
        <w:t xml:space="preserve"> been made keeping in mind the high returns and liquidity concerns</w:t>
      </w:r>
      <w:r w:rsidR="003F0730" w:rsidRPr="0029456E">
        <w:rPr>
          <w:sz w:val="22"/>
          <w:szCs w:val="22"/>
        </w:rPr>
        <w:t>.</w:t>
      </w:r>
    </w:p>
    <w:p w14:paraId="26B9E5C7" w14:textId="77777777" w:rsidR="00114506" w:rsidRDefault="00114506" w:rsidP="00FF66DD"/>
    <w:p w14:paraId="2231F7C1" w14:textId="03E942F2" w:rsidR="00114506" w:rsidRPr="00FF66DD" w:rsidRDefault="00114506" w:rsidP="00FF66DD">
      <w:pPr>
        <w:sectPr w:rsidR="00114506" w:rsidRPr="00FF66DD">
          <w:pgSz w:w="12240" w:h="15840"/>
          <w:pgMar w:top="1440" w:right="1440" w:bottom="1440" w:left="1440" w:header="720" w:footer="720" w:gutter="0"/>
          <w:cols w:space="720"/>
          <w:docGrid w:linePitch="360"/>
        </w:sectPr>
      </w:pPr>
    </w:p>
    <w:p w14:paraId="54856336" w14:textId="48784584" w:rsidR="00244190" w:rsidRPr="00AA436D" w:rsidRDefault="00907C39" w:rsidP="00AA436D">
      <w:pPr>
        <w:pStyle w:val="Heading1"/>
        <w:spacing w:before="40" w:after="80"/>
        <w:jc w:val="center"/>
        <w:rPr>
          <w:rFonts w:ascii="Times New Roman" w:hAnsi="Times New Roman" w:cs="Times New Roman"/>
          <w:b/>
          <w:bCs/>
          <w:color w:val="000000" w:themeColor="text1"/>
          <w:sz w:val="22"/>
          <w:szCs w:val="22"/>
        </w:rPr>
      </w:pPr>
      <w:bookmarkStart w:id="1" w:name="_Toc88879721"/>
      <w:r w:rsidRPr="00244190">
        <w:rPr>
          <w:rFonts w:ascii="Times New Roman" w:hAnsi="Times New Roman" w:cs="Times New Roman"/>
          <w:b/>
          <w:bCs/>
          <w:color w:val="000000" w:themeColor="text1"/>
          <w:sz w:val="22"/>
          <w:szCs w:val="22"/>
        </w:rPr>
        <w:lastRenderedPageBreak/>
        <w:t>Major Concerns</w:t>
      </w:r>
      <w:bookmarkEnd w:id="1"/>
    </w:p>
    <w:p w14:paraId="7828BFFD" w14:textId="77777777" w:rsidR="00AA436D" w:rsidRDefault="00AA436D" w:rsidP="00AA436D">
      <w:bookmarkStart w:id="2" w:name="_Toc88879722"/>
    </w:p>
    <w:p w14:paraId="23828202" w14:textId="490FA48E" w:rsidR="00907C39" w:rsidRPr="00244190" w:rsidRDefault="00907C39" w:rsidP="00244190">
      <w:pPr>
        <w:pStyle w:val="Heading2"/>
        <w:spacing w:after="80"/>
        <w:jc w:val="both"/>
        <w:rPr>
          <w:rFonts w:ascii="Times New Roman" w:hAnsi="Times New Roman" w:cs="Times New Roman"/>
          <w:b/>
          <w:bCs/>
          <w:color w:val="000000" w:themeColor="text1"/>
          <w:sz w:val="22"/>
          <w:szCs w:val="22"/>
          <w:u w:val="single"/>
        </w:rPr>
      </w:pPr>
      <w:r w:rsidRPr="00244190">
        <w:rPr>
          <w:rFonts w:ascii="Times New Roman" w:hAnsi="Times New Roman" w:cs="Times New Roman"/>
          <w:b/>
          <w:bCs/>
          <w:color w:val="000000" w:themeColor="text1"/>
          <w:sz w:val="22"/>
          <w:szCs w:val="22"/>
          <w:u w:val="single"/>
        </w:rPr>
        <w:t>Leverage</w:t>
      </w:r>
      <w:bookmarkEnd w:id="2"/>
    </w:p>
    <w:p w14:paraId="60C24750" w14:textId="0FF8DECE" w:rsidR="00907C39" w:rsidRPr="00244190" w:rsidRDefault="00907C39" w:rsidP="00244190">
      <w:pPr>
        <w:jc w:val="both"/>
        <w:rPr>
          <w:rFonts w:ascii="Times New Roman" w:hAnsi="Times New Roman" w:cs="Times New Roman"/>
          <w:sz w:val="22"/>
          <w:szCs w:val="22"/>
        </w:rPr>
      </w:pPr>
      <w:r w:rsidRPr="00244190">
        <w:rPr>
          <w:rFonts w:ascii="Times New Roman" w:hAnsi="Times New Roman" w:cs="Times New Roman"/>
          <w:sz w:val="22"/>
          <w:szCs w:val="22"/>
        </w:rPr>
        <w:t xml:space="preserve">Bill believes that the amount of leverage being used by investment managers is the biggest risk to the Vanderbilt endowment. </w:t>
      </w:r>
      <w:r w:rsidRPr="00BB48CF">
        <w:rPr>
          <w:rFonts w:ascii="Times New Roman" w:hAnsi="Times New Roman" w:cs="Times New Roman"/>
          <w:sz w:val="22"/>
          <w:szCs w:val="22"/>
        </w:rPr>
        <w:t>Most of the leverage in the endowment stems from the investment in underlying assets. Specifically, for Vanderbilt it is coming from real estate, private equity, timber, and energy. For the more complex investment strategies, it is more difficult to quantify what the leverage is due to not knowing what is exactly invested in and how.</w:t>
      </w:r>
      <w:r w:rsidRPr="00244190">
        <w:rPr>
          <w:rFonts w:ascii="Times New Roman" w:hAnsi="Times New Roman" w:cs="Times New Roman"/>
          <w:sz w:val="22"/>
          <w:szCs w:val="22"/>
        </w:rPr>
        <w:t xml:space="preserve"> Also, it was difficult for him to value the leverage of an alpha transport strategy. He questioned whether he should add the total exposure together or subtract them from each other with the inclusion of net-zeroing exposure via alpha transport. With what can be seen in the table below, the largest exposure to leverage, non-marketable assets, has a low </w:t>
      </w:r>
      <w:r w:rsidR="00244190" w:rsidRPr="00244190">
        <w:rPr>
          <w:rFonts w:ascii="Times New Roman" w:hAnsi="Times New Roman" w:cs="Times New Roman"/>
          <w:sz w:val="22"/>
          <w:szCs w:val="22"/>
        </w:rPr>
        <w:t>Sharpe</w:t>
      </w:r>
      <w:r w:rsidRPr="00244190">
        <w:rPr>
          <w:rFonts w:ascii="Times New Roman" w:hAnsi="Times New Roman" w:cs="Times New Roman"/>
          <w:sz w:val="22"/>
          <w:szCs w:val="22"/>
        </w:rPr>
        <w:t xml:space="preserve"> ratio at </w:t>
      </w:r>
      <w:r w:rsidR="00244190" w:rsidRPr="00244190">
        <w:rPr>
          <w:rFonts w:ascii="Times New Roman" w:hAnsi="Times New Roman" w:cs="Times New Roman"/>
          <w:sz w:val="22"/>
          <w:szCs w:val="22"/>
        </w:rPr>
        <w:t>0</w:t>
      </w:r>
      <w:r w:rsidRPr="00244190">
        <w:rPr>
          <w:rFonts w:ascii="Times New Roman" w:hAnsi="Times New Roman" w:cs="Times New Roman"/>
          <w:sz w:val="22"/>
          <w:szCs w:val="22"/>
        </w:rPr>
        <w:t>.36. This confirms Bill’s doubts that Vanderbilt is taking on more risk than they are being rewarded for.</w:t>
      </w:r>
    </w:p>
    <w:p w14:paraId="1836B7EF" w14:textId="77777777" w:rsidR="00907C39" w:rsidRPr="00244190" w:rsidRDefault="00907C39" w:rsidP="00244190">
      <w:pPr>
        <w:jc w:val="both"/>
        <w:rPr>
          <w:rFonts w:ascii="Times New Roman" w:hAnsi="Times New Roman" w:cs="Times New Roman"/>
          <w:sz w:val="22"/>
          <w:szCs w:val="22"/>
        </w:rPr>
      </w:pPr>
    </w:p>
    <w:p w14:paraId="063B0692" w14:textId="4E3F60AD" w:rsidR="00907C39" w:rsidRPr="00244190" w:rsidRDefault="00907C39" w:rsidP="00244190">
      <w:pPr>
        <w:jc w:val="both"/>
        <w:rPr>
          <w:rFonts w:ascii="Times New Roman" w:hAnsi="Times New Roman" w:cs="Times New Roman"/>
          <w:sz w:val="22"/>
          <w:szCs w:val="22"/>
        </w:rPr>
      </w:pPr>
      <w:r w:rsidRPr="00244190">
        <w:rPr>
          <w:rFonts w:ascii="Times New Roman" w:hAnsi="Times New Roman" w:cs="Times New Roman"/>
          <w:sz w:val="22"/>
          <w:szCs w:val="22"/>
        </w:rPr>
        <w:t>Exhibit 1</w:t>
      </w:r>
      <w:r w:rsidR="00670131">
        <w:rPr>
          <w:rFonts w:ascii="Times New Roman" w:hAnsi="Times New Roman" w:cs="Times New Roman"/>
          <w:sz w:val="22"/>
          <w:szCs w:val="22"/>
        </w:rPr>
        <w:t>.</w:t>
      </w:r>
      <w:r w:rsidRPr="00244190">
        <w:rPr>
          <w:rFonts w:ascii="Times New Roman" w:hAnsi="Times New Roman" w:cs="Times New Roman"/>
          <w:sz w:val="22"/>
          <w:szCs w:val="22"/>
        </w:rPr>
        <w:t xml:space="preserve"> Vanderbilt Endowment Fund- Performance Measures  </w:t>
      </w:r>
    </w:p>
    <w:p w14:paraId="5E1FA08C" w14:textId="0ACDC214" w:rsidR="00244190" w:rsidRPr="00244190" w:rsidRDefault="00244190" w:rsidP="00244190">
      <w:pPr>
        <w:jc w:val="both"/>
        <w:rPr>
          <w:rFonts w:ascii="Times New Roman" w:eastAsia="Times New Roman" w:hAnsi="Times New Roman" w:cs="Times New Roman"/>
          <w:sz w:val="22"/>
          <w:szCs w:val="22"/>
        </w:rPr>
      </w:pPr>
      <w:r w:rsidRPr="00244190">
        <w:rPr>
          <w:rFonts w:ascii="Arial" w:eastAsia="Times New Roman" w:hAnsi="Arial" w:cs="Arial"/>
          <w:color w:val="000000"/>
          <w:sz w:val="22"/>
          <w:szCs w:val="22"/>
          <w:bdr w:val="none" w:sz="0" w:space="0" w:color="auto" w:frame="1"/>
        </w:rPr>
        <w:fldChar w:fldCharType="begin"/>
      </w:r>
      <w:r w:rsidRPr="00244190">
        <w:rPr>
          <w:rFonts w:ascii="Arial" w:eastAsia="Times New Roman" w:hAnsi="Arial" w:cs="Arial"/>
          <w:color w:val="000000"/>
          <w:sz w:val="22"/>
          <w:szCs w:val="22"/>
          <w:bdr w:val="none" w:sz="0" w:space="0" w:color="auto" w:frame="1"/>
        </w:rPr>
        <w:instrText xml:space="preserve"> INCLUDEPICTURE "https://lh4.googleusercontent.com/fV6mReG7_HPu_iZuyjuzaRE49ae2-UFLzxNSpzbsqE2pBklvZpqPIpIMgReib6F6MjnuGl1OrTlCZLK6E4eUZRiGfp6KY7g69fYpWjbaH0ftTTJwDpPfh7iQ2jAG1jm-wqpkNopq" \* MERGEFORMATINET </w:instrText>
      </w:r>
      <w:r w:rsidRPr="00244190">
        <w:rPr>
          <w:rFonts w:ascii="Arial" w:eastAsia="Times New Roman" w:hAnsi="Arial" w:cs="Arial"/>
          <w:color w:val="000000"/>
          <w:sz w:val="22"/>
          <w:szCs w:val="22"/>
          <w:bdr w:val="none" w:sz="0" w:space="0" w:color="auto" w:frame="1"/>
        </w:rPr>
        <w:fldChar w:fldCharType="separate"/>
      </w:r>
      <w:r w:rsidRPr="00244190">
        <w:rPr>
          <w:rFonts w:ascii="Arial" w:eastAsia="Times New Roman" w:hAnsi="Arial" w:cs="Arial"/>
          <w:noProof/>
          <w:color w:val="000000"/>
          <w:sz w:val="22"/>
          <w:szCs w:val="22"/>
          <w:bdr w:val="none" w:sz="0" w:space="0" w:color="auto" w:frame="1"/>
        </w:rPr>
        <w:drawing>
          <wp:inline distT="0" distB="0" distL="0" distR="0" wp14:anchorId="7AC4773F" wp14:editId="7357CFDA">
            <wp:extent cx="5943600" cy="965200"/>
            <wp:effectExtent l="0" t="0" r="0" b="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r w:rsidRPr="00244190">
        <w:rPr>
          <w:rFonts w:ascii="Arial" w:eastAsia="Times New Roman" w:hAnsi="Arial" w:cs="Arial"/>
          <w:color w:val="000000"/>
          <w:sz w:val="22"/>
          <w:szCs w:val="22"/>
          <w:bdr w:val="none" w:sz="0" w:space="0" w:color="auto" w:frame="1"/>
        </w:rPr>
        <w:fldChar w:fldCharType="end"/>
      </w:r>
    </w:p>
    <w:p w14:paraId="3D7C72A1" w14:textId="42A861BA" w:rsidR="00244190" w:rsidRPr="00244190" w:rsidRDefault="00244190" w:rsidP="00244190">
      <w:pPr>
        <w:jc w:val="both"/>
        <w:rPr>
          <w:rFonts w:ascii="Times New Roman" w:eastAsia="Times New Roman" w:hAnsi="Times New Roman" w:cs="Times New Roman"/>
          <w:sz w:val="22"/>
          <w:szCs w:val="22"/>
        </w:rPr>
      </w:pPr>
      <w:r w:rsidRPr="00244190">
        <w:rPr>
          <w:rFonts w:ascii="Arial" w:eastAsia="Times New Roman" w:hAnsi="Arial" w:cs="Arial"/>
          <w:color w:val="000000"/>
          <w:sz w:val="22"/>
          <w:szCs w:val="22"/>
          <w:bdr w:val="none" w:sz="0" w:space="0" w:color="auto" w:frame="1"/>
        </w:rPr>
        <w:fldChar w:fldCharType="begin"/>
      </w:r>
      <w:r w:rsidRPr="00244190">
        <w:rPr>
          <w:rFonts w:ascii="Arial" w:eastAsia="Times New Roman" w:hAnsi="Arial" w:cs="Arial"/>
          <w:color w:val="000000"/>
          <w:sz w:val="22"/>
          <w:szCs w:val="22"/>
          <w:bdr w:val="none" w:sz="0" w:space="0" w:color="auto" w:frame="1"/>
        </w:rPr>
        <w:instrText xml:space="preserve"> INCLUDEPICTURE "https://lh3.googleusercontent.com/MECCHpbog8jPGiueZjPa6O8GPyhqlGlEQHfiKyKlKtSgGl6nSkMfDnvmfLhaeFdZC85nj2s6gdVkTFPq2uuUnSZLKm3Dv9bSKQZ9qN55nkauWqsFfEF4VUvvUbI1wU45BxgY0LT5" \* MERGEFORMATINET </w:instrText>
      </w:r>
      <w:r w:rsidRPr="00244190">
        <w:rPr>
          <w:rFonts w:ascii="Arial" w:eastAsia="Times New Roman" w:hAnsi="Arial" w:cs="Arial"/>
          <w:color w:val="000000"/>
          <w:sz w:val="22"/>
          <w:szCs w:val="22"/>
          <w:bdr w:val="none" w:sz="0" w:space="0" w:color="auto" w:frame="1"/>
        </w:rPr>
        <w:fldChar w:fldCharType="separate"/>
      </w:r>
      <w:r w:rsidRPr="00244190">
        <w:rPr>
          <w:rFonts w:ascii="Arial" w:eastAsia="Times New Roman" w:hAnsi="Arial" w:cs="Arial"/>
          <w:noProof/>
          <w:color w:val="000000"/>
          <w:sz w:val="22"/>
          <w:szCs w:val="22"/>
          <w:bdr w:val="none" w:sz="0" w:space="0" w:color="auto" w:frame="1"/>
        </w:rPr>
        <w:drawing>
          <wp:inline distT="0" distB="0" distL="0" distR="0" wp14:anchorId="736450FE" wp14:editId="49429C3B">
            <wp:extent cx="5943600" cy="425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5450"/>
                    </a:xfrm>
                    <a:prstGeom prst="rect">
                      <a:avLst/>
                    </a:prstGeom>
                    <a:noFill/>
                    <a:ln>
                      <a:noFill/>
                    </a:ln>
                  </pic:spPr>
                </pic:pic>
              </a:graphicData>
            </a:graphic>
          </wp:inline>
        </w:drawing>
      </w:r>
      <w:r w:rsidRPr="00244190">
        <w:rPr>
          <w:rFonts w:ascii="Arial" w:eastAsia="Times New Roman" w:hAnsi="Arial" w:cs="Arial"/>
          <w:color w:val="000000"/>
          <w:sz w:val="22"/>
          <w:szCs w:val="22"/>
          <w:bdr w:val="none" w:sz="0" w:space="0" w:color="auto" w:frame="1"/>
        </w:rPr>
        <w:fldChar w:fldCharType="end"/>
      </w:r>
    </w:p>
    <w:p w14:paraId="2177D21A" w14:textId="68C08A09" w:rsidR="00907C39" w:rsidRPr="00244190" w:rsidRDefault="00907C39" w:rsidP="00244190">
      <w:pPr>
        <w:jc w:val="both"/>
        <w:rPr>
          <w:rFonts w:ascii="Times New Roman" w:hAnsi="Times New Roman" w:cs="Times New Roman"/>
          <w:sz w:val="18"/>
          <w:szCs w:val="18"/>
        </w:rPr>
      </w:pPr>
      <w:r w:rsidRPr="00244190">
        <w:rPr>
          <w:rFonts w:ascii="Times New Roman" w:hAnsi="Times New Roman" w:cs="Times New Roman"/>
          <w:sz w:val="18"/>
          <w:szCs w:val="18"/>
        </w:rPr>
        <w:t xml:space="preserve">Sharpe Ratio calculated with </w:t>
      </w:r>
      <w:bookmarkStart w:id="3" w:name="_Hlk88954403"/>
      <w:r w:rsidRPr="00244190">
        <w:rPr>
          <w:rFonts w:ascii="Times New Roman" w:hAnsi="Times New Roman" w:cs="Times New Roman"/>
          <w:sz w:val="18"/>
          <w:szCs w:val="18"/>
        </w:rPr>
        <w:t>risk-free rate 4.08%.</w:t>
      </w:r>
      <w:bookmarkEnd w:id="3"/>
    </w:p>
    <w:p w14:paraId="0CC3F8BB" w14:textId="77777777" w:rsidR="00907C39" w:rsidRPr="00244190" w:rsidRDefault="00907C39" w:rsidP="00244190">
      <w:pPr>
        <w:jc w:val="both"/>
        <w:rPr>
          <w:rFonts w:ascii="Times New Roman" w:hAnsi="Times New Roman" w:cs="Times New Roman"/>
          <w:sz w:val="22"/>
          <w:szCs w:val="22"/>
        </w:rPr>
      </w:pPr>
    </w:p>
    <w:p w14:paraId="5529C3C5" w14:textId="77777777" w:rsidR="00907C39" w:rsidRPr="00244190" w:rsidRDefault="00907C39" w:rsidP="00244190">
      <w:pPr>
        <w:jc w:val="both"/>
        <w:rPr>
          <w:rFonts w:ascii="Times New Roman" w:hAnsi="Times New Roman" w:cs="Times New Roman"/>
          <w:sz w:val="22"/>
          <w:szCs w:val="22"/>
        </w:rPr>
      </w:pPr>
      <w:r w:rsidRPr="00244190">
        <w:rPr>
          <w:rFonts w:ascii="Times New Roman" w:hAnsi="Times New Roman" w:cs="Times New Roman"/>
          <w:sz w:val="22"/>
          <w:szCs w:val="22"/>
        </w:rPr>
        <w:t>We agree with Bill's concerns about leverage because it could cause large losses. It also can cause unnecessary risk without providing the expected returns. A way to help alleviate his concerns could be to implement a leverage target or constraint.</w:t>
      </w:r>
    </w:p>
    <w:p w14:paraId="7694C0C0" w14:textId="77777777" w:rsidR="00456CCD" w:rsidRPr="00244190" w:rsidRDefault="00456CCD" w:rsidP="00244190">
      <w:pPr>
        <w:jc w:val="both"/>
        <w:rPr>
          <w:rFonts w:ascii="Times New Roman" w:hAnsi="Times New Roman" w:cs="Times New Roman"/>
          <w:sz w:val="22"/>
          <w:szCs w:val="22"/>
        </w:rPr>
      </w:pPr>
    </w:p>
    <w:p w14:paraId="778C3536" w14:textId="3B14488E" w:rsidR="00907C39" w:rsidRPr="00244190" w:rsidRDefault="00907C39" w:rsidP="00244190">
      <w:pPr>
        <w:pStyle w:val="Heading2"/>
        <w:spacing w:after="80"/>
        <w:jc w:val="both"/>
        <w:rPr>
          <w:rFonts w:ascii="Times New Roman" w:hAnsi="Times New Roman" w:cs="Times New Roman"/>
          <w:b/>
          <w:bCs/>
          <w:color w:val="000000" w:themeColor="text1"/>
          <w:sz w:val="22"/>
          <w:szCs w:val="22"/>
          <w:u w:val="single"/>
        </w:rPr>
      </w:pPr>
      <w:bookmarkStart w:id="4" w:name="_Toc88879723"/>
      <w:r w:rsidRPr="00244190">
        <w:rPr>
          <w:rFonts w:ascii="Times New Roman" w:hAnsi="Times New Roman" w:cs="Times New Roman"/>
          <w:b/>
          <w:bCs/>
          <w:color w:val="000000" w:themeColor="text1"/>
          <w:sz w:val="22"/>
          <w:szCs w:val="22"/>
          <w:u w:val="single"/>
        </w:rPr>
        <w:t xml:space="preserve">Lack of </w:t>
      </w:r>
      <w:bookmarkStart w:id="5" w:name="_Hlk88983709"/>
      <w:r w:rsidRPr="00244190">
        <w:rPr>
          <w:rFonts w:ascii="Times New Roman" w:hAnsi="Times New Roman" w:cs="Times New Roman"/>
          <w:b/>
          <w:bCs/>
          <w:color w:val="000000" w:themeColor="text1"/>
          <w:sz w:val="22"/>
          <w:szCs w:val="22"/>
          <w:u w:val="single"/>
        </w:rPr>
        <w:t>Transparency</w:t>
      </w:r>
      <w:bookmarkEnd w:id="4"/>
      <w:bookmarkEnd w:id="5"/>
    </w:p>
    <w:p w14:paraId="58E255BF" w14:textId="77777777" w:rsidR="00907C39" w:rsidRPr="00244190" w:rsidRDefault="00907C39" w:rsidP="00244190">
      <w:pPr>
        <w:jc w:val="both"/>
        <w:rPr>
          <w:rFonts w:ascii="Times New Roman" w:hAnsi="Times New Roman" w:cs="Times New Roman"/>
          <w:sz w:val="22"/>
          <w:szCs w:val="22"/>
        </w:rPr>
      </w:pPr>
      <w:r w:rsidRPr="00244190">
        <w:rPr>
          <w:rFonts w:ascii="Times New Roman" w:hAnsi="Times New Roman" w:cs="Times New Roman"/>
          <w:sz w:val="22"/>
          <w:szCs w:val="22"/>
        </w:rPr>
        <w:t xml:space="preserve">Another of Bill Bain’s main concerns was the lack of transparency on the part of what is being invested in. This was mainly derived from the fact that a lot of the investments were controlled by 95 external investment organizations, and that 22% of the funds invested in hedge funds containing non-marketable holdings had not provided any specific information about what they were invested in. For Vanderbilt University, Bill felt that the managers should be as transparent as possible. Bill needed this to confidently value the risk that the fund managers were taking on. Due to the lack of transparency, it made it difficult for Bill to quantify and measure leverage within the endowment. </w:t>
      </w:r>
    </w:p>
    <w:p w14:paraId="7E006769" w14:textId="77777777" w:rsidR="00907C39" w:rsidRPr="00244190" w:rsidRDefault="00907C39" w:rsidP="00244190">
      <w:pPr>
        <w:jc w:val="both"/>
        <w:rPr>
          <w:rFonts w:ascii="Times New Roman" w:hAnsi="Times New Roman" w:cs="Times New Roman"/>
          <w:sz w:val="22"/>
          <w:szCs w:val="22"/>
        </w:rPr>
      </w:pPr>
    </w:p>
    <w:p w14:paraId="6CF7323C" w14:textId="5B2C1201" w:rsidR="00907C39" w:rsidRDefault="00907C39" w:rsidP="00670131">
      <w:pPr>
        <w:jc w:val="both"/>
        <w:rPr>
          <w:rFonts w:ascii="Times New Roman" w:hAnsi="Times New Roman" w:cs="Times New Roman"/>
          <w:sz w:val="22"/>
          <w:szCs w:val="22"/>
        </w:rPr>
      </w:pPr>
      <w:r w:rsidRPr="00244190">
        <w:rPr>
          <w:rFonts w:ascii="Times New Roman" w:hAnsi="Times New Roman" w:cs="Times New Roman"/>
          <w:sz w:val="22"/>
          <w:szCs w:val="22"/>
        </w:rPr>
        <w:t>These concerns can easily be fixed. To calm his concerns about not knowing what each investor has been investing in, quarterly or semiannual reports could be given to Bill. The reports could include more information about what is specifically invested in, the risk associated with those investments, and any projected changes. This information would provide Bill an avenue to better understand how the managers are investing, and if their strategies are worth the risk. He would also be better able to measure the actual leverage being utilized by the managers. We agree with this concern because what is being invested in should be readily available. Also, the information that is not given makes it more difficult to analyze the endowment portfolio and know how appropriate the amount of leverage and allocation is</w:t>
      </w:r>
      <w:r w:rsidR="00670131">
        <w:rPr>
          <w:rFonts w:ascii="Times New Roman" w:hAnsi="Times New Roman" w:cs="Times New Roman"/>
          <w:sz w:val="22"/>
          <w:szCs w:val="22"/>
        </w:rPr>
        <w:t>.</w:t>
      </w:r>
    </w:p>
    <w:p w14:paraId="065AA4DD" w14:textId="77777777" w:rsidR="00670131" w:rsidRDefault="00670131" w:rsidP="00244190">
      <w:pPr>
        <w:pStyle w:val="Heading2"/>
        <w:spacing w:after="80"/>
        <w:jc w:val="both"/>
        <w:rPr>
          <w:rFonts w:ascii="Times New Roman" w:hAnsi="Times New Roman" w:cs="Times New Roman"/>
          <w:b/>
          <w:bCs/>
          <w:color w:val="000000" w:themeColor="text1"/>
          <w:sz w:val="22"/>
          <w:szCs w:val="22"/>
          <w:u w:val="single"/>
        </w:rPr>
      </w:pPr>
      <w:r>
        <w:rPr>
          <w:rFonts w:ascii="Times New Roman" w:hAnsi="Times New Roman" w:cs="Times New Roman"/>
          <w:b/>
          <w:bCs/>
          <w:color w:val="000000" w:themeColor="text1"/>
          <w:sz w:val="22"/>
          <w:szCs w:val="22"/>
          <w:u w:val="single"/>
        </w:rPr>
        <w:br w:type="page"/>
      </w:r>
    </w:p>
    <w:p w14:paraId="0C7C1422" w14:textId="77777777" w:rsidR="00AA436D" w:rsidRDefault="00244190" w:rsidP="00AA436D">
      <w:pPr>
        <w:pStyle w:val="Heading2"/>
        <w:spacing w:after="80"/>
        <w:jc w:val="both"/>
        <w:rPr>
          <w:rFonts w:ascii="Times New Roman" w:hAnsi="Times New Roman" w:cs="Times New Roman"/>
          <w:b/>
          <w:bCs/>
          <w:color w:val="000000" w:themeColor="text1"/>
          <w:sz w:val="22"/>
          <w:szCs w:val="22"/>
          <w:u w:val="single"/>
        </w:rPr>
      </w:pPr>
      <w:bookmarkStart w:id="6" w:name="_Toc88879724"/>
      <w:r w:rsidRPr="00244190">
        <w:rPr>
          <w:rFonts w:ascii="Times New Roman" w:hAnsi="Times New Roman" w:cs="Times New Roman"/>
          <w:b/>
          <w:bCs/>
          <w:color w:val="000000" w:themeColor="text1"/>
          <w:sz w:val="22"/>
          <w:szCs w:val="22"/>
          <w:u w:val="single"/>
        </w:rPr>
        <w:lastRenderedPageBreak/>
        <w:t>Illiquidity</w:t>
      </w:r>
      <w:bookmarkEnd w:id="6"/>
    </w:p>
    <w:p w14:paraId="644623AE" w14:textId="720D8A35" w:rsidR="00AA436D" w:rsidRPr="00AA436D" w:rsidRDefault="00AA436D" w:rsidP="00AA436D">
      <w:pPr>
        <w:rPr>
          <w:rFonts w:ascii="Times New Roman" w:hAnsi="Times New Roman" w:cs="Times New Roman"/>
          <w:sz w:val="22"/>
          <w:szCs w:val="22"/>
        </w:rPr>
      </w:pPr>
      <w:r w:rsidRPr="00AA436D">
        <w:rPr>
          <w:rFonts w:ascii="Times New Roman" w:hAnsi="Times New Roman" w:cs="Times New Roman"/>
          <w:sz w:val="22"/>
          <w:szCs w:val="22"/>
        </w:rPr>
        <w:t>The other concern of Bill Bain was that 45% of the endowment is invested in illiquid holding. More specifically, 23% of the funds was composed of nonmarketable investments such as real estate and private equity. He was also concerned about the pricing of these investments since it is difficult to correctly price illiquid investment and the use of alternative investment strategies. Since the university’s endowment is required to meet operating, strategic, and financial needs of the college, liquidity can be a major concern.</w:t>
      </w:r>
    </w:p>
    <w:p w14:paraId="4D8A29F4" w14:textId="77777777" w:rsidR="00AA436D" w:rsidRDefault="00AA436D" w:rsidP="00AA436D">
      <w:pPr>
        <w:rPr>
          <w:rFonts w:ascii="Times New Roman" w:hAnsi="Times New Roman" w:cs="Times New Roman"/>
          <w:sz w:val="22"/>
          <w:szCs w:val="22"/>
        </w:rPr>
      </w:pPr>
    </w:p>
    <w:p w14:paraId="256D2F69" w14:textId="04A51E5B" w:rsidR="00244190" w:rsidRPr="00AA436D" w:rsidRDefault="00AA436D" w:rsidP="00AA436D">
      <w:pPr>
        <w:rPr>
          <w:rFonts w:ascii="Times New Roman" w:hAnsi="Times New Roman" w:cs="Times New Roman"/>
          <w:sz w:val="22"/>
          <w:szCs w:val="22"/>
        </w:rPr>
      </w:pPr>
      <w:r w:rsidRPr="00AA436D">
        <w:rPr>
          <w:rFonts w:ascii="Times New Roman" w:hAnsi="Times New Roman" w:cs="Times New Roman"/>
          <w:sz w:val="22"/>
          <w:szCs w:val="22"/>
        </w:rPr>
        <w:t>We believe that we should not confuse liquidity with safety, and we should use liquid and illiquid assets as components that when combined can provide different protection or return enhancement. It is important to be prepared for downturns during bull markets and closely monitor the performance of the funds. There are several ways to alleviate Bill Bain’s concern on illiquidity. For example, the endowment can be subject to stress tests that simulate different situations and use outcomes to decide the components and the percentage of the components in the endowment. Another way is to refine liquidity requirements. For instance, we can specify the percentage of liquid assets in endowment or in detailed requirements, how much of the long-term asset should be liquid within 1-3 years.</w:t>
      </w:r>
    </w:p>
    <w:p w14:paraId="4159462D" w14:textId="77777777" w:rsidR="00244190" w:rsidRDefault="00244190" w:rsidP="00AA436D"/>
    <w:p w14:paraId="191772C6" w14:textId="1D05FDFB" w:rsidR="00244190" w:rsidRPr="00244190" w:rsidRDefault="00244190" w:rsidP="00244190">
      <w:pPr>
        <w:pStyle w:val="Heading1"/>
        <w:spacing w:before="40" w:after="80"/>
        <w:jc w:val="center"/>
        <w:rPr>
          <w:rFonts w:ascii="Times New Roman" w:hAnsi="Times New Roman" w:cs="Times New Roman"/>
          <w:b/>
          <w:bCs/>
          <w:color w:val="000000" w:themeColor="text1"/>
          <w:sz w:val="22"/>
          <w:szCs w:val="22"/>
        </w:rPr>
      </w:pPr>
      <w:bookmarkStart w:id="7" w:name="_Toc88879725"/>
      <w:r w:rsidRPr="00244190">
        <w:rPr>
          <w:rFonts w:ascii="Times New Roman" w:hAnsi="Times New Roman" w:cs="Times New Roman"/>
          <w:b/>
          <w:bCs/>
          <w:color w:val="000000" w:themeColor="text1"/>
          <w:sz w:val="22"/>
          <w:szCs w:val="22"/>
        </w:rPr>
        <w:t>Recommended Portfolio for 2021</w:t>
      </w:r>
      <w:bookmarkEnd w:id="7"/>
    </w:p>
    <w:p w14:paraId="4279B4DB" w14:textId="77777777" w:rsidR="00244190" w:rsidRPr="00244190" w:rsidRDefault="00244190" w:rsidP="00244190">
      <w:pPr>
        <w:jc w:val="both"/>
        <w:rPr>
          <w:sz w:val="22"/>
          <w:szCs w:val="22"/>
        </w:rPr>
      </w:pPr>
    </w:p>
    <w:p w14:paraId="2835B445" w14:textId="255AAB31" w:rsidR="0084251D" w:rsidRPr="00244190" w:rsidRDefault="0084251D" w:rsidP="00244190">
      <w:pPr>
        <w:pStyle w:val="Heading2"/>
        <w:spacing w:after="80"/>
        <w:jc w:val="both"/>
        <w:rPr>
          <w:rFonts w:ascii="Times New Roman" w:hAnsi="Times New Roman" w:cs="Times New Roman"/>
          <w:b/>
          <w:bCs/>
          <w:color w:val="000000" w:themeColor="text1"/>
          <w:sz w:val="22"/>
          <w:szCs w:val="22"/>
          <w:u w:val="single"/>
        </w:rPr>
      </w:pPr>
      <w:bookmarkStart w:id="8" w:name="_Toc88879726"/>
      <w:r w:rsidRPr="00244190">
        <w:rPr>
          <w:rFonts w:ascii="Times New Roman" w:hAnsi="Times New Roman" w:cs="Times New Roman"/>
          <w:b/>
          <w:bCs/>
          <w:color w:val="000000" w:themeColor="text1"/>
          <w:sz w:val="22"/>
          <w:szCs w:val="22"/>
          <w:u w:val="single"/>
        </w:rPr>
        <w:t>Benchmark Portfolio</w:t>
      </w:r>
      <w:bookmarkEnd w:id="8"/>
    </w:p>
    <w:p w14:paraId="6CF072EC" w14:textId="72CD1A07" w:rsidR="00F93CA6" w:rsidRDefault="00F93CA6" w:rsidP="00244190">
      <w:pPr>
        <w:jc w:val="both"/>
        <w:rPr>
          <w:rFonts w:ascii="Times New Roman" w:hAnsi="Times New Roman" w:cs="Times New Roman"/>
          <w:sz w:val="22"/>
          <w:szCs w:val="22"/>
        </w:rPr>
      </w:pPr>
      <w:r w:rsidRPr="00244190">
        <w:rPr>
          <w:rFonts w:ascii="Times New Roman" w:hAnsi="Times New Roman" w:cs="Times New Roman"/>
          <w:sz w:val="22"/>
          <w:szCs w:val="22"/>
        </w:rPr>
        <w:t xml:space="preserve">We construct a benchmark portfolio to provide a reference for the construction of Vanderbilt’s 2021 endowment portfolio. The benchmark consists of </w:t>
      </w:r>
      <w:r w:rsidR="005933ED" w:rsidRPr="00244190">
        <w:rPr>
          <w:rFonts w:ascii="Times New Roman" w:hAnsi="Times New Roman" w:cs="Times New Roman"/>
          <w:sz w:val="22"/>
          <w:szCs w:val="22"/>
        </w:rPr>
        <w:t>five large</w:t>
      </w:r>
      <w:r w:rsidR="0084251D" w:rsidRPr="00244190">
        <w:rPr>
          <w:rFonts w:ascii="Times New Roman" w:hAnsi="Times New Roman" w:cs="Times New Roman"/>
          <w:sz w:val="22"/>
          <w:szCs w:val="22"/>
        </w:rPr>
        <w:t>st</w:t>
      </w:r>
      <w:r w:rsidR="005933ED" w:rsidRPr="00244190">
        <w:rPr>
          <w:rFonts w:ascii="Times New Roman" w:hAnsi="Times New Roman" w:cs="Times New Roman"/>
          <w:sz w:val="22"/>
          <w:szCs w:val="22"/>
        </w:rPr>
        <w:t xml:space="preserve"> U.S. University endowments</w:t>
      </w:r>
      <w:r w:rsidR="0084251D" w:rsidRPr="00244190">
        <w:rPr>
          <w:rFonts w:ascii="Times New Roman" w:hAnsi="Times New Roman" w:cs="Times New Roman"/>
          <w:sz w:val="22"/>
          <w:szCs w:val="22"/>
        </w:rPr>
        <w:t xml:space="preserve"> in fiscal year 2020</w:t>
      </w:r>
      <w:r w:rsidR="005933ED" w:rsidRPr="00244190">
        <w:rPr>
          <w:rFonts w:ascii="Times New Roman" w:hAnsi="Times New Roman" w:cs="Times New Roman"/>
          <w:sz w:val="22"/>
          <w:szCs w:val="22"/>
        </w:rPr>
        <w:t xml:space="preserve">, which includes Harvard, Yale, Princeton, </w:t>
      </w:r>
      <w:r w:rsidR="00670131" w:rsidRPr="00244190">
        <w:rPr>
          <w:rFonts w:ascii="Times New Roman" w:hAnsi="Times New Roman" w:cs="Times New Roman"/>
          <w:sz w:val="22"/>
          <w:szCs w:val="22"/>
        </w:rPr>
        <w:t>MIT,</w:t>
      </w:r>
      <w:r w:rsidR="005933ED" w:rsidRPr="00244190">
        <w:rPr>
          <w:rFonts w:ascii="Times New Roman" w:hAnsi="Times New Roman" w:cs="Times New Roman"/>
          <w:sz w:val="22"/>
          <w:szCs w:val="22"/>
        </w:rPr>
        <w:t xml:space="preserve"> and Stanford (Exhibit 2).</w:t>
      </w:r>
      <w:r w:rsidR="0084251D" w:rsidRPr="00244190">
        <w:rPr>
          <w:rFonts w:ascii="Times New Roman" w:hAnsi="Times New Roman" w:cs="Times New Roman"/>
          <w:sz w:val="22"/>
          <w:szCs w:val="22"/>
        </w:rPr>
        <w:t xml:space="preserve"> It is constructed using a weighted-average strategy relative to the size of each endowment. </w:t>
      </w:r>
      <w:r w:rsidR="00A4354E" w:rsidRPr="00244190">
        <w:rPr>
          <w:rFonts w:ascii="Times New Roman" w:hAnsi="Times New Roman" w:cs="Times New Roman"/>
          <w:sz w:val="22"/>
          <w:szCs w:val="22"/>
        </w:rPr>
        <w:t>Compared to the benchmark portfolio, Vanderbilt’s endowment has higher weights on public equities and fixed income and cash, while allocates less to the non-marketable. Specifically, Vanderbilt has a relatively smaller weight on real estate.</w:t>
      </w:r>
      <w:r w:rsidR="0084251D" w:rsidRPr="00244190">
        <w:rPr>
          <w:rFonts w:ascii="Times New Roman" w:hAnsi="Times New Roman" w:cs="Times New Roman"/>
          <w:sz w:val="22"/>
          <w:szCs w:val="22"/>
        </w:rPr>
        <w:t xml:space="preserve"> </w:t>
      </w:r>
    </w:p>
    <w:p w14:paraId="416C79E0" w14:textId="798C5F9D" w:rsidR="00670131" w:rsidRDefault="00670131" w:rsidP="00244190">
      <w:pPr>
        <w:jc w:val="both"/>
        <w:rPr>
          <w:rFonts w:ascii="Times New Roman" w:hAnsi="Times New Roman" w:cs="Times New Roman"/>
          <w:sz w:val="22"/>
          <w:szCs w:val="22"/>
        </w:rPr>
      </w:pPr>
    </w:p>
    <w:p w14:paraId="193CF0B1" w14:textId="6D6B455B" w:rsidR="00670131" w:rsidRPr="00244190" w:rsidRDefault="00670131" w:rsidP="00244190">
      <w:pPr>
        <w:jc w:val="both"/>
        <w:rPr>
          <w:rFonts w:ascii="Times New Roman" w:hAnsi="Times New Roman" w:cs="Times New Roman"/>
          <w:sz w:val="22"/>
          <w:szCs w:val="22"/>
        </w:rPr>
      </w:pPr>
      <w:r>
        <w:rPr>
          <w:rFonts w:ascii="Times New Roman" w:hAnsi="Times New Roman" w:cs="Times New Roman"/>
          <w:sz w:val="22"/>
          <w:szCs w:val="22"/>
        </w:rPr>
        <w:t>Exhibit 2. Benchmark Portfolio</w:t>
      </w:r>
    </w:p>
    <w:p w14:paraId="58187F8B" w14:textId="134476BE" w:rsidR="00456CCD" w:rsidRPr="00244190" w:rsidRDefault="00CF616B" w:rsidP="00244190">
      <w:pPr>
        <w:jc w:val="both"/>
        <w:rPr>
          <w:rFonts w:ascii="Times New Roman" w:hAnsi="Times New Roman" w:cs="Times New Roman"/>
          <w:sz w:val="22"/>
          <w:szCs w:val="22"/>
        </w:rPr>
      </w:pPr>
      <w:r w:rsidRPr="00244190">
        <w:rPr>
          <w:rFonts w:ascii="Times New Roman" w:hAnsi="Times New Roman" w:cs="Times New Roman"/>
          <w:noProof/>
          <w:sz w:val="22"/>
          <w:szCs w:val="22"/>
        </w:rPr>
        <w:drawing>
          <wp:inline distT="0" distB="0" distL="0" distR="0" wp14:anchorId="666B6451" wp14:editId="3AB9CCE2">
            <wp:extent cx="5943600" cy="292481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24810"/>
                    </a:xfrm>
                    <a:prstGeom prst="rect">
                      <a:avLst/>
                    </a:prstGeom>
                  </pic:spPr>
                </pic:pic>
              </a:graphicData>
            </a:graphic>
          </wp:inline>
        </w:drawing>
      </w:r>
    </w:p>
    <w:p w14:paraId="4674B0B1" w14:textId="77777777" w:rsidR="00AA436D" w:rsidRDefault="00AA436D" w:rsidP="00AA436D">
      <w:bookmarkStart w:id="9" w:name="_Toc88879727"/>
    </w:p>
    <w:p w14:paraId="79A35AA3" w14:textId="6102E0BE" w:rsidR="0084251D" w:rsidRDefault="0084251D" w:rsidP="00012BA0">
      <w:pPr>
        <w:pStyle w:val="Heading2"/>
        <w:spacing w:line="360" w:lineRule="auto"/>
        <w:jc w:val="both"/>
        <w:rPr>
          <w:rFonts w:ascii="Times New Roman" w:hAnsi="Times New Roman" w:cs="Times New Roman"/>
          <w:b/>
          <w:bCs/>
          <w:color w:val="000000" w:themeColor="text1"/>
          <w:sz w:val="22"/>
          <w:szCs w:val="22"/>
          <w:u w:val="single"/>
        </w:rPr>
      </w:pPr>
      <w:r w:rsidRPr="00244190">
        <w:rPr>
          <w:rFonts w:ascii="Times New Roman" w:hAnsi="Times New Roman" w:cs="Times New Roman"/>
          <w:b/>
          <w:bCs/>
          <w:color w:val="000000" w:themeColor="text1"/>
          <w:sz w:val="22"/>
          <w:szCs w:val="22"/>
          <w:u w:val="single"/>
        </w:rPr>
        <w:lastRenderedPageBreak/>
        <w:t>Constraints</w:t>
      </w:r>
      <w:r w:rsidR="00FF66DD">
        <w:rPr>
          <w:rFonts w:ascii="Times New Roman" w:hAnsi="Times New Roman" w:cs="Times New Roman"/>
          <w:b/>
          <w:bCs/>
          <w:color w:val="000000" w:themeColor="text1"/>
          <w:sz w:val="22"/>
          <w:szCs w:val="22"/>
          <w:u w:val="single"/>
        </w:rPr>
        <w:t xml:space="preserve"> Analysis</w:t>
      </w:r>
      <w:bookmarkEnd w:id="9"/>
    </w:p>
    <w:p w14:paraId="09588B17" w14:textId="35B58C2B" w:rsidR="00907C39" w:rsidRDefault="00012BA0" w:rsidP="0078082F">
      <w:pPr>
        <w:jc w:val="both"/>
        <w:rPr>
          <w:rFonts w:ascii="Times New Roman" w:hAnsi="Times New Roman" w:cs="Times New Roman"/>
          <w:sz w:val="22"/>
          <w:szCs w:val="22"/>
        </w:rPr>
      </w:pPr>
      <w:r>
        <w:rPr>
          <w:rFonts w:ascii="Times New Roman" w:hAnsi="Times New Roman" w:cs="Times New Roman"/>
          <w:sz w:val="22"/>
          <w:szCs w:val="22"/>
        </w:rPr>
        <w:t>To construct the recommended portfolio, we set a few constraints. The constraints are based on the asset allocation of the benchmark portfolio, the real-life scenario and the concerns discussed above.</w:t>
      </w:r>
    </w:p>
    <w:p w14:paraId="5B19D2BD" w14:textId="23EA8B19" w:rsidR="0078082F" w:rsidRPr="0078082F" w:rsidRDefault="0078082F" w:rsidP="0078082F">
      <w:pPr>
        <w:jc w:val="both"/>
        <w:rPr>
          <w:rFonts w:ascii="Times New Roman" w:hAnsi="Times New Roman" w:cs="Times New Roman"/>
          <w:sz w:val="22"/>
          <w:szCs w:val="22"/>
        </w:rPr>
      </w:pPr>
    </w:p>
    <w:p w14:paraId="60E6FF4A" w14:textId="43F59592" w:rsidR="0078082F" w:rsidRDefault="00AB3508" w:rsidP="0078082F">
      <w:pPr>
        <w:jc w:val="both"/>
        <w:rPr>
          <w:rFonts w:ascii="Times New Roman" w:hAnsi="Times New Roman" w:cs="Times New Roman"/>
          <w:sz w:val="22"/>
          <w:szCs w:val="22"/>
        </w:rPr>
      </w:pPr>
      <w:r>
        <w:rPr>
          <w:rFonts w:ascii="Times New Roman" w:hAnsi="Times New Roman" w:cs="Times New Roman"/>
          <w:sz w:val="22"/>
          <w:szCs w:val="22"/>
        </w:rPr>
        <w:t xml:space="preserve">According to the benchmark portfolio and each endowment within the portfolio, the allocation to fixed income is set to be more than 5% and the allocation to cash is </w:t>
      </w:r>
      <w:r w:rsidR="00B410F6">
        <w:rPr>
          <w:rFonts w:ascii="Times New Roman" w:hAnsi="Times New Roman" w:cs="Times New Roman"/>
          <w:sz w:val="22"/>
          <w:szCs w:val="22"/>
        </w:rPr>
        <w:t xml:space="preserve">set to be more than 3%. </w:t>
      </w:r>
      <w:r w:rsidR="00675A12">
        <w:rPr>
          <w:rFonts w:ascii="Times New Roman" w:hAnsi="Times New Roman" w:cs="Times New Roman"/>
          <w:sz w:val="22"/>
          <w:szCs w:val="22"/>
        </w:rPr>
        <w:t>W</w:t>
      </w:r>
      <w:r w:rsidR="00675A12">
        <w:rPr>
          <w:rFonts w:ascii="Times New Roman" w:hAnsi="Times New Roman" w:cs="Times New Roman" w:hint="eastAsia"/>
          <w:sz w:val="22"/>
          <w:szCs w:val="22"/>
        </w:rPr>
        <w:t xml:space="preserve">hile </w:t>
      </w:r>
      <w:r w:rsidR="00675A12">
        <w:rPr>
          <w:rFonts w:ascii="Times New Roman" w:hAnsi="Times New Roman" w:cs="Times New Roman"/>
          <w:sz w:val="22"/>
          <w:szCs w:val="22"/>
        </w:rPr>
        <w:t xml:space="preserve">the return </w:t>
      </w:r>
      <w:r w:rsidR="00B410F6">
        <w:rPr>
          <w:rFonts w:ascii="Times New Roman" w:hAnsi="Times New Roman" w:cs="Times New Roman"/>
          <w:sz w:val="22"/>
          <w:szCs w:val="22"/>
        </w:rPr>
        <w:t xml:space="preserve">of these two assets is relatively low compared to others, we still include them in the target portfolio based on two reasons. From one perspective, we would like to maintain a minimum level of liquidity </w:t>
      </w:r>
      <w:r w:rsidR="00467E00">
        <w:rPr>
          <w:rFonts w:ascii="Times New Roman" w:hAnsi="Times New Roman" w:cs="Times New Roman"/>
          <w:sz w:val="22"/>
          <w:szCs w:val="22"/>
        </w:rPr>
        <w:t xml:space="preserve">and receive a stable but not excess return from investing in government bonds and 3-month T-bill so that </w:t>
      </w:r>
      <w:r w:rsidR="00F031DF">
        <w:rPr>
          <w:rFonts w:ascii="Times New Roman" w:hAnsi="Times New Roman" w:cs="Times New Roman"/>
          <w:sz w:val="22"/>
          <w:szCs w:val="22"/>
        </w:rPr>
        <w:t xml:space="preserve">the endowment </w:t>
      </w:r>
      <w:r w:rsidR="00467E00">
        <w:rPr>
          <w:rFonts w:ascii="Times New Roman" w:hAnsi="Times New Roman" w:cs="Times New Roman"/>
          <w:sz w:val="22"/>
          <w:szCs w:val="22"/>
        </w:rPr>
        <w:t>could</w:t>
      </w:r>
      <w:r w:rsidR="00F031DF">
        <w:rPr>
          <w:rFonts w:ascii="Times New Roman" w:hAnsi="Times New Roman" w:cs="Times New Roman"/>
          <w:sz w:val="22"/>
          <w:szCs w:val="22"/>
        </w:rPr>
        <w:t xml:space="preserve"> provide sufficient and continuing financial support to university and its students. </w:t>
      </w:r>
      <w:r w:rsidR="00696293">
        <w:rPr>
          <w:rFonts w:ascii="Times New Roman" w:hAnsi="Times New Roman" w:cs="Times New Roman"/>
          <w:sz w:val="22"/>
          <w:szCs w:val="22"/>
        </w:rPr>
        <w:t>From another perspective, the covariances of fixed income and cash relative to other asset classes are all negative, indicating that they could add diversification to the portfolio and provide it against downturn in the macroeconomic environment or even in recession.</w:t>
      </w:r>
    </w:p>
    <w:p w14:paraId="6FBD77F0" w14:textId="466F420C" w:rsidR="00467E00" w:rsidRDefault="00467E00" w:rsidP="0078082F">
      <w:pPr>
        <w:jc w:val="both"/>
        <w:rPr>
          <w:rFonts w:ascii="Times New Roman" w:hAnsi="Times New Roman" w:cs="Times New Roman"/>
          <w:sz w:val="22"/>
          <w:szCs w:val="22"/>
        </w:rPr>
      </w:pPr>
    </w:p>
    <w:p w14:paraId="35458F31" w14:textId="40660E98" w:rsidR="00710963" w:rsidRDefault="00710963" w:rsidP="0078082F">
      <w:pPr>
        <w:jc w:val="both"/>
        <w:rPr>
          <w:rFonts w:ascii="Times New Roman" w:hAnsi="Times New Roman" w:cs="Times New Roman"/>
          <w:sz w:val="22"/>
          <w:szCs w:val="22"/>
        </w:rPr>
      </w:pPr>
      <w:r>
        <w:rPr>
          <w:rFonts w:ascii="Times New Roman" w:hAnsi="Times New Roman" w:cs="Times New Roman"/>
          <w:sz w:val="22"/>
          <w:szCs w:val="22"/>
        </w:rPr>
        <w:t xml:space="preserve">The allocation to total global equities is </w:t>
      </w:r>
      <w:r w:rsidR="0020263C">
        <w:rPr>
          <w:rFonts w:ascii="Times New Roman" w:hAnsi="Times New Roman" w:cs="Times New Roman"/>
          <w:sz w:val="22"/>
          <w:szCs w:val="22"/>
        </w:rPr>
        <w:t xml:space="preserve">set to be less than </w:t>
      </w:r>
      <w:r w:rsidR="00625FFE">
        <w:rPr>
          <w:rFonts w:ascii="Times New Roman" w:hAnsi="Times New Roman" w:cs="Times New Roman"/>
          <w:sz w:val="22"/>
          <w:szCs w:val="22"/>
        </w:rPr>
        <w:t>26.60</w:t>
      </w:r>
      <w:r>
        <w:rPr>
          <w:rFonts w:ascii="Times New Roman" w:hAnsi="Times New Roman" w:cs="Times New Roman"/>
          <w:sz w:val="22"/>
          <w:szCs w:val="22"/>
        </w:rPr>
        <w:t>%</w:t>
      </w:r>
      <w:r w:rsidR="0020263C">
        <w:rPr>
          <w:rFonts w:ascii="Times New Roman" w:hAnsi="Times New Roman" w:cs="Times New Roman"/>
          <w:sz w:val="22"/>
          <w:szCs w:val="22"/>
        </w:rPr>
        <w:t xml:space="preserve">, </w:t>
      </w:r>
      <w:r w:rsidR="00625FFE">
        <w:rPr>
          <w:rFonts w:ascii="Times New Roman" w:hAnsi="Times New Roman" w:cs="Times New Roman"/>
          <w:sz w:val="22"/>
          <w:szCs w:val="22"/>
        </w:rPr>
        <w:t xml:space="preserve">5% higher than its weight in the benchmark portfolio to allow some level of flexibility. </w:t>
      </w:r>
      <w:r w:rsidR="00A908BF">
        <w:rPr>
          <w:rFonts w:ascii="Times New Roman" w:hAnsi="Times New Roman" w:cs="Times New Roman"/>
          <w:sz w:val="22"/>
          <w:szCs w:val="22"/>
        </w:rPr>
        <w:t xml:space="preserve">Equity is a traditional way of investing and has long acted as an important investment tool to many investors. We include domestic equities, international equites, and emerging market equities in this category for diversification </w:t>
      </w:r>
      <w:r w:rsidR="00800856">
        <w:rPr>
          <w:rFonts w:ascii="Times New Roman" w:hAnsi="Times New Roman" w:cs="Times New Roman"/>
          <w:sz w:val="22"/>
          <w:szCs w:val="22"/>
        </w:rPr>
        <w:t>purpose and</w:t>
      </w:r>
      <w:r w:rsidR="00A908BF">
        <w:rPr>
          <w:rFonts w:ascii="Times New Roman" w:hAnsi="Times New Roman" w:cs="Times New Roman"/>
          <w:sz w:val="22"/>
          <w:szCs w:val="22"/>
        </w:rPr>
        <w:t xml:space="preserve"> protect against </w:t>
      </w:r>
      <w:r w:rsidR="00800856">
        <w:rPr>
          <w:rFonts w:ascii="Times New Roman" w:hAnsi="Times New Roman" w:cs="Times New Roman"/>
          <w:sz w:val="22"/>
          <w:szCs w:val="22"/>
        </w:rPr>
        <w:t>the downturn in any single country. However, the covariances of the global equities have been increasing especially in recent years and sometimes the stock market crash in one country soon becomes a global crash. Therefore, we anticipate the weight on U.S. equities will be higher than that on the other two equities since its historical return in relatively high and the volatility is low.</w:t>
      </w:r>
    </w:p>
    <w:p w14:paraId="4EED679B" w14:textId="77777777" w:rsidR="0020263C" w:rsidRDefault="0020263C" w:rsidP="0078082F">
      <w:pPr>
        <w:jc w:val="both"/>
        <w:rPr>
          <w:rFonts w:ascii="Times New Roman" w:hAnsi="Times New Roman" w:cs="Times New Roman"/>
          <w:sz w:val="22"/>
          <w:szCs w:val="22"/>
        </w:rPr>
      </w:pPr>
    </w:p>
    <w:p w14:paraId="261BB8DA" w14:textId="44F90737" w:rsidR="00467E00" w:rsidRPr="0078082F" w:rsidRDefault="00467E00" w:rsidP="0070281C">
      <w:pPr>
        <w:jc w:val="both"/>
        <w:rPr>
          <w:rFonts w:ascii="Times New Roman" w:hAnsi="Times New Roman" w:cs="Times New Roman"/>
          <w:sz w:val="22"/>
          <w:szCs w:val="22"/>
        </w:rPr>
      </w:pPr>
      <w:r>
        <w:rPr>
          <w:rFonts w:ascii="Times New Roman" w:hAnsi="Times New Roman" w:cs="Times New Roman"/>
          <w:sz w:val="22"/>
          <w:szCs w:val="22"/>
        </w:rPr>
        <w:t>The allocation of the total non-marketable is limited to 4</w:t>
      </w:r>
      <w:r w:rsidR="009650B6">
        <w:rPr>
          <w:rFonts w:ascii="Times New Roman" w:hAnsi="Times New Roman" w:cs="Times New Roman"/>
          <w:sz w:val="22"/>
          <w:szCs w:val="22"/>
        </w:rPr>
        <w:t xml:space="preserve">1.33%, </w:t>
      </w:r>
      <w:r w:rsidR="00625FFE">
        <w:rPr>
          <w:rFonts w:ascii="Times New Roman" w:hAnsi="Times New Roman" w:cs="Times New Roman"/>
          <w:sz w:val="22"/>
          <w:szCs w:val="22"/>
        </w:rPr>
        <w:t xml:space="preserve">also </w:t>
      </w:r>
      <w:r w:rsidR="009650B6">
        <w:rPr>
          <w:rFonts w:ascii="Times New Roman" w:hAnsi="Times New Roman" w:cs="Times New Roman"/>
          <w:sz w:val="22"/>
          <w:szCs w:val="22"/>
        </w:rPr>
        <w:t>5% higher than its weight in the benchmark portfolio</w:t>
      </w:r>
      <w:r w:rsidR="00696293">
        <w:rPr>
          <w:rFonts w:ascii="Times New Roman" w:hAnsi="Times New Roman" w:cs="Times New Roman"/>
          <w:sz w:val="22"/>
          <w:szCs w:val="22"/>
        </w:rPr>
        <w:t xml:space="preserve">. </w:t>
      </w:r>
      <w:r w:rsidR="003D266E">
        <w:rPr>
          <w:rFonts w:ascii="Times New Roman" w:hAnsi="Times New Roman" w:cs="Times New Roman"/>
          <w:sz w:val="22"/>
          <w:szCs w:val="22"/>
        </w:rPr>
        <w:t>While fixed income and cash provide a stable return</w:t>
      </w:r>
      <w:r w:rsidR="005D2AAB">
        <w:rPr>
          <w:rFonts w:ascii="Times New Roman" w:hAnsi="Times New Roman" w:cs="Times New Roman"/>
          <w:sz w:val="22"/>
          <w:szCs w:val="22"/>
        </w:rPr>
        <w:t xml:space="preserve"> and add liquidity</w:t>
      </w:r>
      <w:r w:rsidR="003D266E">
        <w:rPr>
          <w:rFonts w:ascii="Times New Roman" w:hAnsi="Times New Roman" w:cs="Times New Roman"/>
          <w:sz w:val="22"/>
          <w:szCs w:val="22"/>
        </w:rPr>
        <w:t xml:space="preserve">, university endowments rely on equity type securities to boost long-term growth. The non-marketable and illiquid assets are included in the target portfolio to protect against global inflation and generate future cash flow. The non-marketable </w:t>
      </w:r>
      <w:r w:rsidR="00254C7F">
        <w:rPr>
          <w:rFonts w:ascii="Times New Roman" w:hAnsi="Times New Roman" w:cs="Times New Roman"/>
          <w:sz w:val="22"/>
          <w:szCs w:val="22"/>
        </w:rPr>
        <w:t>assets</w:t>
      </w:r>
      <w:r w:rsidR="003D266E">
        <w:rPr>
          <w:rFonts w:ascii="Times New Roman" w:hAnsi="Times New Roman" w:cs="Times New Roman"/>
          <w:sz w:val="22"/>
          <w:szCs w:val="22"/>
        </w:rPr>
        <w:t xml:space="preserve"> include private equity, real estate, natural </w:t>
      </w:r>
      <w:r w:rsidR="005D2AAB">
        <w:rPr>
          <w:rFonts w:ascii="Times New Roman" w:hAnsi="Times New Roman" w:cs="Times New Roman"/>
          <w:sz w:val="22"/>
          <w:szCs w:val="22"/>
        </w:rPr>
        <w:t>resources,</w:t>
      </w:r>
      <w:r w:rsidR="003D266E">
        <w:rPr>
          <w:rFonts w:ascii="Times New Roman" w:hAnsi="Times New Roman" w:cs="Times New Roman"/>
          <w:sz w:val="22"/>
          <w:szCs w:val="22"/>
        </w:rPr>
        <w:t xml:space="preserve"> and venture capital.</w:t>
      </w:r>
      <w:r w:rsidR="00254C7F">
        <w:rPr>
          <w:rFonts w:ascii="Times New Roman" w:hAnsi="Times New Roman" w:cs="Times New Roman"/>
          <w:sz w:val="22"/>
          <w:szCs w:val="22"/>
        </w:rPr>
        <w:t xml:space="preserve"> Like mentioned in the Yale Endowment Annual Report 2015, these non-traditional assets tend to less efficiently priced compared to traditional marketable assets, providing an opportunity to exploit market inefficiencies through active management.</w:t>
      </w:r>
    </w:p>
    <w:p w14:paraId="4867BE9A" w14:textId="604E8727" w:rsidR="00907C39" w:rsidRDefault="00907C39" w:rsidP="0070281C">
      <w:pPr>
        <w:jc w:val="both"/>
        <w:rPr>
          <w:rFonts w:ascii="Times New Roman" w:hAnsi="Times New Roman" w:cs="Times New Roman"/>
          <w:sz w:val="22"/>
          <w:szCs w:val="22"/>
        </w:rPr>
      </w:pPr>
    </w:p>
    <w:p w14:paraId="4116DEB2" w14:textId="24838AA0" w:rsidR="002559AF" w:rsidRDefault="00196F90" w:rsidP="006564A7">
      <w:pPr>
        <w:jc w:val="both"/>
        <w:rPr>
          <w:rFonts w:ascii="Times New Roman" w:hAnsi="Times New Roman" w:cs="Times New Roman"/>
          <w:sz w:val="22"/>
          <w:szCs w:val="22"/>
        </w:rPr>
      </w:pPr>
      <w:r>
        <w:rPr>
          <w:rFonts w:ascii="Times New Roman" w:hAnsi="Times New Roman" w:cs="Times New Roman"/>
          <w:sz w:val="22"/>
          <w:szCs w:val="22"/>
        </w:rPr>
        <w:t xml:space="preserve">As alternative investments, </w:t>
      </w:r>
      <w:r w:rsidR="00D72896">
        <w:rPr>
          <w:rFonts w:ascii="Times New Roman" w:hAnsi="Times New Roman" w:cs="Times New Roman"/>
          <w:sz w:val="22"/>
          <w:szCs w:val="22"/>
        </w:rPr>
        <w:t>p</w:t>
      </w:r>
      <w:r w:rsidR="006936A5" w:rsidRPr="006936A5">
        <w:rPr>
          <w:rFonts w:ascii="Times New Roman" w:hAnsi="Times New Roman" w:cs="Times New Roman"/>
          <w:sz w:val="22"/>
          <w:szCs w:val="22"/>
        </w:rPr>
        <w:t xml:space="preserve">rivate </w:t>
      </w:r>
      <w:r w:rsidR="00F440EE">
        <w:rPr>
          <w:rFonts w:ascii="Times New Roman" w:hAnsi="Times New Roman" w:cs="Times New Roman"/>
          <w:sz w:val="22"/>
          <w:szCs w:val="22"/>
        </w:rPr>
        <w:t>equity and venture capital</w:t>
      </w:r>
      <w:r w:rsidR="006936A5" w:rsidRPr="006936A5">
        <w:rPr>
          <w:rFonts w:ascii="Times New Roman" w:hAnsi="Times New Roman" w:cs="Times New Roman"/>
          <w:sz w:val="22"/>
          <w:szCs w:val="22"/>
        </w:rPr>
        <w:t xml:space="preserve"> </w:t>
      </w:r>
      <w:r w:rsidR="00637983">
        <w:rPr>
          <w:rFonts w:ascii="Times New Roman" w:hAnsi="Times New Roman" w:cs="Times New Roman"/>
          <w:sz w:val="22"/>
          <w:szCs w:val="22"/>
        </w:rPr>
        <w:t xml:space="preserve">can result in outsize returns </w:t>
      </w:r>
      <w:r w:rsidR="006936A5" w:rsidRPr="006936A5">
        <w:rPr>
          <w:rFonts w:ascii="Times New Roman" w:hAnsi="Times New Roman" w:cs="Times New Roman"/>
          <w:sz w:val="22"/>
          <w:szCs w:val="22"/>
        </w:rPr>
        <w:t>for investment portfolios</w:t>
      </w:r>
      <w:r w:rsidR="00F440EE">
        <w:rPr>
          <w:rFonts w:ascii="Times New Roman" w:hAnsi="Times New Roman" w:cs="Times New Roman"/>
          <w:sz w:val="22"/>
          <w:szCs w:val="22"/>
        </w:rPr>
        <w:t xml:space="preserve">, and in </w:t>
      </w:r>
      <w:r w:rsidR="00FA188C">
        <w:rPr>
          <w:rFonts w:ascii="Times New Roman" w:hAnsi="Times New Roman" w:cs="Times New Roman"/>
          <w:sz w:val="22"/>
          <w:szCs w:val="22"/>
        </w:rPr>
        <w:t xml:space="preserve">this year, </w:t>
      </w:r>
      <w:r w:rsidR="008009D5">
        <w:rPr>
          <w:rFonts w:ascii="Times New Roman" w:hAnsi="Times New Roman" w:cs="Times New Roman"/>
          <w:sz w:val="22"/>
          <w:szCs w:val="22"/>
        </w:rPr>
        <w:t>large endowments gain huge benefit</w:t>
      </w:r>
      <w:r w:rsidR="00B956BD">
        <w:rPr>
          <w:rFonts w:ascii="Times New Roman" w:hAnsi="Times New Roman" w:cs="Times New Roman"/>
          <w:sz w:val="22"/>
          <w:szCs w:val="22"/>
        </w:rPr>
        <w:t>s</w:t>
      </w:r>
      <w:r w:rsidR="008009D5">
        <w:rPr>
          <w:rFonts w:ascii="Times New Roman" w:hAnsi="Times New Roman" w:cs="Times New Roman"/>
          <w:sz w:val="22"/>
          <w:szCs w:val="22"/>
        </w:rPr>
        <w:t xml:space="preserve"> from investing in private equity and venture capital, </w:t>
      </w:r>
      <w:r w:rsidR="008009D5" w:rsidRPr="008009D5">
        <w:rPr>
          <w:rFonts w:ascii="Times New Roman" w:hAnsi="Times New Roman" w:cs="Times New Roman"/>
          <w:sz w:val="22"/>
          <w:szCs w:val="22"/>
        </w:rPr>
        <w:t xml:space="preserve">which is said to be the best </w:t>
      </w:r>
      <w:r w:rsidR="00B956BD">
        <w:rPr>
          <w:rFonts w:ascii="Times New Roman" w:hAnsi="Times New Roman" w:cs="Times New Roman"/>
          <w:sz w:val="22"/>
          <w:szCs w:val="22"/>
        </w:rPr>
        <w:t xml:space="preserve">banner year </w:t>
      </w:r>
      <w:r w:rsidR="008009D5" w:rsidRPr="008009D5">
        <w:rPr>
          <w:rFonts w:ascii="Times New Roman" w:hAnsi="Times New Roman" w:cs="Times New Roman"/>
          <w:sz w:val="22"/>
          <w:szCs w:val="22"/>
        </w:rPr>
        <w:t>since 1986.</w:t>
      </w:r>
      <w:r w:rsidR="008009D5">
        <w:rPr>
          <w:rFonts w:ascii="Times New Roman" w:hAnsi="Times New Roman" w:cs="Times New Roman"/>
          <w:sz w:val="22"/>
          <w:szCs w:val="22"/>
        </w:rPr>
        <w:t xml:space="preserve"> </w:t>
      </w:r>
      <w:r w:rsidR="0049300F" w:rsidRPr="0049300F">
        <w:rPr>
          <w:rFonts w:ascii="Times New Roman" w:hAnsi="Times New Roman" w:cs="Times New Roman"/>
          <w:sz w:val="22"/>
          <w:szCs w:val="22"/>
        </w:rPr>
        <w:t>M</w:t>
      </w:r>
      <w:r w:rsidR="0049300F">
        <w:rPr>
          <w:rFonts w:ascii="Times New Roman" w:hAnsi="Times New Roman" w:cs="Times New Roman"/>
          <w:sz w:val="22"/>
          <w:szCs w:val="22"/>
        </w:rPr>
        <w:t>IT</w:t>
      </w:r>
      <w:r w:rsidR="0049300F" w:rsidRPr="0049300F">
        <w:rPr>
          <w:rFonts w:ascii="Times New Roman" w:hAnsi="Times New Roman" w:cs="Times New Roman"/>
          <w:sz w:val="22"/>
          <w:szCs w:val="22"/>
        </w:rPr>
        <w:t xml:space="preserve"> reported that its endowment had gained 56 </w:t>
      </w:r>
      <w:r w:rsidR="00F072F5">
        <w:rPr>
          <w:rFonts w:ascii="Times New Roman" w:hAnsi="Times New Roman" w:cs="Times New Roman"/>
          <w:sz w:val="22"/>
          <w:szCs w:val="22"/>
        </w:rPr>
        <w:t>%</w:t>
      </w:r>
      <w:r w:rsidR="0049300F" w:rsidRPr="0049300F">
        <w:rPr>
          <w:rFonts w:ascii="Times New Roman" w:hAnsi="Times New Roman" w:cs="Times New Roman"/>
          <w:sz w:val="22"/>
          <w:szCs w:val="22"/>
        </w:rPr>
        <w:t xml:space="preserve"> in its most recent fiscal year</w:t>
      </w:r>
      <w:r w:rsidR="0049300F">
        <w:rPr>
          <w:rFonts w:ascii="Times New Roman" w:hAnsi="Times New Roman" w:cs="Times New Roman"/>
          <w:sz w:val="22"/>
          <w:szCs w:val="22"/>
        </w:rPr>
        <w:t xml:space="preserve">, and </w:t>
      </w:r>
      <w:r w:rsidR="0049300F" w:rsidRPr="0049300F">
        <w:rPr>
          <w:rFonts w:ascii="Times New Roman" w:hAnsi="Times New Roman" w:cs="Times New Roman"/>
          <w:sz w:val="22"/>
          <w:szCs w:val="22"/>
        </w:rPr>
        <w:t xml:space="preserve">Yale </w:t>
      </w:r>
      <w:r w:rsidR="0049300F">
        <w:rPr>
          <w:rFonts w:ascii="Times New Roman" w:hAnsi="Times New Roman" w:cs="Times New Roman"/>
          <w:sz w:val="22"/>
          <w:szCs w:val="22"/>
        </w:rPr>
        <w:t>has</w:t>
      </w:r>
      <w:r w:rsidR="0049300F" w:rsidRPr="0049300F">
        <w:rPr>
          <w:rFonts w:ascii="Times New Roman" w:hAnsi="Times New Roman" w:cs="Times New Roman"/>
          <w:sz w:val="22"/>
          <w:szCs w:val="22"/>
        </w:rPr>
        <w:t xml:space="preserve"> 40 </w:t>
      </w:r>
      <w:r w:rsidR="00F072F5">
        <w:rPr>
          <w:rFonts w:ascii="Times New Roman" w:hAnsi="Times New Roman" w:cs="Times New Roman"/>
          <w:sz w:val="22"/>
          <w:szCs w:val="22"/>
        </w:rPr>
        <w:t>%</w:t>
      </w:r>
      <w:r w:rsidR="0049300F" w:rsidRPr="0049300F">
        <w:rPr>
          <w:rFonts w:ascii="Times New Roman" w:hAnsi="Times New Roman" w:cs="Times New Roman"/>
          <w:sz w:val="22"/>
          <w:szCs w:val="22"/>
        </w:rPr>
        <w:t xml:space="preserve"> over the same period</w:t>
      </w:r>
      <w:r w:rsidR="002B4467">
        <w:rPr>
          <w:rFonts w:ascii="Times New Roman" w:hAnsi="Times New Roman" w:cs="Times New Roman"/>
          <w:sz w:val="22"/>
          <w:szCs w:val="22"/>
        </w:rPr>
        <w:t xml:space="preserve">, and </w:t>
      </w:r>
      <w:r w:rsidR="002B4467" w:rsidRPr="002B4467">
        <w:rPr>
          <w:rFonts w:ascii="Times New Roman" w:hAnsi="Times New Roman" w:cs="Times New Roman"/>
          <w:sz w:val="22"/>
          <w:szCs w:val="22"/>
        </w:rPr>
        <w:t>with the median return coming in at 27% for the period</w:t>
      </w:r>
      <w:r>
        <w:rPr>
          <w:rFonts w:ascii="Times New Roman" w:hAnsi="Times New Roman" w:cs="Times New Roman"/>
          <w:sz w:val="22"/>
          <w:szCs w:val="22"/>
        </w:rPr>
        <w:t xml:space="preserve"> across the board</w:t>
      </w:r>
      <w:r w:rsidR="0049300F">
        <w:rPr>
          <w:rFonts w:ascii="Times New Roman" w:hAnsi="Times New Roman" w:cs="Times New Roman"/>
          <w:sz w:val="22"/>
          <w:szCs w:val="22"/>
        </w:rPr>
        <w:t xml:space="preserve">. </w:t>
      </w:r>
      <w:r w:rsidR="00637983">
        <w:rPr>
          <w:rFonts w:ascii="Times New Roman" w:hAnsi="Times New Roman" w:cs="Times New Roman"/>
          <w:sz w:val="22"/>
          <w:szCs w:val="22"/>
        </w:rPr>
        <w:t xml:space="preserve">These large returns encourage </w:t>
      </w:r>
      <w:r w:rsidR="003A4A6E">
        <w:rPr>
          <w:rFonts w:ascii="Times New Roman" w:hAnsi="Times New Roman" w:cs="Times New Roman"/>
          <w:sz w:val="22"/>
          <w:szCs w:val="22"/>
        </w:rPr>
        <w:t>endowments</w:t>
      </w:r>
      <w:r w:rsidR="00637983">
        <w:rPr>
          <w:rFonts w:ascii="Times New Roman" w:hAnsi="Times New Roman" w:cs="Times New Roman"/>
          <w:sz w:val="22"/>
          <w:szCs w:val="22"/>
        </w:rPr>
        <w:t xml:space="preserve"> to allocat</w:t>
      </w:r>
      <w:r w:rsidR="00F072F5">
        <w:rPr>
          <w:rFonts w:ascii="Times New Roman" w:hAnsi="Times New Roman" w:cs="Times New Roman"/>
          <w:sz w:val="22"/>
          <w:szCs w:val="22"/>
        </w:rPr>
        <w:t>e more</w:t>
      </w:r>
      <w:r w:rsidR="00637983">
        <w:rPr>
          <w:rFonts w:ascii="Times New Roman" w:hAnsi="Times New Roman" w:cs="Times New Roman"/>
          <w:sz w:val="22"/>
          <w:szCs w:val="22"/>
        </w:rPr>
        <w:t xml:space="preserve"> to private equity and venture capital. </w:t>
      </w:r>
      <w:r w:rsidR="00A30CF5">
        <w:rPr>
          <w:rFonts w:ascii="Times New Roman" w:hAnsi="Times New Roman" w:cs="Times New Roman"/>
          <w:sz w:val="22"/>
          <w:szCs w:val="22"/>
        </w:rPr>
        <w:t xml:space="preserve">Although private equity and venture capital had a </w:t>
      </w:r>
      <w:r w:rsidR="00A30CF5" w:rsidRPr="002B4467">
        <w:rPr>
          <w:rFonts w:ascii="Times New Roman" w:hAnsi="Times New Roman" w:cs="Times New Roman"/>
          <w:sz w:val="22"/>
          <w:szCs w:val="22"/>
        </w:rPr>
        <w:t>bumper year</w:t>
      </w:r>
      <w:r w:rsidR="00A30CF5">
        <w:rPr>
          <w:rFonts w:ascii="Times New Roman" w:hAnsi="Times New Roman" w:cs="Times New Roman"/>
          <w:sz w:val="22"/>
          <w:szCs w:val="22"/>
        </w:rPr>
        <w:t xml:space="preserve"> and perform</w:t>
      </w:r>
      <w:r w:rsidR="003548F5">
        <w:rPr>
          <w:rFonts w:ascii="Times New Roman" w:hAnsi="Times New Roman" w:cs="Times New Roman"/>
          <w:sz w:val="22"/>
          <w:szCs w:val="22"/>
        </w:rPr>
        <w:t>ed</w:t>
      </w:r>
      <w:r w:rsidR="00A30CF5">
        <w:rPr>
          <w:rFonts w:ascii="Times New Roman" w:hAnsi="Times New Roman" w:cs="Times New Roman"/>
          <w:sz w:val="22"/>
          <w:szCs w:val="22"/>
        </w:rPr>
        <w:t xml:space="preserve"> w</w:t>
      </w:r>
      <w:r w:rsidR="003548F5">
        <w:rPr>
          <w:rFonts w:ascii="Times New Roman" w:hAnsi="Times New Roman" w:cs="Times New Roman"/>
          <w:sz w:val="22"/>
          <w:szCs w:val="22"/>
        </w:rPr>
        <w:t>e</w:t>
      </w:r>
      <w:r w:rsidR="00A30CF5">
        <w:rPr>
          <w:rFonts w:ascii="Times New Roman" w:hAnsi="Times New Roman" w:cs="Times New Roman"/>
          <w:sz w:val="22"/>
          <w:szCs w:val="22"/>
        </w:rPr>
        <w:t>ll in past couple years,</w:t>
      </w:r>
      <w:r w:rsidR="0004254C" w:rsidRPr="0004254C">
        <w:t xml:space="preserve"> </w:t>
      </w:r>
      <w:r w:rsidR="0004254C">
        <w:rPr>
          <w:rFonts w:ascii="Times New Roman" w:hAnsi="Times New Roman" w:cs="Times New Roman"/>
          <w:sz w:val="22"/>
          <w:szCs w:val="22"/>
        </w:rPr>
        <w:t>their</w:t>
      </w:r>
      <w:r w:rsidR="0004254C" w:rsidRPr="0004254C">
        <w:rPr>
          <w:rFonts w:ascii="Times New Roman" w:hAnsi="Times New Roman" w:cs="Times New Roman"/>
          <w:sz w:val="22"/>
          <w:szCs w:val="22"/>
        </w:rPr>
        <w:t xml:space="preserve"> </w:t>
      </w:r>
      <w:r w:rsidR="003548F5" w:rsidRPr="0004254C">
        <w:rPr>
          <w:rFonts w:ascii="Times New Roman" w:hAnsi="Times New Roman" w:cs="Times New Roman"/>
          <w:sz w:val="22"/>
          <w:szCs w:val="22"/>
        </w:rPr>
        <w:t>value</w:t>
      </w:r>
      <w:r w:rsidR="003548F5">
        <w:rPr>
          <w:rFonts w:ascii="Times New Roman" w:hAnsi="Times New Roman" w:cs="Times New Roman"/>
          <w:sz w:val="22"/>
          <w:szCs w:val="22"/>
        </w:rPr>
        <w:t xml:space="preserve">s are </w:t>
      </w:r>
      <w:r w:rsidR="003A4A6E">
        <w:rPr>
          <w:rFonts w:ascii="Times New Roman" w:hAnsi="Times New Roman" w:cs="Times New Roman"/>
          <w:sz w:val="22"/>
          <w:szCs w:val="22"/>
        </w:rPr>
        <w:t>only</w:t>
      </w:r>
      <w:r w:rsidR="00576D26">
        <w:rPr>
          <w:rFonts w:ascii="Times New Roman" w:hAnsi="Times New Roman" w:cs="Times New Roman"/>
          <w:sz w:val="22"/>
          <w:szCs w:val="22"/>
        </w:rPr>
        <w:t xml:space="preserve"> </w:t>
      </w:r>
      <w:r w:rsidR="0029456E">
        <w:rPr>
          <w:rFonts w:ascii="Times New Roman" w:hAnsi="Times New Roman" w:cs="Times New Roman"/>
          <w:sz w:val="22"/>
          <w:szCs w:val="22"/>
        </w:rPr>
        <w:t>superior</w:t>
      </w:r>
      <w:r w:rsidR="0004254C" w:rsidRPr="0004254C">
        <w:rPr>
          <w:rFonts w:ascii="Times New Roman" w:hAnsi="Times New Roman" w:cs="Times New Roman"/>
          <w:sz w:val="22"/>
          <w:szCs w:val="22"/>
        </w:rPr>
        <w:t xml:space="preserve"> on paper</w:t>
      </w:r>
      <w:r w:rsidR="00576D26">
        <w:rPr>
          <w:rFonts w:ascii="Times New Roman" w:hAnsi="Times New Roman" w:cs="Times New Roman"/>
          <w:sz w:val="22"/>
          <w:szCs w:val="22"/>
        </w:rPr>
        <w:t xml:space="preserve">, and </w:t>
      </w:r>
      <w:r w:rsidR="00576D26" w:rsidRPr="00576D26">
        <w:rPr>
          <w:rFonts w:ascii="Times New Roman" w:hAnsi="Times New Roman" w:cs="Times New Roman"/>
          <w:sz w:val="22"/>
          <w:szCs w:val="22"/>
        </w:rPr>
        <w:t>may not be able to withstand public market scrutiny</w:t>
      </w:r>
      <w:r w:rsidR="00576D26">
        <w:rPr>
          <w:rFonts w:ascii="Times New Roman" w:hAnsi="Times New Roman" w:cs="Times New Roman"/>
          <w:sz w:val="22"/>
          <w:szCs w:val="22"/>
        </w:rPr>
        <w:t xml:space="preserve"> in the future. Also, </w:t>
      </w:r>
      <w:r w:rsidR="009B75FF">
        <w:rPr>
          <w:rFonts w:ascii="Times New Roman" w:hAnsi="Times New Roman" w:cs="Times New Roman"/>
          <w:sz w:val="22"/>
          <w:szCs w:val="22"/>
        </w:rPr>
        <w:t>this bumper year may be</w:t>
      </w:r>
      <w:r w:rsidR="0004254C">
        <w:rPr>
          <w:rFonts w:ascii="Times New Roman" w:hAnsi="Times New Roman" w:cs="Times New Roman"/>
          <w:sz w:val="22"/>
          <w:szCs w:val="22"/>
        </w:rPr>
        <w:t xml:space="preserve"> </w:t>
      </w:r>
      <w:r w:rsidR="009B75FF">
        <w:rPr>
          <w:rFonts w:ascii="Times New Roman" w:hAnsi="Times New Roman" w:cs="Times New Roman"/>
          <w:sz w:val="22"/>
          <w:szCs w:val="22"/>
        </w:rPr>
        <w:t>because</w:t>
      </w:r>
      <w:r w:rsidR="0004254C">
        <w:rPr>
          <w:rFonts w:ascii="Times New Roman" w:hAnsi="Times New Roman" w:cs="Times New Roman"/>
          <w:sz w:val="22"/>
          <w:szCs w:val="22"/>
        </w:rPr>
        <w:t xml:space="preserve"> </w:t>
      </w:r>
      <w:r w:rsidR="00EA64A1">
        <w:rPr>
          <w:rFonts w:ascii="Times New Roman" w:hAnsi="Times New Roman" w:cs="Times New Roman"/>
          <w:sz w:val="22"/>
          <w:szCs w:val="22"/>
        </w:rPr>
        <w:t>economy</w:t>
      </w:r>
      <w:r w:rsidR="0004254C">
        <w:rPr>
          <w:rFonts w:ascii="Times New Roman" w:hAnsi="Times New Roman" w:cs="Times New Roman"/>
          <w:sz w:val="22"/>
          <w:szCs w:val="22"/>
        </w:rPr>
        <w:t xml:space="preserve"> is </w:t>
      </w:r>
      <w:r w:rsidR="009B75FF">
        <w:rPr>
          <w:rFonts w:ascii="Times New Roman" w:hAnsi="Times New Roman" w:cs="Times New Roman"/>
          <w:sz w:val="22"/>
          <w:szCs w:val="22"/>
        </w:rPr>
        <w:t>recovering</w:t>
      </w:r>
      <w:r w:rsidR="0004254C">
        <w:rPr>
          <w:rFonts w:ascii="Times New Roman" w:hAnsi="Times New Roman" w:cs="Times New Roman"/>
          <w:sz w:val="22"/>
          <w:szCs w:val="22"/>
        </w:rPr>
        <w:t xml:space="preserve"> from </w:t>
      </w:r>
      <w:r w:rsidR="003548F5">
        <w:rPr>
          <w:rFonts w:ascii="Times New Roman" w:hAnsi="Times New Roman" w:cs="Times New Roman"/>
          <w:sz w:val="22"/>
          <w:szCs w:val="22"/>
        </w:rPr>
        <w:t xml:space="preserve">the </w:t>
      </w:r>
      <w:r w:rsidR="00950995">
        <w:rPr>
          <w:rFonts w:ascii="Times New Roman" w:hAnsi="Times New Roman" w:cs="Times New Roman"/>
          <w:sz w:val="22"/>
          <w:szCs w:val="22"/>
        </w:rPr>
        <w:t>impact</w:t>
      </w:r>
      <w:r w:rsidR="009B75FF">
        <w:rPr>
          <w:rFonts w:ascii="Times New Roman" w:hAnsi="Times New Roman" w:cs="Times New Roman"/>
          <w:sz w:val="22"/>
          <w:szCs w:val="22"/>
        </w:rPr>
        <w:t xml:space="preserve"> of </w:t>
      </w:r>
      <w:r w:rsidR="00A3349A">
        <w:rPr>
          <w:rFonts w:ascii="Times New Roman" w:hAnsi="Times New Roman" w:cs="Times New Roman"/>
          <w:sz w:val="22"/>
          <w:szCs w:val="22"/>
        </w:rPr>
        <w:t>C</w:t>
      </w:r>
      <w:r w:rsidR="00950995">
        <w:rPr>
          <w:rFonts w:ascii="Times New Roman" w:hAnsi="Times New Roman" w:cs="Times New Roman"/>
          <w:sz w:val="22"/>
          <w:szCs w:val="22"/>
        </w:rPr>
        <w:t>OVID</w:t>
      </w:r>
      <w:r w:rsidR="0004254C">
        <w:rPr>
          <w:rFonts w:ascii="Times New Roman" w:hAnsi="Times New Roman" w:cs="Times New Roman"/>
          <w:sz w:val="22"/>
          <w:szCs w:val="22"/>
        </w:rPr>
        <w:t>-19</w:t>
      </w:r>
      <w:r w:rsidR="004632F8">
        <w:rPr>
          <w:rFonts w:ascii="Times New Roman" w:hAnsi="Times New Roman" w:cs="Times New Roman"/>
          <w:sz w:val="22"/>
          <w:szCs w:val="22"/>
        </w:rPr>
        <w:t xml:space="preserve"> and may not last a long time. </w:t>
      </w:r>
      <w:r w:rsidR="00EA64A1">
        <w:rPr>
          <w:rFonts w:ascii="Times New Roman" w:hAnsi="Times New Roman" w:cs="Times New Roman"/>
          <w:sz w:val="22"/>
          <w:szCs w:val="22"/>
        </w:rPr>
        <w:t xml:space="preserve">Moreover, even though </w:t>
      </w:r>
      <w:r w:rsidR="003A4A6E">
        <w:rPr>
          <w:rFonts w:ascii="Times New Roman" w:hAnsi="Times New Roman" w:cs="Times New Roman"/>
          <w:sz w:val="22"/>
          <w:szCs w:val="22"/>
        </w:rPr>
        <w:t>the endowment</w:t>
      </w:r>
      <w:r w:rsidR="00EA64A1">
        <w:rPr>
          <w:rFonts w:ascii="Times New Roman" w:hAnsi="Times New Roman" w:cs="Times New Roman"/>
          <w:sz w:val="22"/>
          <w:szCs w:val="22"/>
        </w:rPr>
        <w:t xml:space="preserve"> </w:t>
      </w:r>
      <w:r w:rsidR="00467DA4">
        <w:rPr>
          <w:rFonts w:ascii="Times New Roman" w:hAnsi="Times New Roman" w:cs="Times New Roman"/>
          <w:sz w:val="22"/>
          <w:szCs w:val="22"/>
        </w:rPr>
        <w:t xml:space="preserve">has </w:t>
      </w:r>
      <w:r w:rsidR="00950995">
        <w:rPr>
          <w:rFonts w:ascii="Times New Roman" w:hAnsi="Times New Roman" w:cs="Times New Roman"/>
          <w:sz w:val="22"/>
          <w:szCs w:val="22"/>
        </w:rPr>
        <w:t xml:space="preserve">a </w:t>
      </w:r>
      <w:r w:rsidR="00467DA4">
        <w:rPr>
          <w:rFonts w:ascii="Times New Roman" w:hAnsi="Times New Roman" w:cs="Times New Roman"/>
          <w:sz w:val="22"/>
          <w:szCs w:val="22"/>
        </w:rPr>
        <w:t>long</w:t>
      </w:r>
      <w:r w:rsidR="0096166E">
        <w:rPr>
          <w:rFonts w:ascii="Times New Roman" w:hAnsi="Times New Roman" w:cs="Times New Roman"/>
          <w:sz w:val="22"/>
          <w:szCs w:val="22"/>
        </w:rPr>
        <w:t>-</w:t>
      </w:r>
      <w:r w:rsidR="00467DA4">
        <w:rPr>
          <w:rFonts w:ascii="Times New Roman" w:hAnsi="Times New Roman" w:cs="Times New Roman"/>
          <w:sz w:val="22"/>
          <w:szCs w:val="22"/>
        </w:rPr>
        <w:t xml:space="preserve">time </w:t>
      </w:r>
      <w:r w:rsidR="0096166E">
        <w:rPr>
          <w:rFonts w:ascii="Times New Roman" w:hAnsi="Times New Roman" w:cs="Times New Roman"/>
          <w:sz w:val="22"/>
          <w:szCs w:val="22"/>
        </w:rPr>
        <w:t xml:space="preserve">investment </w:t>
      </w:r>
      <w:r w:rsidR="00467DA4">
        <w:rPr>
          <w:rFonts w:ascii="Times New Roman" w:hAnsi="Times New Roman" w:cs="Times New Roman"/>
          <w:sz w:val="22"/>
          <w:szCs w:val="22"/>
        </w:rPr>
        <w:t xml:space="preserve">horizon and </w:t>
      </w:r>
      <w:r w:rsidR="00950995">
        <w:rPr>
          <w:rFonts w:ascii="Times New Roman" w:hAnsi="Times New Roman" w:cs="Times New Roman"/>
          <w:sz w:val="22"/>
          <w:szCs w:val="22"/>
        </w:rPr>
        <w:t xml:space="preserve">can </w:t>
      </w:r>
      <w:r w:rsidR="00EA64A1">
        <w:rPr>
          <w:rFonts w:ascii="Times New Roman" w:hAnsi="Times New Roman" w:cs="Times New Roman"/>
          <w:sz w:val="22"/>
          <w:szCs w:val="22"/>
        </w:rPr>
        <w:t xml:space="preserve">benefit from illiquidity premium, </w:t>
      </w:r>
      <w:r w:rsidR="0096166E">
        <w:rPr>
          <w:rFonts w:ascii="Times New Roman" w:hAnsi="Times New Roman" w:cs="Times New Roman"/>
          <w:sz w:val="22"/>
          <w:szCs w:val="22"/>
        </w:rPr>
        <w:t>they</w:t>
      </w:r>
      <w:r w:rsidR="00467DA4" w:rsidRPr="00467DA4">
        <w:rPr>
          <w:rFonts w:ascii="Times New Roman" w:hAnsi="Times New Roman" w:cs="Times New Roman"/>
          <w:sz w:val="22"/>
          <w:szCs w:val="22"/>
        </w:rPr>
        <w:t xml:space="preserve"> </w:t>
      </w:r>
      <w:r w:rsidR="00467DA4">
        <w:rPr>
          <w:rFonts w:ascii="Times New Roman" w:hAnsi="Times New Roman" w:cs="Times New Roman"/>
          <w:sz w:val="22"/>
          <w:szCs w:val="22"/>
        </w:rPr>
        <w:t xml:space="preserve">also </w:t>
      </w:r>
      <w:r w:rsidR="0096166E">
        <w:rPr>
          <w:rFonts w:ascii="Times New Roman" w:hAnsi="Times New Roman" w:cs="Times New Roman"/>
          <w:sz w:val="22"/>
          <w:szCs w:val="22"/>
        </w:rPr>
        <w:t>need</w:t>
      </w:r>
      <w:r w:rsidR="00467DA4" w:rsidRPr="00467DA4">
        <w:rPr>
          <w:rFonts w:ascii="Times New Roman" w:hAnsi="Times New Roman" w:cs="Times New Roman"/>
          <w:sz w:val="22"/>
          <w:szCs w:val="22"/>
        </w:rPr>
        <w:t xml:space="preserve"> to meet </w:t>
      </w:r>
      <w:r w:rsidR="0096166E">
        <w:rPr>
          <w:rFonts w:ascii="Times New Roman" w:hAnsi="Times New Roman" w:cs="Times New Roman"/>
          <w:sz w:val="22"/>
          <w:szCs w:val="22"/>
        </w:rPr>
        <w:t xml:space="preserve">college’s </w:t>
      </w:r>
      <w:r w:rsidR="00467DA4" w:rsidRPr="00467DA4">
        <w:rPr>
          <w:rFonts w:ascii="Times New Roman" w:hAnsi="Times New Roman" w:cs="Times New Roman"/>
          <w:sz w:val="22"/>
          <w:szCs w:val="22"/>
        </w:rPr>
        <w:t>operating, strategic, and financial needs</w:t>
      </w:r>
      <w:r w:rsidR="0096166E">
        <w:rPr>
          <w:rFonts w:ascii="Times New Roman" w:hAnsi="Times New Roman" w:cs="Times New Roman"/>
          <w:sz w:val="22"/>
          <w:szCs w:val="22"/>
        </w:rPr>
        <w:t xml:space="preserve">. Therefore, </w:t>
      </w:r>
      <w:r w:rsidR="00950995">
        <w:rPr>
          <w:rFonts w:ascii="Times New Roman" w:hAnsi="Times New Roman" w:cs="Times New Roman"/>
          <w:sz w:val="22"/>
          <w:szCs w:val="22"/>
        </w:rPr>
        <w:t>with respect to</w:t>
      </w:r>
      <w:r w:rsidR="0096166E">
        <w:rPr>
          <w:rFonts w:ascii="Times New Roman" w:hAnsi="Times New Roman" w:cs="Times New Roman"/>
          <w:sz w:val="22"/>
          <w:szCs w:val="22"/>
        </w:rPr>
        <w:t xml:space="preserve"> Bill’s </w:t>
      </w:r>
      <w:r w:rsidR="00C933AE">
        <w:rPr>
          <w:rFonts w:ascii="Times New Roman" w:hAnsi="Times New Roman" w:cs="Times New Roman"/>
          <w:sz w:val="22"/>
          <w:szCs w:val="22"/>
        </w:rPr>
        <w:t xml:space="preserve">illiquidity </w:t>
      </w:r>
      <w:r w:rsidR="0096166E">
        <w:rPr>
          <w:rFonts w:ascii="Times New Roman" w:hAnsi="Times New Roman" w:cs="Times New Roman"/>
          <w:sz w:val="22"/>
          <w:szCs w:val="22"/>
        </w:rPr>
        <w:t xml:space="preserve">concern, </w:t>
      </w:r>
      <w:r w:rsidR="00C933AE">
        <w:rPr>
          <w:rFonts w:ascii="Times New Roman" w:hAnsi="Times New Roman" w:cs="Times New Roman"/>
          <w:sz w:val="22"/>
          <w:szCs w:val="22"/>
        </w:rPr>
        <w:t xml:space="preserve">allocation to private equity and venture capital can’t be too high. </w:t>
      </w:r>
      <w:r w:rsidR="004B166F">
        <w:rPr>
          <w:rFonts w:ascii="Times New Roman" w:hAnsi="Times New Roman" w:cs="Times New Roman"/>
          <w:sz w:val="22"/>
          <w:szCs w:val="22"/>
        </w:rPr>
        <w:t>B</w:t>
      </w:r>
      <w:r w:rsidR="00D72896">
        <w:rPr>
          <w:rFonts w:ascii="Times New Roman" w:hAnsi="Times New Roman" w:cs="Times New Roman"/>
          <w:sz w:val="22"/>
          <w:szCs w:val="22"/>
        </w:rPr>
        <w:t xml:space="preserve">ased on </w:t>
      </w:r>
      <w:r w:rsidR="004B166F">
        <w:rPr>
          <w:rFonts w:ascii="Times New Roman" w:hAnsi="Times New Roman" w:cs="Times New Roman"/>
          <w:sz w:val="22"/>
          <w:szCs w:val="22"/>
        </w:rPr>
        <w:t>such</w:t>
      </w:r>
      <w:r w:rsidR="00D72896">
        <w:rPr>
          <w:rFonts w:ascii="Times New Roman" w:hAnsi="Times New Roman" w:cs="Times New Roman"/>
          <w:sz w:val="22"/>
          <w:szCs w:val="22"/>
        </w:rPr>
        <w:t xml:space="preserve"> concern</w:t>
      </w:r>
      <w:r w:rsidR="004B166F">
        <w:rPr>
          <w:rFonts w:ascii="Times New Roman" w:hAnsi="Times New Roman" w:cs="Times New Roman"/>
          <w:sz w:val="22"/>
          <w:szCs w:val="22"/>
        </w:rPr>
        <w:t>s</w:t>
      </w:r>
      <w:r w:rsidR="00D72896">
        <w:rPr>
          <w:rFonts w:ascii="Times New Roman" w:hAnsi="Times New Roman" w:cs="Times New Roman"/>
          <w:sz w:val="22"/>
          <w:szCs w:val="22"/>
        </w:rPr>
        <w:t xml:space="preserve"> about illiquidity, we </w:t>
      </w:r>
      <w:r w:rsidR="00A3349A" w:rsidRPr="00A3349A">
        <w:rPr>
          <w:rFonts w:ascii="Times New Roman" w:hAnsi="Times New Roman" w:cs="Times New Roman"/>
          <w:sz w:val="22"/>
          <w:szCs w:val="22"/>
        </w:rPr>
        <w:t xml:space="preserve">cautiously </w:t>
      </w:r>
      <w:r w:rsidR="00D72896">
        <w:rPr>
          <w:rFonts w:ascii="Times New Roman" w:hAnsi="Times New Roman" w:cs="Times New Roman"/>
          <w:sz w:val="22"/>
          <w:szCs w:val="22"/>
        </w:rPr>
        <w:t>decide to</w:t>
      </w:r>
      <w:r w:rsidR="00BD2DC6">
        <w:rPr>
          <w:rFonts w:ascii="Times New Roman" w:hAnsi="Times New Roman" w:cs="Times New Roman"/>
          <w:sz w:val="22"/>
          <w:szCs w:val="22"/>
        </w:rPr>
        <w:t xml:space="preserve"> increase</w:t>
      </w:r>
      <w:r w:rsidR="00D72896">
        <w:rPr>
          <w:rFonts w:ascii="Times New Roman" w:hAnsi="Times New Roman" w:cs="Times New Roman"/>
          <w:sz w:val="22"/>
          <w:szCs w:val="22"/>
        </w:rPr>
        <w:t xml:space="preserve"> the total wight of private equity and venture capital </w:t>
      </w:r>
      <w:r w:rsidR="00BD2DC6">
        <w:rPr>
          <w:rFonts w:ascii="Times New Roman" w:hAnsi="Times New Roman" w:cs="Times New Roman"/>
          <w:sz w:val="22"/>
          <w:szCs w:val="22"/>
        </w:rPr>
        <w:t>to 33.33%</w:t>
      </w:r>
      <w:r w:rsidR="00F03504">
        <w:rPr>
          <w:rFonts w:ascii="Times New Roman" w:hAnsi="Times New Roman" w:cs="Times New Roman"/>
          <w:sz w:val="22"/>
          <w:szCs w:val="22"/>
        </w:rPr>
        <w:t xml:space="preserve">, </w:t>
      </w:r>
      <w:r w:rsidR="004B166F">
        <w:rPr>
          <w:rFonts w:ascii="Times New Roman" w:hAnsi="Times New Roman" w:cs="Times New Roman"/>
          <w:sz w:val="22"/>
          <w:szCs w:val="22"/>
        </w:rPr>
        <w:t>which is</w:t>
      </w:r>
      <w:r w:rsidR="00F03504">
        <w:rPr>
          <w:rFonts w:ascii="Times New Roman" w:hAnsi="Times New Roman" w:cs="Times New Roman"/>
          <w:sz w:val="22"/>
          <w:szCs w:val="22"/>
        </w:rPr>
        <w:t xml:space="preserve"> 7% higher than the weight in benchmark portfolio</w:t>
      </w:r>
      <w:r w:rsidR="004B166F">
        <w:rPr>
          <w:rFonts w:ascii="Times New Roman" w:hAnsi="Times New Roman" w:cs="Times New Roman"/>
          <w:sz w:val="22"/>
          <w:szCs w:val="22"/>
        </w:rPr>
        <w:t>.</w:t>
      </w:r>
      <w:r w:rsidR="00F03504">
        <w:rPr>
          <w:rFonts w:ascii="Times New Roman" w:hAnsi="Times New Roman" w:cs="Times New Roman"/>
          <w:sz w:val="22"/>
          <w:szCs w:val="22"/>
        </w:rPr>
        <w:t xml:space="preserve"> </w:t>
      </w:r>
      <w:r w:rsidR="004B166F">
        <w:rPr>
          <w:rFonts w:ascii="Times New Roman" w:hAnsi="Times New Roman" w:cs="Times New Roman"/>
          <w:sz w:val="22"/>
          <w:szCs w:val="22"/>
        </w:rPr>
        <w:t>Which is achieved b</w:t>
      </w:r>
      <w:r w:rsidR="006564A7">
        <w:rPr>
          <w:rFonts w:ascii="Times New Roman" w:hAnsi="Times New Roman" w:cs="Times New Roman"/>
          <w:sz w:val="22"/>
          <w:szCs w:val="22"/>
        </w:rPr>
        <w:t>y lowering w</w:t>
      </w:r>
      <w:r w:rsidR="0029456E">
        <w:rPr>
          <w:rFonts w:ascii="Times New Roman" w:hAnsi="Times New Roman" w:cs="Times New Roman"/>
          <w:sz w:val="22"/>
          <w:szCs w:val="22"/>
        </w:rPr>
        <w:t>e</w:t>
      </w:r>
      <w:r w:rsidR="006564A7">
        <w:rPr>
          <w:rFonts w:ascii="Times New Roman" w:hAnsi="Times New Roman" w:cs="Times New Roman"/>
          <w:sz w:val="22"/>
          <w:szCs w:val="22"/>
        </w:rPr>
        <w:t>ight of private equity and increas</w:t>
      </w:r>
      <w:r w:rsidR="004B166F">
        <w:rPr>
          <w:rFonts w:ascii="Times New Roman" w:hAnsi="Times New Roman" w:cs="Times New Roman"/>
          <w:sz w:val="22"/>
          <w:szCs w:val="22"/>
        </w:rPr>
        <w:t>ing</w:t>
      </w:r>
      <w:r w:rsidR="008F0189">
        <w:rPr>
          <w:rFonts w:ascii="Times New Roman" w:hAnsi="Times New Roman" w:cs="Times New Roman"/>
          <w:sz w:val="22"/>
          <w:szCs w:val="22"/>
        </w:rPr>
        <w:t xml:space="preserve"> the</w:t>
      </w:r>
      <w:r w:rsidR="006564A7">
        <w:rPr>
          <w:rFonts w:ascii="Times New Roman" w:hAnsi="Times New Roman" w:cs="Times New Roman"/>
          <w:sz w:val="22"/>
          <w:szCs w:val="22"/>
        </w:rPr>
        <w:t xml:space="preserve"> weight of venture capital</w:t>
      </w:r>
      <w:r w:rsidR="00AA436D">
        <w:rPr>
          <w:rFonts w:ascii="Times New Roman" w:hAnsi="Times New Roman" w:cs="Times New Roman"/>
          <w:sz w:val="22"/>
          <w:szCs w:val="22"/>
        </w:rPr>
        <w:t xml:space="preserve">. </w:t>
      </w:r>
      <w:r w:rsidR="00AB66CE">
        <w:rPr>
          <w:rFonts w:ascii="Times New Roman" w:hAnsi="Times New Roman" w:cs="Times New Roman"/>
          <w:sz w:val="22"/>
          <w:szCs w:val="22"/>
        </w:rPr>
        <w:t xml:space="preserve">We also set limitations for venture capital to increase the diversification. </w:t>
      </w:r>
    </w:p>
    <w:p w14:paraId="35004E03" w14:textId="77777777" w:rsidR="00FA188C" w:rsidRDefault="00FA188C" w:rsidP="0070281C">
      <w:pPr>
        <w:jc w:val="both"/>
        <w:rPr>
          <w:rFonts w:ascii="Times New Roman" w:hAnsi="Times New Roman" w:cs="Times New Roman"/>
          <w:sz w:val="22"/>
          <w:szCs w:val="22"/>
        </w:rPr>
      </w:pPr>
    </w:p>
    <w:p w14:paraId="7E6D99F7" w14:textId="07E77307" w:rsidR="005D2AAB" w:rsidRDefault="005D2AAB" w:rsidP="0070281C">
      <w:pPr>
        <w:jc w:val="both"/>
        <w:rPr>
          <w:rFonts w:ascii="Times New Roman" w:hAnsi="Times New Roman" w:cs="Times New Roman"/>
          <w:sz w:val="22"/>
          <w:szCs w:val="22"/>
        </w:rPr>
      </w:pPr>
      <w:r>
        <w:rPr>
          <w:rFonts w:ascii="Times New Roman" w:hAnsi="Times New Roman" w:cs="Times New Roman"/>
          <w:sz w:val="22"/>
          <w:szCs w:val="22"/>
        </w:rPr>
        <w:lastRenderedPageBreak/>
        <w:t xml:space="preserve">We also allocate a lower bound of </w:t>
      </w:r>
      <w:r w:rsidR="008A6FCF">
        <w:rPr>
          <w:rFonts w:ascii="Times New Roman" w:hAnsi="Times New Roman" w:cs="Times New Roman"/>
          <w:sz w:val="22"/>
          <w:szCs w:val="22"/>
        </w:rPr>
        <w:t xml:space="preserve">5% to real estate and </w:t>
      </w:r>
      <w:r>
        <w:rPr>
          <w:rFonts w:ascii="Times New Roman" w:hAnsi="Times New Roman" w:cs="Times New Roman"/>
          <w:sz w:val="22"/>
          <w:szCs w:val="22"/>
        </w:rPr>
        <w:t>3% to natural resources</w:t>
      </w:r>
      <w:r w:rsidR="00254C7F">
        <w:rPr>
          <w:rFonts w:ascii="Times New Roman" w:hAnsi="Times New Roman" w:cs="Times New Roman"/>
          <w:sz w:val="22"/>
          <w:szCs w:val="22"/>
        </w:rPr>
        <w:t xml:space="preserve"> based on the benchmark portfolio.</w:t>
      </w:r>
      <w:r w:rsidR="008A6FCF">
        <w:rPr>
          <w:rFonts w:ascii="Times New Roman" w:hAnsi="Times New Roman" w:cs="Times New Roman"/>
          <w:sz w:val="22"/>
          <w:szCs w:val="22"/>
        </w:rPr>
        <w:t xml:space="preserve"> </w:t>
      </w:r>
      <w:r w:rsidR="00B536DC">
        <w:rPr>
          <w:rFonts w:ascii="Times New Roman" w:hAnsi="Times New Roman" w:cs="Times New Roman"/>
          <w:sz w:val="22"/>
          <w:szCs w:val="22"/>
        </w:rPr>
        <w:t xml:space="preserve">In the case of real estate, it typically has low correlation relative to equities and bonds since its value fluctuates behind the same speed as the economy. Therefore, we add real estate to the portfolio to hedge against the stock market. </w:t>
      </w:r>
      <w:r w:rsidR="007C5067">
        <w:rPr>
          <w:rFonts w:ascii="Times New Roman" w:hAnsi="Times New Roman" w:cs="Times New Roman"/>
          <w:sz w:val="22"/>
          <w:szCs w:val="22"/>
        </w:rPr>
        <w:t>Real estate can also be used to hedge against inflation</w:t>
      </w:r>
      <w:r w:rsidR="00CB010D">
        <w:rPr>
          <w:rFonts w:ascii="Times New Roman" w:hAnsi="Times New Roman" w:cs="Times New Roman"/>
          <w:sz w:val="22"/>
          <w:szCs w:val="22"/>
        </w:rPr>
        <w:t>.</w:t>
      </w:r>
      <w:r w:rsidR="007C5067">
        <w:rPr>
          <w:rFonts w:ascii="Times New Roman" w:hAnsi="Times New Roman" w:cs="Times New Roman"/>
          <w:sz w:val="22"/>
          <w:szCs w:val="22"/>
        </w:rPr>
        <w:t xml:space="preserve"> </w:t>
      </w:r>
      <w:r w:rsidR="00CB010D">
        <w:rPr>
          <w:rFonts w:ascii="Times New Roman" w:hAnsi="Times New Roman" w:cs="Times New Roman"/>
          <w:sz w:val="22"/>
          <w:szCs w:val="22"/>
        </w:rPr>
        <w:t xml:space="preserve">After the real estate bubble burst during the 2008 financial crisis, the price of most of the real estate properties went back to the pre-crisis level. </w:t>
      </w:r>
      <w:r w:rsidR="0044140E">
        <w:rPr>
          <w:rFonts w:ascii="Times New Roman" w:hAnsi="Times New Roman" w:cs="Times New Roman"/>
          <w:sz w:val="22"/>
          <w:szCs w:val="22"/>
        </w:rPr>
        <w:t>In the future</w:t>
      </w:r>
      <w:r w:rsidR="00CB010D">
        <w:rPr>
          <w:rFonts w:ascii="Times New Roman" w:hAnsi="Times New Roman" w:cs="Times New Roman"/>
          <w:sz w:val="22"/>
          <w:szCs w:val="22"/>
        </w:rPr>
        <w:t>,</w:t>
      </w:r>
      <w:r w:rsidR="007C5067">
        <w:rPr>
          <w:rFonts w:ascii="Times New Roman" w:hAnsi="Times New Roman" w:cs="Times New Roman"/>
          <w:sz w:val="22"/>
          <w:szCs w:val="22"/>
        </w:rPr>
        <w:t xml:space="preserve"> the value</w:t>
      </w:r>
      <w:r w:rsidR="006D7833">
        <w:rPr>
          <w:rFonts w:ascii="Times New Roman" w:hAnsi="Times New Roman" w:cs="Times New Roman"/>
          <w:sz w:val="22"/>
          <w:szCs w:val="22"/>
        </w:rPr>
        <w:t>s</w:t>
      </w:r>
      <w:r w:rsidR="007C5067">
        <w:rPr>
          <w:rFonts w:ascii="Times New Roman" w:hAnsi="Times New Roman" w:cs="Times New Roman"/>
          <w:sz w:val="22"/>
          <w:szCs w:val="22"/>
        </w:rPr>
        <w:t xml:space="preserve"> of the properties </w:t>
      </w:r>
      <w:r w:rsidR="006D7833">
        <w:rPr>
          <w:rFonts w:ascii="Times New Roman" w:hAnsi="Times New Roman" w:cs="Times New Roman"/>
          <w:sz w:val="22"/>
          <w:szCs w:val="22"/>
        </w:rPr>
        <w:t xml:space="preserve">tend to generate an upward sloping curve. </w:t>
      </w:r>
      <w:r w:rsidR="00B536DC">
        <w:rPr>
          <w:rFonts w:ascii="Times New Roman" w:hAnsi="Times New Roman" w:cs="Times New Roman"/>
          <w:sz w:val="22"/>
          <w:szCs w:val="22"/>
        </w:rPr>
        <w:t>It is also notable to learn that many Ivy League endowments put a heavy allocation to real estate. For example, in 2020, Harvard allocate</w:t>
      </w:r>
      <w:r w:rsidR="007C5067">
        <w:rPr>
          <w:rFonts w:ascii="Times New Roman" w:hAnsi="Times New Roman" w:cs="Times New Roman"/>
          <w:sz w:val="22"/>
          <w:szCs w:val="22"/>
        </w:rPr>
        <w:t xml:space="preserve">d 7.10% and Yale allocated 8.60% to real estate. </w:t>
      </w:r>
      <w:r w:rsidR="00045856">
        <w:rPr>
          <w:rFonts w:ascii="Times New Roman" w:hAnsi="Times New Roman" w:cs="Times New Roman"/>
          <w:sz w:val="22"/>
          <w:szCs w:val="22"/>
        </w:rPr>
        <w:t>Therefore, while</w:t>
      </w:r>
      <w:r w:rsidR="006D7833">
        <w:rPr>
          <w:rFonts w:ascii="Times New Roman" w:hAnsi="Times New Roman" w:cs="Times New Roman"/>
          <w:sz w:val="22"/>
          <w:szCs w:val="22"/>
        </w:rPr>
        <w:t xml:space="preserve"> the weight of real estate of Vanderbilt in 2020 is only 2%, we decide to put a heavier weight </w:t>
      </w:r>
      <w:r w:rsidR="00045856">
        <w:rPr>
          <w:rFonts w:ascii="Times New Roman" w:hAnsi="Times New Roman" w:cs="Times New Roman"/>
          <w:sz w:val="22"/>
          <w:szCs w:val="22"/>
        </w:rPr>
        <w:t xml:space="preserve">on it to boost return. The philosophy of </w:t>
      </w:r>
      <w:r w:rsidR="00CB010D">
        <w:rPr>
          <w:rFonts w:ascii="Times New Roman" w:hAnsi="Times New Roman" w:cs="Times New Roman"/>
          <w:sz w:val="22"/>
          <w:szCs w:val="22"/>
        </w:rPr>
        <w:t xml:space="preserve">investing in </w:t>
      </w:r>
      <w:r w:rsidR="00045856">
        <w:rPr>
          <w:rFonts w:ascii="Times New Roman" w:hAnsi="Times New Roman" w:cs="Times New Roman"/>
          <w:sz w:val="22"/>
          <w:szCs w:val="22"/>
        </w:rPr>
        <w:t>natural resources is pretty much the same as real estate</w:t>
      </w:r>
      <w:r w:rsidR="00CB010D">
        <w:rPr>
          <w:rFonts w:ascii="Times New Roman" w:hAnsi="Times New Roman" w:cs="Times New Roman"/>
          <w:sz w:val="22"/>
          <w:szCs w:val="22"/>
        </w:rPr>
        <w:t>, as it acts as a store of value and becomes more attractive when facing inflation. However, we also do not want to put too much weight on natural resources as its volatility is the highest among all the selected asset classes in the recent decade.</w:t>
      </w:r>
    </w:p>
    <w:p w14:paraId="73FDA674" w14:textId="64E7A28E" w:rsidR="00D71D16" w:rsidRDefault="00D71D16" w:rsidP="0070281C">
      <w:pPr>
        <w:jc w:val="both"/>
        <w:rPr>
          <w:rFonts w:ascii="Times New Roman" w:hAnsi="Times New Roman" w:cs="Times New Roman"/>
          <w:sz w:val="22"/>
          <w:szCs w:val="22"/>
        </w:rPr>
      </w:pPr>
    </w:p>
    <w:p w14:paraId="1FCA8EE3" w14:textId="47150C7B" w:rsidR="00800856" w:rsidRDefault="001641D5" w:rsidP="0070281C">
      <w:pPr>
        <w:jc w:val="both"/>
        <w:rPr>
          <w:rFonts w:ascii="Times New Roman" w:hAnsi="Times New Roman" w:cs="Times New Roman"/>
          <w:sz w:val="22"/>
          <w:szCs w:val="22"/>
        </w:rPr>
      </w:pPr>
      <w:r>
        <w:rPr>
          <w:rFonts w:ascii="Times New Roman" w:hAnsi="Times New Roman" w:cs="Times New Roman"/>
          <w:sz w:val="22"/>
          <w:szCs w:val="22"/>
        </w:rPr>
        <w:t xml:space="preserve">In case of hedge fund, it is also an illiquid </w:t>
      </w:r>
      <w:r w:rsidR="009120F7">
        <w:rPr>
          <w:rFonts w:ascii="Times New Roman" w:hAnsi="Times New Roman" w:cs="Times New Roman"/>
          <w:sz w:val="22"/>
          <w:szCs w:val="22"/>
        </w:rPr>
        <w:t>alternative investment</w:t>
      </w:r>
      <w:r w:rsidR="00630788">
        <w:rPr>
          <w:rFonts w:ascii="Times New Roman" w:hAnsi="Times New Roman" w:cs="Times New Roman"/>
          <w:sz w:val="22"/>
          <w:szCs w:val="22"/>
        </w:rPr>
        <w:t xml:space="preserve"> which may be able to </w:t>
      </w:r>
      <w:r w:rsidR="00630788" w:rsidRPr="00630788">
        <w:rPr>
          <w:rFonts w:ascii="Times New Roman" w:hAnsi="Times New Roman" w:cs="Times New Roman"/>
          <w:sz w:val="22"/>
          <w:szCs w:val="22"/>
        </w:rPr>
        <w:t>achieve excess risk adjusted returns</w:t>
      </w:r>
      <w:r w:rsidR="00630788">
        <w:rPr>
          <w:rFonts w:ascii="Times New Roman" w:hAnsi="Times New Roman" w:cs="Times New Roman"/>
          <w:sz w:val="22"/>
          <w:szCs w:val="22"/>
        </w:rPr>
        <w:t xml:space="preserve">. </w:t>
      </w:r>
      <w:r w:rsidR="001E5783">
        <w:rPr>
          <w:rFonts w:ascii="Times New Roman" w:hAnsi="Times New Roman" w:cs="Times New Roman"/>
          <w:sz w:val="22"/>
          <w:szCs w:val="22"/>
        </w:rPr>
        <w:t xml:space="preserve">Based on </w:t>
      </w:r>
      <w:r w:rsidR="001E5783" w:rsidRPr="003C297C">
        <w:rPr>
          <w:rFonts w:ascii="Times New Roman" w:hAnsi="Times New Roman" w:cs="Times New Roman"/>
          <w:sz w:val="22"/>
          <w:szCs w:val="22"/>
        </w:rPr>
        <w:t>4.08% risk-free rate</w:t>
      </w:r>
      <w:r w:rsidR="001E5783">
        <w:rPr>
          <w:rFonts w:ascii="Times New Roman" w:hAnsi="Times New Roman" w:cs="Times New Roman"/>
          <w:sz w:val="22"/>
          <w:szCs w:val="22"/>
        </w:rPr>
        <w:t xml:space="preserve"> and past ten years </w:t>
      </w:r>
      <w:r w:rsidR="00095F86">
        <w:rPr>
          <w:rFonts w:ascii="Times New Roman" w:hAnsi="Times New Roman" w:cs="Times New Roman"/>
          <w:sz w:val="22"/>
          <w:szCs w:val="22"/>
        </w:rPr>
        <w:t xml:space="preserve">quarterly </w:t>
      </w:r>
      <w:r w:rsidR="001E5783">
        <w:rPr>
          <w:rFonts w:ascii="Times New Roman" w:hAnsi="Times New Roman" w:cs="Times New Roman"/>
          <w:sz w:val="22"/>
          <w:szCs w:val="22"/>
        </w:rPr>
        <w:t>return data, the sharp ratio of hedge fund is 0.71, compared to 2.47 for private equity and 2.32 for venture capital</w:t>
      </w:r>
      <w:r w:rsidR="001E5783" w:rsidRPr="003C297C">
        <w:rPr>
          <w:rFonts w:ascii="Times New Roman" w:hAnsi="Times New Roman" w:cs="Times New Roman"/>
          <w:sz w:val="22"/>
          <w:szCs w:val="22"/>
        </w:rPr>
        <w:t>.</w:t>
      </w:r>
      <w:r w:rsidR="001E5783">
        <w:rPr>
          <w:rFonts w:ascii="Times New Roman" w:hAnsi="Times New Roman" w:cs="Times New Roman"/>
          <w:sz w:val="22"/>
          <w:szCs w:val="22"/>
        </w:rPr>
        <w:t xml:space="preserve"> As the </w:t>
      </w:r>
      <w:r w:rsidR="00950995">
        <w:rPr>
          <w:rFonts w:ascii="Times New Roman" w:hAnsi="Times New Roman" w:cs="Times New Roman"/>
          <w:sz w:val="22"/>
          <w:szCs w:val="22"/>
        </w:rPr>
        <w:t>S</w:t>
      </w:r>
      <w:r w:rsidR="001E5783">
        <w:rPr>
          <w:rFonts w:ascii="Times New Roman" w:hAnsi="Times New Roman" w:cs="Times New Roman"/>
          <w:sz w:val="22"/>
          <w:szCs w:val="22"/>
        </w:rPr>
        <w:t>harp</w:t>
      </w:r>
      <w:r w:rsidR="009F1AA2">
        <w:rPr>
          <w:rFonts w:ascii="Times New Roman" w:hAnsi="Times New Roman" w:cs="Times New Roman"/>
          <w:sz w:val="22"/>
          <w:szCs w:val="22"/>
        </w:rPr>
        <w:t>e</w:t>
      </w:r>
      <w:r w:rsidR="001E5783">
        <w:rPr>
          <w:rFonts w:ascii="Times New Roman" w:hAnsi="Times New Roman" w:cs="Times New Roman"/>
          <w:sz w:val="22"/>
          <w:szCs w:val="22"/>
        </w:rPr>
        <w:t xml:space="preserve"> ratio of hedge fund is lower than private equity and venture capital, w</w:t>
      </w:r>
      <w:r w:rsidR="00473768">
        <w:rPr>
          <w:rFonts w:ascii="Times New Roman" w:hAnsi="Times New Roman" w:cs="Times New Roman"/>
          <w:sz w:val="22"/>
          <w:szCs w:val="22"/>
        </w:rPr>
        <w:t xml:space="preserve">e </w:t>
      </w:r>
      <w:r w:rsidR="001E5783">
        <w:rPr>
          <w:rFonts w:ascii="Times New Roman" w:hAnsi="Times New Roman" w:cs="Times New Roman"/>
          <w:sz w:val="22"/>
          <w:szCs w:val="22"/>
        </w:rPr>
        <w:t xml:space="preserve">decide to </w:t>
      </w:r>
      <w:r w:rsidR="004C0268">
        <w:rPr>
          <w:rFonts w:ascii="Times New Roman" w:hAnsi="Times New Roman" w:cs="Times New Roman"/>
          <w:sz w:val="22"/>
          <w:szCs w:val="22"/>
        </w:rPr>
        <w:t xml:space="preserve">lower the allocation of hedge fund to 15.67% </w:t>
      </w:r>
      <w:r w:rsidR="001E5783">
        <w:rPr>
          <w:rFonts w:ascii="Times New Roman" w:hAnsi="Times New Roman" w:cs="Times New Roman"/>
          <w:sz w:val="22"/>
          <w:szCs w:val="22"/>
        </w:rPr>
        <w:t>while allocate more to pri</w:t>
      </w:r>
      <w:r w:rsidR="0029456E">
        <w:rPr>
          <w:rFonts w:ascii="Times New Roman" w:hAnsi="Times New Roman" w:cs="Times New Roman"/>
          <w:sz w:val="22"/>
          <w:szCs w:val="22"/>
        </w:rPr>
        <w:t>va</w:t>
      </w:r>
      <w:r w:rsidR="001E5783">
        <w:rPr>
          <w:rFonts w:ascii="Times New Roman" w:hAnsi="Times New Roman" w:cs="Times New Roman"/>
          <w:sz w:val="22"/>
          <w:szCs w:val="22"/>
        </w:rPr>
        <w:t>t</w:t>
      </w:r>
      <w:r w:rsidR="0029456E">
        <w:rPr>
          <w:rFonts w:ascii="Times New Roman" w:hAnsi="Times New Roman" w:cs="Times New Roman"/>
          <w:sz w:val="22"/>
          <w:szCs w:val="22"/>
        </w:rPr>
        <w:t>e</w:t>
      </w:r>
      <w:r w:rsidR="001E5783">
        <w:rPr>
          <w:rFonts w:ascii="Times New Roman" w:hAnsi="Times New Roman" w:cs="Times New Roman"/>
          <w:sz w:val="22"/>
          <w:szCs w:val="22"/>
        </w:rPr>
        <w:t xml:space="preserve"> equity and venture capital</w:t>
      </w:r>
      <w:r w:rsidR="004C0268">
        <w:rPr>
          <w:rFonts w:ascii="Times New Roman" w:hAnsi="Times New Roman" w:cs="Times New Roman"/>
          <w:sz w:val="22"/>
          <w:szCs w:val="22"/>
        </w:rPr>
        <w:t xml:space="preserve">. </w:t>
      </w:r>
      <w:r w:rsidR="001E5783">
        <w:rPr>
          <w:rFonts w:ascii="Times New Roman" w:hAnsi="Times New Roman" w:cs="Times New Roman"/>
          <w:sz w:val="22"/>
          <w:szCs w:val="22"/>
        </w:rPr>
        <w:t xml:space="preserve">However, </w:t>
      </w:r>
      <w:r w:rsidR="00E4006F">
        <w:rPr>
          <w:rFonts w:ascii="Times New Roman" w:hAnsi="Times New Roman" w:cs="Times New Roman"/>
          <w:sz w:val="22"/>
          <w:szCs w:val="22"/>
        </w:rPr>
        <w:t xml:space="preserve">maintaining a certain level of hedge fund investment is still necessary. On the one hand, it is difficult for </w:t>
      </w:r>
      <w:r w:rsidR="00E4006F" w:rsidRPr="00E4006F">
        <w:rPr>
          <w:rFonts w:ascii="Times New Roman" w:hAnsi="Times New Roman" w:cs="Times New Roman"/>
          <w:sz w:val="22"/>
          <w:szCs w:val="22"/>
        </w:rPr>
        <w:t xml:space="preserve">endowments </w:t>
      </w:r>
      <w:r w:rsidR="00E4006F">
        <w:rPr>
          <w:rFonts w:ascii="Times New Roman" w:hAnsi="Times New Roman" w:cs="Times New Roman"/>
          <w:sz w:val="22"/>
          <w:szCs w:val="22"/>
        </w:rPr>
        <w:t xml:space="preserve">to develop expertise to </w:t>
      </w:r>
      <w:r w:rsidR="00E4006F" w:rsidRPr="00E4006F">
        <w:rPr>
          <w:rFonts w:ascii="Times New Roman" w:hAnsi="Times New Roman" w:cs="Times New Roman"/>
          <w:sz w:val="22"/>
          <w:szCs w:val="22"/>
        </w:rPr>
        <w:t>directly invest in securities</w:t>
      </w:r>
      <w:r w:rsidR="00095F86">
        <w:rPr>
          <w:rFonts w:ascii="Times New Roman" w:hAnsi="Times New Roman" w:cs="Times New Roman"/>
          <w:sz w:val="22"/>
          <w:szCs w:val="22"/>
        </w:rPr>
        <w:t>.</w:t>
      </w:r>
      <w:r w:rsidR="00DB22FA">
        <w:rPr>
          <w:rFonts w:ascii="Times New Roman" w:hAnsi="Times New Roman" w:cs="Times New Roman"/>
          <w:sz w:val="22"/>
          <w:szCs w:val="22"/>
        </w:rPr>
        <w:t xml:space="preserve"> </w:t>
      </w:r>
      <w:r w:rsidR="00095F86">
        <w:rPr>
          <w:rFonts w:ascii="Times New Roman" w:hAnsi="Times New Roman" w:cs="Times New Roman"/>
          <w:sz w:val="22"/>
          <w:szCs w:val="22"/>
        </w:rPr>
        <w:t>Thus,</w:t>
      </w:r>
      <w:r w:rsidR="00DB22FA">
        <w:rPr>
          <w:rFonts w:ascii="Times New Roman" w:hAnsi="Times New Roman" w:cs="Times New Roman"/>
          <w:sz w:val="22"/>
          <w:szCs w:val="22"/>
        </w:rPr>
        <w:t xml:space="preserve"> </w:t>
      </w:r>
      <w:r w:rsidR="00E4006F">
        <w:rPr>
          <w:rFonts w:ascii="Times New Roman" w:hAnsi="Times New Roman" w:cs="Times New Roman"/>
          <w:sz w:val="22"/>
          <w:szCs w:val="22"/>
        </w:rPr>
        <w:t xml:space="preserve">the better option is to </w:t>
      </w:r>
      <w:r w:rsidR="00DB22FA">
        <w:rPr>
          <w:rFonts w:ascii="Times New Roman" w:hAnsi="Times New Roman" w:cs="Times New Roman"/>
          <w:sz w:val="22"/>
          <w:szCs w:val="22"/>
        </w:rPr>
        <w:t>focus on asset allocation and selection of top managers of hedge fund while pay attention to t</w:t>
      </w:r>
      <w:r w:rsidR="00DB22FA" w:rsidRPr="00DB22FA">
        <w:rPr>
          <w:rFonts w:ascii="Times New Roman" w:hAnsi="Times New Roman" w:cs="Times New Roman"/>
          <w:sz w:val="22"/>
          <w:szCs w:val="22"/>
        </w:rPr>
        <w:t>ransparency</w:t>
      </w:r>
      <w:r w:rsidR="00DB22FA">
        <w:rPr>
          <w:rFonts w:ascii="Times New Roman" w:hAnsi="Times New Roman" w:cs="Times New Roman"/>
          <w:sz w:val="22"/>
          <w:szCs w:val="22"/>
        </w:rPr>
        <w:t xml:space="preserve"> issue. On the other hand, hedge fund </w:t>
      </w:r>
      <w:r w:rsidR="00095F86">
        <w:rPr>
          <w:rFonts w:ascii="Times New Roman" w:hAnsi="Times New Roman" w:cs="Times New Roman"/>
          <w:sz w:val="22"/>
          <w:szCs w:val="22"/>
        </w:rPr>
        <w:t xml:space="preserve">is well diversified with </w:t>
      </w:r>
      <w:r w:rsidR="00DB22FA">
        <w:rPr>
          <w:rFonts w:ascii="Times New Roman" w:hAnsi="Times New Roman" w:cs="Times New Roman"/>
          <w:sz w:val="22"/>
          <w:szCs w:val="22"/>
        </w:rPr>
        <w:t xml:space="preserve">low </w:t>
      </w:r>
      <w:r w:rsidR="008F6250">
        <w:rPr>
          <w:rFonts w:ascii="Times New Roman" w:hAnsi="Times New Roman" w:cs="Times New Roman"/>
          <w:sz w:val="22"/>
          <w:szCs w:val="22"/>
        </w:rPr>
        <w:t xml:space="preserve">correlation </w:t>
      </w:r>
      <w:r w:rsidR="00095F86">
        <w:rPr>
          <w:rFonts w:ascii="Times New Roman" w:hAnsi="Times New Roman" w:cs="Times New Roman"/>
          <w:sz w:val="22"/>
          <w:szCs w:val="22"/>
        </w:rPr>
        <w:t xml:space="preserve">that helps to reduce risk for the whole portfolio. </w:t>
      </w:r>
    </w:p>
    <w:p w14:paraId="5FAB4BC5" w14:textId="77777777" w:rsidR="00800856" w:rsidRDefault="00800856" w:rsidP="0070281C">
      <w:pPr>
        <w:jc w:val="both"/>
        <w:rPr>
          <w:rFonts w:ascii="Times New Roman" w:hAnsi="Times New Roman" w:cs="Times New Roman"/>
          <w:sz w:val="22"/>
          <w:szCs w:val="22"/>
        </w:rPr>
      </w:pPr>
    </w:p>
    <w:p w14:paraId="25540983" w14:textId="3C86A7F5" w:rsidR="00D71D16" w:rsidRDefault="00D71D16" w:rsidP="0070281C">
      <w:pPr>
        <w:jc w:val="both"/>
        <w:rPr>
          <w:rFonts w:ascii="Times New Roman" w:hAnsi="Times New Roman" w:cs="Times New Roman"/>
          <w:sz w:val="22"/>
          <w:szCs w:val="22"/>
        </w:rPr>
      </w:pPr>
      <w:r>
        <w:rPr>
          <w:rFonts w:ascii="Times New Roman" w:hAnsi="Times New Roman" w:cs="Times New Roman"/>
          <w:sz w:val="22"/>
          <w:szCs w:val="22"/>
        </w:rPr>
        <w:t>In addition, we add a constraint of 20% allocated to any asset class. This is to avoid a heavy weight on a single asset and add diversification benefit to the target portfolio to protect it against the downside risk on that asset</w:t>
      </w:r>
      <w:r w:rsidR="00BB48CF">
        <w:rPr>
          <w:rFonts w:ascii="Times New Roman" w:hAnsi="Times New Roman" w:cs="Times New Roman"/>
          <w:sz w:val="22"/>
          <w:szCs w:val="22"/>
        </w:rPr>
        <w:t xml:space="preserve">. </w:t>
      </w:r>
    </w:p>
    <w:p w14:paraId="51DA6E35" w14:textId="77777777" w:rsidR="00456CCD" w:rsidRPr="00244190" w:rsidRDefault="00456CCD" w:rsidP="0070281C">
      <w:pPr>
        <w:jc w:val="both"/>
        <w:rPr>
          <w:rFonts w:ascii="Times New Roman" w:hAnsi="Times New Roman" w:cs="Times New Roman"/>
          <w:sz w:val="22"/>
          <w:szCs w:val="22"/>
        </w:rPr>
      </w:pPr>
    </w:p>
    <w:p w14:paraId="08D5705C" w14:textId="7B7C076A" w:rsidR="00907C39" w:rsidRPr="0070281C" w:rsidRDefault="00907C39" w:rsidP="0070281C">
      <w:pPr>
        <w:pStyle w:val="Heading2"/>
        <w:spacing w:line="360" w:lineRule="auto"/>
        <w:jc w:val="both"/>
        <w:rPr>
          <w:rFonts w:ascii="Times New Roman" w:hAnsi="Times New Roman" w:cs="Times New Roman"/>
          <w:b/>
          <w:bCs/>
          <w:color w:val="000000" w:themeColor="text1"/>
          <w:sz w:val="22"/>
          <w:szCs w:val="22"/>
          <w:u w:val="single"/>
        </w:rPr>
      </w:pPr>
      <w:bookmarkStart w:id="10" w:name="_Toc88879728"/>
      <w:r w:rsidRPr="0070281C">
        <w:rPr>
          <w:rFonts w:ascii="Times New Roman" w:hAnsi="Times New Roman" w:cs="Times New Roman"/>
          <w:b/>
          <w:bCs/>
          <w:color w:val="000000" w:themeColor="text1"/>
          <w:sz w:val="22"/>
          <w:szCs w:val="22"/>
          <w:u w:val="single"/>
        </w:rPr>
        <w:t>Final Recommendation</w:t>
      </w:r>
      <w:bookmarkEnd w:id="10"/>
    </w:p>
    <w:p w14:paraId="4010C862" w14:textId="708277D4" w:rsidR="001C4995" w:rsidRDefault="0070281C" w:rsidP="0070281C">
      <w:pPr>
        <w:jc w:val="both"/>
        <w:rPr>
          <w:rFonts w:ascii="Times New Roman" w:hAnsi="Times New Roman" w:cs="Times New Roman"/>
          <w:sz w:val="22"/>
          <w:szCs w:val="22"/>
        </w:rPr>
      </w:pPr>
      <w:r w:rsidRPr="0070281C">
        <w:rPr>
          <w:rFonts w:ascii="Times New Roman" w:hAnsi="Times New Roman" w:cs="Times New Roman"/>
          <w:sz w:val="22"/>
          <w:szCs w:val="22"/>
        </w:rPr>
        <w:t xml:space="preserve">The final recommended portfolio is </w:t>
      </w:r>
      <w:r>
        <w:rPr>
          <w:rFonts w:ascii="Times New Roman" w:hAnsi="Times New Roman" w:cs="Times New Roman"/>
          <w:sz w:val="22"/>
          <w:szCs w:val="22"/>
        </w:rPr>
        <w:t xml:space="preserve">derived with Solver. We track the quarterly performance of each asset classes from the last 10 years and calculate the annual return and the variance-covariance matrix. </w:t>
      </w:r>
      <w:r w:rsidR="008A6FCF" w:rsidRPr="0070281C">
        <w:rPr>
          <w:rFonts w:ascii="Times New Roman" w:hAnsi="Times New Roman" w:cs="Times New Roman"/>
          <w:sz w:val="22"/>
          <w:szCs w:val="22"/>
        </w:rPr>
        <w:t xml:space="preserve">After applying all the constraints to solver, </w:t>
      </w:r>
      <w:r>
        <w:rPr>
          <w:rFonts w:ascii="Times New Roman" w:hAnsi="Times New Roman" w:cs="Times New Roman"/>
          <w:sz w:val="22"/>
          <w:szCs w:val="22"/>
        </w:rPr>
        <w:t>we generate the following result</w:t>
      </w:r>
      <w:r w:rsidR="001C4995">
        <w:rPr>
          <w:rFonts w:ascii="Times New Roman" w:hAnsi="Times New Roman" w:cs="Times New Roman"/>
          <w:sz w:val="22"/>
          <w:szCs w:val="22"/>
        </w:rPr>
        <w:t>.</w:t>
      </w:r>
    </w:p>
    <w:p w14:paraId="74034F0E" w14:textId="77777777" w:rsidR="00533A1B" w:rsidRDefault="00533A1B" w:rsidP="0070281C">
      <w:pPr>
        <w:jc w:val="both"/>
        <w:rPr>
          <w:rFonts w:ascii="Times New Roman" w:hAnsi="Times New Roman" w:cs="Times New Roman"/>
          <w:sz w:val="22"/>
          <w:szCs w:val="22"/>
        </w:rPr>
      </w:pPr>
    </w:p>
    <w:p w14:paraId="707AEE0D" w14:textId="4481338A" w:rsidR="001C4995" w:rsidRPr="00800856" w:rsidRDefault="001C4995" w:rsidP="0070281C">
      <w:pPr>
        <w:jc w:val="both"/>
        <w:rPr>
          <w:rFonts w:ascii="Times New Roman" w:hAnsi="Times New Roman" w:cs="Times New Roman"/>
          <w:sz w:val="22"/>
          <w:szCs w:val="22"/>
        </w:rPr>
      </w:pPr>
      <w:r w:rsidRPr="00710963">
        <w:rPr>
          <w:rFonts w:ascii="Times New Roman" w:hAnsi="Times New Roman" w:cs="Times New Roman"/>
          <w:sz w:val="22"/>
          <w:szCs w:val="22"/>
        </w:rPr>
        <w:t xml:space="preserve">Exhibit 3. </w:t>
      </w:r>
      <w:r w:rsidR="00710963">
        <w:rPr>
          <w:rFonts w:ascii="Times New Roman" w:hAnsi="Times New Roman" w:cs="Times New Roman"/>
          <w:sz w:val="22"/>
          <w:szCs w:val="22"/>
        </w:rPr>
        <w:t>Essential Calculations and Final Recommendation Solver Output</w:t>
      </w:r>
      <w:r w:rsidR="00800856">
        <w:rPr>
          <w:rFonts w:ascii="Times New Roman" w:hAnsi="Times New Roman" w:cs="Times New Roman"/>
          <w:sz w:val="22"/>
          <w:szCs w:val="22"/>
        </w:rPr>
        <w:t xml:space="preserve"> </w:t>
      </w:r>
    </w:p>
    <w:p w14:paraId="2650B0A3" w14:textId="0EF9F03F" w:rsidR="001C4995" w:rsidRDefault="001C4995" w:rsidP="0070281C">
      <w:pPr>
        <w:jc w:val="both"/>
        <w:rPr>
          <w:rFonts w:ascii="Times New Roman" w:hAnsi="Times New Roman" w:cs="Times New Roman"/>
          <w:sz w:val="22"/>
          <w:szCs w:val="22"/>
        </w:rPr>
      </w:pPr>
      <w:r>
        <w:rPr>
          <w:rFonts w:ascii="Times New Roman" w:hAnsi="Times New Roman" w:cs="Times New Roman"/>
          <w:b/>
          <w:bCs/>
          <w:noProof/>
          <w:color w:val="000000" w:themeColor="text1"/>
          <w:sz w:val="22"/>
          <w:szCs w:val="22"/>
        </w:rPr>
        <w:lastRenderedPageBreak/>
        <w:drawing>
          <wp:inline distT="0" distB="0" distL="0" distR="0" wp14:anchorId="258249F3" wp14:editId="0877A956">
            <wp:extent cx="5943600" cy="374777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p>
    <w:p w14:paraId="77A6E7DF" w14:textId="77777777" w:rsidR="001C4995" w:rsidRDefault="001C4995" w:rsidP="0070281C">
      <w:pPr>
        <w:jc w:val="both"/>
        <w:rPr>
          <w:rFonts w:ascii="Times New Roman" w:hAnsi="Times New Roman" w:cs="Times New Roman"/>
          <w:sz w:val="22"/>
          <w:szCs w:val="22"/>
        </w:rPr>
      </w:pPr>
    </w:p>
    <w:p w14:paraId="4B2C755E" w14:textId="4AC006EA" w:rsidR="006F4D14" w:rsidRDefault="00C42AC4" w:rsidP="00AB66CE">
      <w:pPr>
        <w:jc w:val="both"/>
        <w:rPr>
          <w:rFonts w:ascii="Times New Roman" w:hAnsi="Times New Roman" w:cs="Times New Roman"/>
          <w:sz w:val="22"/>
          <w:szCs w:val="22"/>
        </w:rPr>
      </w:pPr>
      <w:r>
        <w:rPr>
          <w:rFonts w:ascii="Times New Roman" w:hAnsi="Times New Roman" w:cs="Times New Roman"/>
          <w:sz w:val="22"/>
          <w:szCs w:val="22"/>
        </w:rPr>
        <w:t>The projected annual return for the recommended portfolio is 10.</w:t>
      </w:r>
      <w:r w:rsidR="00625FFE">
        <w:rPr>
          <w:rFonts w:ascii="Times New Roman" w:hAnsi="Times New Roman" w:cs="Times New Roman"/>
          <w:sz w:val="22"/>
          <w:szCs w:val="22"/>
        </w:rPr>
        <w:t>1</w:t>
      </w:r>
      <w:r>
        <w:rPr>
          <w:rFonts w:ascii="Times New Roman" w:hAnsi="Times New Roman" w:cs="Times New Roman"/>
          <w:sz w:val="22"/>
          <w:szCs w:val="22"/>
        </w:rPr>
        <w:t xml:space="preserve">3%, </w:t>
      </w:r>
      <w:r w:rsidR="0015387A">
        <w:rPr>
          <w:rFonts w:ascii="Times New Roman" w:hAnsi="Times New Roman" w:cs="Times New Roman"/>
          <w:sz w:val="22"/>
          <w:szCs w:val="22"/>
        </w:rPr>
        <w:t>with a Sharpe ratio of 0.</w:t>
      </w:r>
      <w:r w:rsidR="00304412">
        <w:rPr>
          <w:rFonts w:ascii="Times New Roman" w:hAnsi="Times New Roman" w:cs="Times New Roman"/>
          <w:sz w:val="22"/>
          <w:szCs w:val="22"/>
        </w:rPr>
        <w:t>87</w:t>
      </w:r>
      <w:r w:rsidR="006F4D14">
        <w:rPr>
          <w:rFonts w:ascii="Times New Roman" w:hAnsi="Times New Roman" w:cs="Times New Roman"/>
          <w:sz w:val="22"/>
          <w:szCs w:val="22"/>
        </w:rPr>
        <w:t>71</w:t>
      </w:r>
      <w:r w:rsidR="0015387A">
        <w:rPr>
          <w:rFonts w:ascii="Times New Roman" w:hAnsi="Times New Roman" w:cs="Times New Roman"/>
          <w:sz w:val="22"/>
          <w:szCs w:val="22"/>
        </w:rPr>
        <w:t>. T</w:t>
      </w:r>
      <w:r>
        <w:rPr>
          <w:rFonts w:ascii="Times New Roman" w:hAnsi="Times New Roman" w:cs="Times New Roman"/>
          <w:sz w:val="22"/>
          <w:szCs w:val="22"/>
        </w:rPr>
        <w:t xml:space="preserve">he standard deviation is </w:t>
      </w:r>
      <w:r w:rsidR="00625FFE">
        <w:rPr>
          <w:rFonts w:ascii="Times New Roman" w:hAnsi="Times New Roman" w:cs="Times New Roman"/>
          <w:sz w:val="22"/>
          <w:szCs w:val="22"/>
        </w:rPr>
        <w:t>7.33</w:t>
      </w:r>
      <w:r>
        <w:rPr>
          <w:rFonts w:ascii="Times New Roman" w:hAnsi="Times New Roman" w:cs="Times New Roman"/>
          <w:sz w:val="22"/>
          <w:szCs w:val="22"/>
        </w:rPr>
        <w:t>%, which does not exceed the</w:t>
      </w:r>
      <w:r w:rsidR="0015387A">
        <w:rPr>
          <w:rFonts w:ascii="Times New Roman" w:hAnsi="Times New Roman" w:cs="Times New Roman"/>
          <w:sz w:val="22"/>
          <w:szCs w:val="22"/>
        </w:rPr>
        <w:t xml:space="preserve"> average volatility of 9.3% of similar endowments.</w:t>
      </w:r>
      <w:r w:rsidR="00625FFE">
        <w:rPr>
          <w:rFonts w:ascii="Times New Roman" w:hAnsi="Times New Roman" w:cs="Times New Roman"/>
          <w:sz w:val="22"/>
          <w:szCs w:val="22"/>
        </w:rPr>
        <w:t xml:space="preserve"> It is also noticeable that emerging market equities and commodities are excluded from the portfolio, due to </w:t>
      </w:r>
      <w:r w:rsidR="00A908BF">
        <w:rPr>
          <w:rFonts w:ascii="Times New Roman" w:hAnsi="Times New Roman" w:cs="Times New Roman"/>
          <w:sz w:val="22"/>
          <w:szCs w:val="22"/>
        </w:rPr>
        <w:t>low return and high volatility they present in the past 10 years.</w:t>
      </w:r>
    </w:p>
    <w:p w14:paraId="70CFA48B" w14:textId="77777777" w:rsidR="002559AF" w:rsidRPr="00AB66CE" w:rsidRDefault="002559AF" w:rsidP="00AB66CE">
      <w:pPr>
        <w:jc w:val="both"/>
        <w:rPr>
          <w:rFonts w:ascii="Times New Roman" w:hAnsi="Times New Roman" w:cs="Times New Roman"/>
          <w:sz w:val="22"/>
          <w:szCs w:val="22"/>
        </w:rPr>
      </w:pPr>
    </w:p>
    <w:p w14:paraId="5FCC8BEF" w14:textId="5C3B45CB" w:rsidR="00670131" w:rsidRDefault="00FF66DD" w:rsidP="001C4995">
      <w:pPr>
        <w:pStyle w:val="Heading1"/>
        <w:spacing w:before="40" w:after="80"/>
        <w:jc w:val="center"/>
        <w:rPr>
          <w:rFonts w:ascii="Times New Roman" w:hAnsi="Times New Roman" w:cs="Times New Roman"/>
          <w:b/>
          <w:bCs/>
          <w:color w:val="000000" w:themeColor="text1"/>
          <w:sz w:val="22"/>
          <w:szCs w:val="22"/>
        </w:rPr>
      </w:pPr>
      <w:bookmarkStart w:id="11" w:name="_Toc88879729"/>
      <w:r w:rsidRPr="00FF66DD">
        <w:rPr>
          <w:rFonts w:ascii="Times New Roman" w:hAnsi="Times New Roman" w:cs="Times New Roman"/>
          <w:b/>
          <w:bCs/>
          <w:color w:val="000000" w:themeColor="text1"/>
          <w:sz w:val="22"/>
          <w:szCs w:val="22"/>
        </w:rPr>
        <w:lastRenderedPageBreak/>
        <w:t>Appendix</w:t>
      </w:r>
      <w:r w:rsidR="001C4995">
        <w:rPr>
          <w:rFonts w:ascii="Times New Roman" w:hAnsi="Times New Roman" w:cs="Times New Roman"/>
          <w:b/>
          <w:bCs/>
          <w:color w:val="000000" w:themeColor="text1"/>
          <w:sz w:val="22"/>
          <w:szCs w:val="22"/>
        </w:rPr>
        <w:t xml:space="preserve"> – Quarterly Performance of Selected Asset Classes</w:t>
      </w:r>
      <w:bookmarkEnd w:id="11"/>
    </w:p>
    <w:p w14:paraId="3F8FBB00" w14:textId="6A9EF375" w:rsidR="001C4995" w:rsidRPr="001C4995" w:rsidRDefault="001C4995" w:rsidP="001C4995">
      <w:pPr>
        <w:sectPr w:rsidR="001C4995" w:rsidRPr="001C4995">
          <w:pgSz w:w="12240" w:h="15840"/>
          <w:pgMar w:top="1440" w:right="1440" w:bottom="1440" w:left="1440" w:header="720" w:footer="720" w:gutter="0"/>
          <w:cols w:space="720"/>
          <w:docGrid w:linePitch="360"/>
        </w:sectPr>
      </w:pPr>
      <w:r>
        <w:rPr>
          <w:noProof/>
        </w:rPr>
        <w:drawing>
          <wp:inline distT="0" distB="0" distL="0" distR="0" wp14:anchorId="6EEEC571" wp14:editId="2F1399E3">
            <wp:extent cx="5943600" cy="4182745"/>
            <wp:effectExtent l="0" t="0" r="0" b="0"/>
            <wp:docPr id="6" name="Picture 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 Exc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82745"/>
                    </a:xfrm>
                    <a:prstGeom prst="rect">
                      <a:avLst/>
                    </a:prstGeom>
                  </pic:spPr>
                </pic:pic>
              </a:graphicData>
            </a:graphic>
          </wp:inline>
        </w:drawing>
      </w:r>
    </w:p>
    <w:p w14:paraId="4043EFAD" w14:textId="7ADF0E14" w:rsidR="00C21AC9" w:rsidRPr="00C21AC9" w:rsidRDefault="00670131" w:rsidP="00C21AC9">
      <w:pPr>
        <w:pStyle w:val="Heading1"/>
        <w:spacing w:before="40" w:after="80"/>
        <w:jc w:val="center"/>
        <w:rPr>
          <w:rFonts w:ascii="Times New Roman" w:hAnsi="Times New Roman" w:cs="Times New Roman"/>
          <w:b/>
          <w:bCs/>
          <w:color w:val="000000" w:themeColor="text1"/>
          <w:sz w:val="22"/>
          <w:szCs w:val="22"/>
        </w:rPr>
      </w:pPr>
      <w:bookmarkStart w:id="12" w:name="_Toc88879730"/>
      <w:r w:rsidRPr="00670131">
        <w:rPr>
          <w:rFonts w:ascii="Times New Roman" w:hAnsi="Times New Roman" w:cs="Times New Roman"/>
          <w:b/>
          <w:bCs/>
          <w:color w:val="000000" w:themeColor="text1"/>
          <w:sz w:val="22"/>
          <w:szCs w:val="22"/>
        </w:rPr>
        <w:lastRenderedPageBreak/>
        <w:t>References</w:t>
      </w:r>
      <w:bookmarkEnd w:id="12"/>
    </w:p>
    <w:p w14:paraId="6954F9F6" w14:textId="77777777" w:rsidR="002B4467" w:rsidRDefault="002B4467" w:rsidP="00254C7F">
      <w:pPr>
        <w:rPr>
          <w:rFonts w:ascii="Times New Roman" w:hAnsi="Times New Roman" w:cs="Times New Roman"/>
          <w:sz w:val="22"/>
          <w:szCs w:val="22"/>
        </w:rPr>
      </w:pPr>
      <w:r w:rsidRPr="002B4467">
        <w:rPr>
          <w:rFonts w:ascii="Times New Roman" w:hAnsi="Times New Roman" w:cs="Times New Roman"/>
          <w:sz w:val="22"/>
          <w:szCs w:val="22"/>
        </w:rPr>
        <w:t>Big university endowments make billions in returns in a bumper year. Oct. 15, 2021</w:t>
      </w:r>
      <w:r>
        <w:rPr>
          <w:rFonts w:ascii="Times New Roman" w:hAnsi="Times New Roman" w:cs="Times New Roman"/>
          <w:sz w:val="22"/>
          <w:szCs w:val="22"/>
        </w:rPr>
        <w:t>.</w:t>
      </w:r>
    </w:p>
    <w:p w14:paraId="49759320" w14:textId="7919AF84" w:rsidR="002B4467" w:rsidRDefault="007B1554" w:rsidP="00254C7F">
      <w:pPr>
        <w:rPr>
          <w:rFonts w:ascii="Times New Roman" w:hAnsi="Times New Roman" w:cs="Times New Roman"/>
          <w:sz w:val="22"/>
          <w:szCs w:val="22"/>
        </w:rPr>
      </w:pPr>
      <w:hyperlink r:id="rId16" w:history="1">
        <w:r w:rsidR="002B4467" w:rsidRPr="005C60A2">
          <w:rPr>
            <w:rStyle w:val="Hyperlink"/>
            <w:rFonts w:ascii="Times New Roman" w:hAnsi="Times New Roman" w:cs="Times New Roman"/>
            <w:sz w:val="22"/>
            <w:szCs w:val="22"/>
          </w:rPr>
          <w:t>https://www.nytimes.com/2021/10/15/business/university-endowments.html?auth=link-dismiss-google1tap</w:t>
        </w:r>
      </w:hyperlink>
    </w:p>
    <w:p w14:paraId="7BF81011" w14:textId="77777777" w:rsidR="002B4467" w:rsidRDefault="002B4467" w:rsidP="00254C7F">
      <w:pPr>
        <w:rPr>
          <w:rFonts w:ascii="Times New Roman" w:hAnsi="Times New Roman" w:cs="Times New Roman"/>
          <w:sz w:val="22"/>
          <w:szCs w:val="22"/>
        </w:rPr>
      </w:pPr>
    </w:p>
    <w:p w14:paraId="7352260A" w14:textId="7E96A1C9" w:rsidR="00B956BD" w:rsidRDefault="00B956BD" w:rsidP="00254C7F">
      <w:pPr>
        <w:rPr>
          <w:rFonts w:ascii="Times New Roman" w:hAnsi="Times New Roman" w:cs="Times New Roman"/>
          <w:sz w:val="22"/>
          <w:szCs w:val="22"/>
        </w:rPr>
      </w:pPr>
      <w:r w:rsidRPr="00B956BD">
        <w:rPr>
          <w:rFonts w:ascii="Times New Roman" w:hAnsi="Times New Roman" w:cs="Times New Roman"/>
          <w:sz w:val="22"/>
          <w:szCs w:val="22"/>
        </w:rPr>
        <w:t>University endowments' record returns cut both ways</w:t>
      </w:r>
      <w:r>
        <w:rPr>
          <w:rFonts w:ascii="Times New Roman" w:hAnsi="Times New Roman" w:cs="Times New Roman"/>
          <w:sz w:val="22"/>
          <w:szCs w:val="22"/>
        </w:rPr>
        <w:t xml:space="preserve">. </w:t>
      </w:r>
      <w:r w:rsidRPr="00B956BD">
        <w:rPr>
          <w:rFonts w:ascii="Times New Roman" w:hAnsi="Times New Roman" w:cs="Times New Roman"/>
          <w:sz w:val="22"/>
          <w:szCs w:val="22"/>
        </w:rPr>
        <w:t>October 3, 2021</w:t>
      </w:r>
      <w:r>
        <w:rPr>
          <w:rFonts w:ascii="Times New Roman" w:hAnsi="Times New Roman" w:cs="Times New Roman"/>
          <w:sz w:val="22"/>
          <w:szCs w:val="22"/>
        </w:rPr>
        <w:t>.</w:t>
      </w:r>
    </w:p>
    <w:p w14:paraId="7BA8A8CB" w14:textId="0ADA49E9" w:rsidR="00B956BD" w:rsidRDefault="007B1554" w:rsidP="00254C7F">
      <w:pPr>
        <w:rPr>
          <w:rFonts w:ascii="Times New Roman" w:hAnsi="Times New Roman" w:cs="Times New Roman"/>
          <w:sz w:val="22"/>
          <w:szCs w:val="22"/>
        </w:rPr>
      </w:pPr>
      <w:hyperlink r:id="rId17" w:history="1">
        <w:r w:rsidR="00B956BD" w:rsidRPr="005C60A2">
          <w:rPr>
            <w:rStyle w:val="Hyperlink"/>
            <w:rFonts w:ascii="Times New Roman" w:hAnsi="Times New Roman" w:cs="Times New Roman"/>
            <w:sz w:val="22"/>
            <w:szCs w:val="22"/>
          </w:rPr>
          <w:t>https://pitchbook.com/news/articles/university-endowments-record-returns-venture-capital-private-equity</w:t>
        </w:r>
      </w:hyperlink>
    </w:p>
    <w:p w14:paraId="361C6B15" w14:textId="77777777" w:rsidR="00B956BD" w:rsidRDefault="00B956BD" w:rsidP="00254C7F">
      <w:pPr>
        <w:rPr>
          <w:rFonts w:ascii="Times New Roman" w:hAnsi="Times New Roman" w:cs="Times New Roman"/>
          <w:sz w:val="22"/>
          <w:szCs w:val="22"/>
        </w:rPr>
      </w:pPr>
    </w:p>
    <w:p w14:paraId="11937FEF" w14:textId="145428A9" w:rsidR="00254C7F" w:rsidRDefault="00254C7F" w:rsidP="00254C7F">
      <w:pPr>
        <w:rPr>
          <w:rFonts w:ascii="Times New Roman" w:hAnsi="Times New Roman" w:cs="Times New Roman"/>
          <w:sz w:val="22"/>
          <w:szCs w:val="22"/>
        </w:rPr>
      </w:pPr>
      <w:r w:rsidRPr="00254C7F">
        <w:rPr>
          <w:rFonts w:ascii="Times New Roman" w:hAnsi="Times New Roman" w:cs="Times New Roman"/>
          <w:sz w:val="22"/>
          <w:szCs w:val="22"/>
        </w:rPr>
        <w:t xml:space="preserve">What The Ivy League Can Teach You About Investing </w:t>
      </w:r>
      <w:r>
        <w:rPr>
          <w:rFonts w:ascii="Times New Roman" w:hAnsi="Times New Roman" w:cs="Times New Roman"/>
          <w:sz w:val="22"/>
          <w:szCs w:val="22"/>
        </w:rPr>
        <w:t>in</w:t>
      </w:r>
      <w:r w:rsidRPr="00254C7F">
        <w:rPr>
          <w:rFonts w:ascii="Times New Roman" w:hAnsi="Times New Roman" w:cs="Times New Roman"/>
          <w:sz w:val="22"/>
          <w:szCs w:val="22"/>
        </w:rPr>
        <w:t xml:space="preserve"> Natural Resources</w:t>
      </w:r>
      <w:r>
        <w:rPr>
          <w:rFonts w:ascii="Times New Roman" w:hAnsi="Times New Roman" w:cs="Times New Roman"/>
          <w:sz w:val="22"/>
          <w:szCs w:val="22"/>
        </w:rPr>
        <w:t xml:space="preserve">. </w:t>
      </w:r>
      <w:r w:rsidR="00403CE2">
        <w:rPr>
          <w:rFonts w:ascii="Times New Roman" w:hAnsi="Times New Roman" w:cs="Times New Roman"/>
          <w:sz w:val="22"/>
          <w:szCs w:val="22"/>
        </w:rPr>
        <w:t xml:space="preserve">Dec 20, 2016. </w:t>
      </w:r>
      <w:hyperlink r:id="rId18" w:history="1">
        <w:r w:rsidR="00403CE2" w:rsidRPr="005C18B1">
          <w:rPr>
            <w:rStyle w:val="Hyperlink"/>
            <w:rFonts w:ascii="Times New Roman" w:hAnsi="Times New Roman" w:cs="Times New Roman"/>
            <w:sz w:val="22"/>
            <w:szCs w:val="22"/>
          </w:rPr>
          <w:t>https://www.harvestreturns.com/blog/2016/12/20/what-the-ivy-league-knows-about-investing-in-agriculture-that-you-dont</w:t>
        </w:r>
      </w:hyperlink>
      <w:r>
        <w:rPr>
          <w:rFonts w:ascii="Times New Roman" w:hAnsi="Times New Roman" w:cs="Times New Roman"/>
          <w:sz w:val="22"/>
          <w:szCs w:val="22"/>
        </w:rPr>
        <w:t xml:space="preserve"> </w:t>
      </w:r>
    </w:p>
    <w:p w14:paraId="2BD91F8B" w14:textId="439BD34A" w:rsidR="00403CE2" w:rsidRDefault="00403CE2" w:rsidP="00254C7F">
      <w:pPr>
        <w:rPr>
          <w:rFonts w:ascii="Times New Roman" w:hAnsi="Times New Roman" w:cs="Times New Roman"/>
          <w:sz w:val="22"/>
          <w:szCs w:val="22"/>
        </w:rPr>
      </w:pPr>
    </w:p>
    <w:p w14:paraId="4C0595C6" w14:textId="35BE1094" w:rsidR="00403CE2" w:rsidRDefault="00403CE2" w:rsidP="00254C7F">
      <w:pPr>
        <w:rPr>
          <w:rFonts w:ascii="Times New Roman" w:hAnsi="Times New Roman" w:cs="Times New Roman"/>
          <w:sz w:val="22"/>
          <w:szCs w:val="22"/>
        </w:rPr>
      </w:pPr>
      <w:r w:rsidRPr="00403CE2">
        <w:rPr>
          <w:rFonts w:ascii="Times New Roman" w:hAnsi="Times New Roman" w:cs="Times New Roman"/>
          <w:sz w:val="22"/>
          <w:szCs w:val="22"/>
        </w:rPr>
        <w:t>Making the Case for Investing in Natural Resources</w:t>
      </w:r>
      <w:r>
        <w:rPr>
          <w:rFonts w:ascii="Times New Roman" w:hAnsi="Times New Roman" w:cs="Times New Roman"/>
          <w:sz w:val="22"/>
          <w:szCs w:val="22"/>
        </w:rPr>
        <w:t xml:space="preserve">. Jul 11, 2017. </w:t>
      </w:r>
      <w:hyperlink r:id="rId19" w:history="1">
        <w:r w:rsidRPr="005C18B1">
          <w:rPr>
            <w:rStyle w:val="Hyperlink"/>
            <w:rFonts w:ascii="Times New Roman" w:hAnsi="Times New Roman" w:cs="Times New Roman"/>
            <w:sz w:val="22"/>
            <w:szCs w:val="22"/>
          </w:rPr>
          <w:t>https://www.commonfund.org/blog/post-natural-resources-investing</w:t>
        </w:r>
      </w:hyperlink>
      <w:r>
        <w:rPr>
          <w:rFonts w:ascii="Times New Roman" w:hAnsi="Times New Roman" w:cs="Times New Roman"/>
          <w:sz w:val="22"/>
          <w:szCs w:val="22"/>
        </w:rPr>
        <w:t xml:space="preserve"> </w:t>
      </w:r>
    </w:p>
    <w:p w14:paraId="578ECEB0" w14:textId="1C9C165F" w:rsidR="0020263C" w:rsidRDefault="0020263C" w:rsidP="00254C7F">
      <w:pPr>
        <w:rPr>
          <w:rFonts w:ascii="Times New Roman" w:hAnsi="Times New Roman" w:cs="Times New Roman"/>
          <w:sz w:val="22"/>
          <w:szCs w:val="22"/>
        </w:rPr>
      </w:pPr>
    </w:p>
    <w:p w14:paraId="2B130B96" w14:textId="7BB1D874" w:rsidR="0020263C" w:rsidRDefault="0020263C" w:rsidP="00254C7F">
      <w:pPr>
        <w:rPr>
          <w:rFonts w:ascii="Times New Roman" w:hAnsi="Times New Roman" w:cs="Times New Roman"/>
          <w:sz w:val="22"/>
          <w:szCs w:val="22"/>
        </w:rPr>
      </w:pPr>
      <w:r w:rsidRPr="0020263C">
        <w:rPr>
          <w:rFonts w:ascii="Times New Roman" w:hAnsi="Times New Roman" w:cs="Times New Roman"/>
          <w:sz w:val="22"/>
          <w:szCs w:val="22"/>
        </w:rPr>
        <w:t>Invest Like the Ivy League: Using Real Estate Investments to Deliver Outsized Returns</w:t>
      </w:r>
      <w:r>
        <w:rPr>
          <w:rFonts w:ascii="Times New Roman" w:hAnsi="Times New Roman" w:cs="Times New Roman"/>
          <w:sz w:val="22"/>
          <w:szCs w:val="22"/>
        </w:rPr>
        <w:t xml:space="preserve">. Jan 8, 2020. </w:t>
      </w:r>
      <w:hyperlink r:id="rId20" w:history="1">
        <w:r w:rsidRPr="005C18B1">
          <w:rPr>
            <w:rStyle w:val="Hyperlink"/>
            <w:rFonts w:ascii="Times New Roman" w:hAnsi="Times New Roman" w:cs="Times New Roman"/>
            <w:sz w:val="22"/>
            <w:szCs w:val="22"/>
          </w:rPr>
          <w:t>https://cadre.com/insights/invest-like-the-ivy-league-using-real-estate-investments-to-deliver-outsized-returns/</w:t>
        </w:r>
      </w:hyperlink>
      <w:r>
        <w:rPr>
          <w:rFonts w:ascii="Times New Roman" w:hAnsi="Times New Roman" w:cs="Times New Roman"/>
          <w:sz w:val="22"/>
          <w:szCs w:val="22"/>
        </w:rPr>
        <w:t xml:space="preserve"> </w:t>
      </w:r>
    </w:p>
    <w:p w14:paraId="70C9E428" w14:textId="0C42C2DA" w:rsidR="0063069F" w:rsidRDefault="0063069F" w:rsidP="00254C7F">
      <w:pPr>
        <w:rPr>
          <w:rFonts w:ascii="Times New Roman" w:hAnsi="Times New Roman" w:cs="Times New Roman"/>
          <w:sz w:val="22"/>
          <w:szCs w:val="22"/>
        </w:rPr>
      </w:pPr>
    </w:p>
    <w:p w14:paraId="7839E375" w14:textId="5D96180B" w:rsidR="0063069F" w:rsidRDefault="0063069F" w:rsidP="00254C7F">
      <w:pPr>
        <w:rPr>
          <w:rFonts w:ascii="Times New Roman" w:hAnsi="Times New Roman" w:cs="Times New Roman"/>
          <w:sz w:val="22"/>
          <w:szCs w:val="22"/>
        </w:rPr>
      </w:pPr>
      <w:r w:rsidRPr="0063069F">
        <w:rPr>
          <w:rFonts w:ascii="Times New Roman" w:hAnsi="Times New Roman" w:cs="Times New Roman"/>
          <w:sz w:val="22"/>
          <w:szCs w:val="22"/>
        </w:rPr>
        <w:t>What The Yale University Endowment Fund Teaches Investors About Real Estate Investing</w:t>
      </w:r>
      <w:r>
        <w:rPr>
          <w:rFonts w:ascii="Times New Roman" w:hAnsi="Times New Roman" w:cs="Times New Roman"/>
          <w:sz w:val="22"/>
          <w:szCs w:val="22"/>
        </w:rPr>
        <w:t xml:space="preserve">. Nov 27, 2018. </w:t>
      </w:r>
      <w:hyperlink r:id="rId21" w:history="1">
        <w:r w:rsidR="007C352A" w:rsidRPr="005C18B1">
          <w:rPr>
            <w:rStyle w:val="Hyperlink"/>
            <w:rFonts w:ascii="Times New Roman" w:hAnsi="Times New Roman" w:cs="Times New Roman"/>
            <w:sz w:val="22"/>
            <w:szCs w:val="22"/>
          </w:rPr>
          <w:t>https://www.forbes.com/sites/forbesrealestatecouncil/2018/11/27/what-the-yale-university-endowment-fund-teaches-investors-about-real-estate-investing/?sh=5cbe0b252be8</w:t>
        </w:r>
      </w:hyperlink>
      <w:r w:rsidR="007C352A">
        <w:rPr>
          <w:rFonts w:ascii="Times New Roman" w:hAnsi="Times New Roman" w:cs="Times New Roman"/>
          <w:sz w:val="22"/>
          <w:szCs w:val="22"/>
        </w:rPr>
        <w:t xml:space="preserve"> </w:t>
      </w:r>
    </w:p>
    <w:p w14:paraId="1D1B6A6A" w14:textId="77777777" w:rsidR="00AD05C5" w:rsidRDefault="00AD05C5" w:rsidP="00AD05C5">
      <w:pPr>
        <w:rPr>
          <w:rFonts w:ascii="Times New Roman" w:hAnsi="Times New Roman" w:cs="Times New Roman"/>
          <w:sz w:val="22"/>
          <w:szCs w:val="22"/>
        </w:rPr>
      </w:pPr>
    </w:p>
    <w:p w14:paraId="1C193D95" w14:textId="3A5D5D47" w:rsidR="003D0541" w:rsidRDefault="003D0541" w:rsidP="00AD05C5">
      <w:pPr>
        <w:rPr>
          <w:rFonts w:ascii="Times New Roman" w:hAnsi="Times New Roman" w:cs="Times New Roman"/>
          <w:sz w:val="22"/>
          <w:szCs w:val="22"/>
        </w:rPr>
      </w:pPr>
      <w:r w:rsidRPr="003D0541">
        <w:rPr>
          <w:rFonts w:ascii="Times New Roman" w:hAnsi="Times New Roman" w:cs="Times New Roman"/>
          <w:sz w:val="22"/>
          <w:szCs w:val="22"/>
        </w:rPr>
        <w:t>Credit Suisse Hedge Fund Index fro</w:t>
      </w:r>
      <w:r>
        <w:rPr>
          <w:rFonts w:ascii="Times New Roman" w:hAnsi="Times New Roman" w:cs="Times New Roman" w:hint="eastAsia"/>
          <w:sz w:val="22"/>
          <w:szCs w:val="22"/>
        </w:rPr>
        <w:t>m</w:t>
      </w:r>
      <w:r>
        <w:rPr>
          <w:rFonts w:ascii="Times New Roman" w:hAnsi="Times New Roman" w:cs="Times New Roman"/>
          <w:sz w:val="22"/>
          <w:szCs w:val="22"/>
        </w:rPr>
        <w:t xml:space="preserve"> </w:t>
      </w:r>
      <w:hyperlink r:id="rId22" w:anchor="/en/index/HEDG/HEDG/overview" w:history="1">
        <w:r w:rsidRPr="005C60A2">
          <w:rPr>
            <w:rStyle w:val="Hyperlink"/>
            <w:rFonts w:ascii="Times New Roman" w:hAnsi="Times New Roman" w:cs="Times New Roman"/>
            <w:sz w:val="22"/>
            <w:szCs w:val="22"/>
          </w:rPr>
          <w:t>https://lab.credit-suisse.com/#/en/index/HEDG/HEDG/overview</w:t>
        </w:r>
      </w:hyperlink>
    </w:p>
    <w:p w14:paraId="1230502A" w14:textId="77777777" w:rsidR="003D0541" w:rsidRPr="00AD05C5" w:rsidRDefault="003D0541" w:rsidP="00AD05C5">
      <w:pPr>
        <w:rPr>
          <w:rFonts w:ascii="Times New Roman" w:hAnsi="Times New Roman" w:cs="Times New Roman"/>
          <w:sz w:val="22"/>
          <w:szCs w:val="22"/>
        </w:rPr>
      </w:pPr>
    </w:p>
    <w:p w14:paraId="6C251600" w14:textId="26B2C14C" w:rsidR="003D0541" w:rsidRDefault="003D0541" w:rsidP="00AD05C5">
      <w:pPr>
        <w:rPr>
          <w:rFonts w:ascii="Times New Roman" w:hAnsi="Times New Roman" w:cs="Times New Roman"/>
          <w:sz w:val="22"/>
          <w:szCs w:val="22"/>
        </w:rPr>
      </w:pPr>
      <w:proofErr w:type="spellStart"/>
      <w:r w:rsidRPr="003D0541">
        <w:rPr>
          <w:rFonts w:ascii="Times New Roman" w:hAnsi="Times New Roman" w:cs="Times New Roman"/>
          <w:sz w:val="22"/>
          <w:szCs w:val="22"/>
        </w:rPr>
        <w:t>PitchBook</w:t>
      </w:r>
      <w:proofErr w:type="spellEnd"/>
      <w:r w:rsidRPr="003D0541">
        <w:rPr>
          <w:rFonts w:ascii="Times New Roman" w:hAnsi="Times New Roman" w:cs="Times New Roman"/>
          <w:sz w:val="22"/>
          <w:szCs w:val="22"/>
        </w:rPr>
        <w:t xml:space="preserve"> Benchmarks</w:t>
      </w:r>
      <w:r w:rsidR="00574C13">
        <w:rPr>
          <w:rFonts w:ascii="Times New Roman" w:hAnsi="Times New Roman" w:cs="Times New Roman"/>
          <w:sz w:val="22"/>
          <w:szCs w:val="22"/>
        </w:rPr>
        <w:t xml:space="preserve">. </w:t>
      </w:r>
      <w:r w:rsidR="00574C13" w:rsidRPr="00574C13">
        <w:rPr>
          <w:rFonts w:ascii="Times New Roman" w:hAnsi="Times New Roman" w:cs="Times New Roman"/>
          <w:sz w:val="22"/>
          <w:szCs w:val="22"/>
        </w:rPr>
        <w:t>June 30, 2021</w:t>
      </w:r>
      <w:r w:rsidR="00574C13">
        <w:rPr>
          <w:rFonts w:ascii="Times New Roman" w:hAnsi="Times New Roman" w:cs="Times New Roman"/>
          <w:sz w:val="22"/>
          <w:szCs w:val="22"/>
        </w:rPr>
        <w:t>.</w:t>
      </w:r>
      <w:r>
        <w:rPr>
          <w:rFonts w:ascii="Times New Roman" w:hAnsi="Times New Roman" w:cs="Times New Roman"/>
          <w:sz w:val="22"/>
          <w:szCs w:val="22"/>
        </w:rPr>
        <w:t xml:space="preserve"> </w:t>
      </w:r>
      <w:hyperlink r:id="rId23" w:history="1">
        <w:r w:rsidR="00574C13" w:rsidRPr="005C60A2">
          <w:rPr>
            <w:rStyle w:val="Hyperlink"/>
            <w:rFonts w:ascii="Times New Roman" w:hAnsi="Times New Roman" w:cs="Times New Roman"/>
            <w:sz w:val="22"/>
            <w:szCs w:val="22"/>
          </w:rPr>
          <w:t>https://pitchbook.com/news/reports/2021-pitchbook-benchmarks-as-of-q4-2020?utm_source=google&amp;utm_medium=cpc&amp;utm_campaign=Library-Download-US&amp;adgroup=Library-Download-</w:t>
        </w:r>
      </w:hyperlink>
    </w:p>
    <w:p w14:paraId="0F90C878" w14:textId="77777777" w:rsidR="00574C13" w:rsidRDefault="00574C13" w:rsidP="00AD05C5">
      <w:pPr>
        <w:rPr>
          <w:rFonts w:ascii="Times New Roman" w:hAnsi="Times New Roman" w:cs="Times New Roman"/>
          <w:sz w:val="22"/>
          <w:szCs w:val="22"/>
        </w:rPr>
      </w:pPr>
    </w:p>
    <w:p w14:paraId="3485A7DE" w14:textId="3A7E26B8" w:rsidR="00AD05C5" w:rsidRDefault="00574C13" w:rsidP="00AD05C5">
      <w:pPr>
        <w:rPr>
          <w:rFonts w:ascii="Times New Roman" w:hAnsi="Times New Roman" w:cs="Times New Roman"/>
          <w:sz w:val="22"/>
          <w:szCs w:val="22"/>
        </w:rPr>
      </w:pPr>
      <w:r w:rsidRPr="00574C13">
        <w:rPr>
          <w:rFonts w:ascii="Times New Roman" w:hAnsi="Times New Roman" w:cs="Times New Roman"/>
          <w:sz w:val="22"/>
          <w:szCs w:val="22"/>
        </w:rPr>
        <w:t xml:space="preserve">iShares Core U.S. Aggregate Bond </w:t>
      </w:r>
      <w:r>
        <w:rPr>
          <w:rFonts w:ascii="Times New Roman" w:hAnsi="Times New Roman" w:cs="Times New Roman"/>
          <w:sz w:val="22"/>
          <w:szCs w:val="22"/>
        </w:rPr>
        <w:t>from</w:t>
      </w:r>
      <w:r w:rsidRPr="00574C13">
        <w:rPr>
          <w:rFonts w:ascii="Times New Roman" w:hAnsi="Times New Roman" w:cs="Times New Roman"/>
          <w:sz w:val="22"/>
          <w:szCs w:val="22"/>
        </w:rPr>
        <w:t xml:space="preserve"> </w:t>
      </w:r>
      <w:hyperlink r:id="rId24" w:history="1">
        <w:r w:rsidRPr="005C60A2">
          <w:rPr>
            <w:rStyle w:val="Hyperlink"/>
            <w:rFonts w:ascii="Times New Roman" w:hAnsi="Times New Roman" w:cs="Times New Roman"/>
            <w:sz w:val="22"/>
            <w:szCs w:val="22"/>
          </w:rPr>
          <w:t>https://finance.yahoo.com/quote/AGG/profile?p=AGG</w:t>
        </w:r>
      </w:hyperlink>
    </w:p>
    <w:p w14:paraId="2FBD9749" w14:textId="77777777" w:rsidR="00574C13" w:rsidRPr="00AD05C5" w:rsidRDefault="00574C13" w:rsidP="00AD05C5">
      <w:pPr>
        <w:rPr>
          <w:rFonts w:ascii="Times New Roman" w:hAnsi="Times New Roman" w:cs="Times New Roman"/>
          <w:sz w:val="22"/>
          <w:szCs w:val="22"/>
        </w:rPr>
      </w:pPr>
    </w:p>
    <w:p w14:paraId="0685C7FE" w14:textId="79A98F4D" w:rsidR="00AD05C5" w:rsidRDefault="00574C13" w:rsidP="00574C13">
      <w:pPr>
        <w:ind w:left="110" w:hangingChars="50" w:hanging="110"/>
        <w:rPr>
          <w:rFonts w:ascii="Times New Roman" w:hAnsi="Times New Roman" w:cs="Times New Roman"/>
          <w:sz w:val="22"/>
          <w:szCs w:val="22"/>
        </w:rPr>
      </w:pPr>
      <w:r w:rsidRPr="00574C13">
        <w:rPr>
          <w:rFonts w:ascii="Times New Roman" w:hAnsi="Times New Roman" w:cs="Times New Roman"/>
          <w:sz w:val="22"/>
          <w:szCs w:val="22"/>
        </w:rPr>
        <w:t>SPDR S&amp;P Global Natural Resource</w:t>
      </w:r>
      <w:r>
        <w:rPr>
          <w:rFonts w:ascii="Times New Roman" w:hAnsi="Times New Roman" w:cs="Times New Roman"/>
          <w:sz w:val="22"/>
          <w:szCs w:val="22"/>
        </w:rPr>
        <w:t xml:space="preserve">s from </w:t>
      </w:r>
      <w:hyperlink r:id="rId25" w:history="1">
        <w:r w:rsidRPr="005C60A2">
          <w:rPr>
            <w:rStyle w:val="Hyperlink"/>
            <w:rFonts w:ascii="Times New Roman" w:hAnsi="Times New Roman" w:cs="Times New Roman"/>
            <w:sz w:val="22"/>
            <w:szCs w:val="22"/>
          </w:rPr>
          <w:t>https://finance.yahoo.com/quote/GNR?p=GNR</w:t>
        </w:r>
      </w:hyperlink>
    </w:p>
    <w:p w14:paraId="4B345DA9" w14:textId="77777777" w:rsidR="00574C13" w:rsidRPr="00AD05C5" w:rsidRDefault="00574C13" w:rsidP="00AD05C5">
      <w:pPr>
        <w:rPr>
          <w:rFonts w:ascii="Times New Roman" w:hAnsi="Times New Roman" w:cs="Times New Roman"/>
          <w:sz w:val="22"/>
          <w:szCs w:val="22"/>
        </w:rPr>
      </w:pPr>
    </w:p>
    <w:p w14:paraId="06FA1CD5" w14:textId="2B8F41E8" w:rsidR="00CA047E" w:rsidRDefault="00574C13" w:rsidP="00CA047E">
      <w:pPr>
        <w:ind w:left="110" w:hangingChars="50" w:hanging="110"/>
        <w:rPr>
          <w:rFonts w:ascii="Times New Roman" w:hAnsi="Times New Roman" w:cs="Times New Roman"/>
          <w:sz w:val="22"/>
          <w:szCs w:val="22"/>
        </w:rPr>
      </w:pPr>
      <w:r w:rsidRPr="00574C13">
        <w:rPr>
          <w:rFonts w:ascii="Times New Roman" w:hAnsi="Times New Roman" w:cs="Times New Roman"/>
          <w:sz w:val="22"/>
          <w:szCs w:val="22"/>
        </w:rPr>
        <w:t>Wilshire 5000 Total Market Inde</w:t>
      </w:r>
      <w:r>
        <w:rPr>
          <w:rFonts w:ascii="Times New Roman" w:hAnsi="Times New Roman" w:cs="Times New Roman"/>
          <w:sz w:val="22"/>
          <w:szCs w:val="22"/>
        </w:rPr>
        <w:t>x from</w:t>
      </w:r>
      <w:r w:rsidR="00CA047E" w:rsidRPr="00CA047E">
        <w:t xml:space="preserve"> </w:t>
      </w:r>
      <w:hyperlink r:id="rId26" w:history="1">
        <w:r w:rsidR="00CA047E" w:rsidRPr="005C60A2">
          <w:rPr>
            <w:rStyle w:val="Hyperlink"/>
            <w:rFonts w:ascii="Times New Roman" w:hAnsi="Times New Roman" w:cs="Times New Roman"/>
            <w:sz w:val="22"/>
            <w:szCs w:val="22"/>
          </w:rPr>
          <w:t>https://finance.yahoo.com/quote/%5EW5000?p=%5EW5000</w:t>
        </w:r>
      </w:hyperlink>
    </w:p>
    <w:p w14:paraId="31E01D26" w14:textId="77777777" w:rsidR="00CA047E" w:rsidRDefault="00CA047E" w:rsidP="00CA047E">
      <w:pPr>
        <w:ind w:left="110" w:hangingChars="50" w:hanging="110"/>
        <w:rPr>
          <w:rFonts w:ascii="Times New Roman" w:hAnsi="Times New Roman" w:cs="Times New Roman"/>
          <w:sz w:val="22"/>
          <w:szCs w:val="22"/>
        </w:rPr>
      </w:pPr>
    </w:p>
    <w:p w14:paraId="28448EFD" w14:textId="42A8C0C1" w:rsidR="00AD05C5" w:rsidRDefault="00CA047E" w:rsidP="00CA047E">
      <w:pPr>
        <w:ind w:left="110" w:hangingChars="50" w:hanging="110"/>
        <w:rPr>
          <w:rFonts w:ascii="Times New Roman" w:hAnsi="Times New Roman" w:cs="Times New Roman"/>
          <w:sz w:val="22"/>
          <w:szCs w:val="22"/>
        </w:rPr>
      </w:pPr>
      <w:r w:rsidRPr="00CA047E">
        <w:rPr>
          <w:rFonts w:ascii="Times New Roman" w:hAnsi="Times New Roman" w:cs="Times New Roman"/>
          <w:sz w:val="22"/>
          <w:szCs w:val="22"/>
        </w:rPr>
        <w:t>Vanguard Developed Markets Index Fund Admiral Shares</w:t>
      </w:r>
      <w:r>
        <w:rPr>
          <w:rFonts w:ascii="Times New Roman" w:hAnsi="Times New Roman" w:cs="Times New Roman"/>
          <w:sz w:val="22"/>
          <w:szCs w:val="22"/>
        </w:rPr>
        <w:t xml:space="preserve"> from </w:t>
      </w:r>
      <w:hyperlink r:id="rId27" w:history="1">
        <w:r w:rsidRPr="005C60A2">
          <w:rPr>
            <w:rStyle w:val="Hyperlink"/>
            <w:rFonts w:ascii="Times New Roman" w:hAnsi="Times New Roman" w:cs="Times New Roman"/>
            <w:sz w:val="22"/>
            <w:szCs w:val="22"/>
          </w:rPr>
          <w:t>https://investor.vanguard.com/mutual-funds/profile/performance/vtmgx/cumulative-returns</w:t>
        </w:r>
      </w:hyperlink>
    </w:p>
    <w:p w14:paraId="5B40634C" w14:textId="025A1FD3" w:rsidR="00CA047E" w:rsidRDefault="00CA047E" w:rsidP="00CA047E">
      <w:pPr>
        <w:ind w:left="110" w:hangingChars="50" w:hanging="110"/>
        <w:rPr>
          <w:rFonts w:ascii="Times New Roman" w:hAnsi="Times New Roman" w:cs="Times New Roman"/>
          <w:sz w:val="22"/>
          <w:szCs w:val="22"/>
        </w:rPr>
      </w:pPr>
    </w:p>
    <w:p w14:paraId="568387DD" w14:textId="5FF3D52D" w:rsidR="00CA047E" w:rsidRDefault="00CA047E" w:rsidP="00CA047E">
      <w:pPr>
        <w:rPr>
          <w:rFonts w:ascii="Times New Roman" w:hAnsi="Times New Roman" w:cs="Times New Roman"/>
          <w:sz w:val="22"/>
          <w:szCs w:val="22"/>
        </w:rPr>
      </w:pPr>
      <w:r w:rsidRPr="00CA047E">
        <w:rPr>
          <w:rFonts w:ascii="Times New Roman" w:hAnsi="Times New Roman" w:cs="Times New Roman"/>
          <w:sz w:val="22"/>
          <w:szCs w:val="22"/>
        </w:rPr>
        <w:t>MSCI Emerging Markets</w:t>
      </w:r>
      <w:r>
        <w:rPr>
          <w:rFonts w:ascii="Times New Roman" w:hAnsi="Times New Roman" w:cs="Times New Roman"/>
          <w:sz w:val="22"/>
          <w:szCs w:val="22"/>
        </w:rPr>
        <w:t xml:space="preserve"> from </w:t>
      </w:r>
      <w:hyperlink r:id="rId28" w:history="1">
        <w:r w:rsidRPr="005C60A2">
          <w:rPr>
            <w:rStyle w:val="Hyperlink"/>
            <w:rFonts w:ascii="Times New Roman" w:hAnsi="Times New Roman" w:cs="Times New Roman"/>
            <w:sz w:val="22"/>
            <w:szCs w:val="22"/>
          </w:rPr>
          <w:t>https://www.investing.com/indices/msci-emerging-markets-historical-data</w:t>
        </w:r>
      </w:hyperlink>
    </w:p>
    <w:p w14:paraId="122DE125" w14:textId="67FEB61C" w:rsidR="00CA047E" w:rsidRPr="00AD05C5" w:rsidRDefault="00CA047E" w:rsidP="00CA047E">
      <w:pPr>
        <w:rPr>
          <w:rFonts w:ascii="Times New Roman" w:hAnsi="Times New Roman" w:cs="Times New Roman"/>
          <w:sz w:val="22"/>
          <w:szCs w:val="22"/>
        </w:rPr>
      </w:pPr>
    </w:p>
    <w:p w14:paraId="692E455E" w14:textId="7DC4D5A3" w:rsidR="00AD05C5" w:rsidRDefault="00AD05C5" w:rsidP="00AD05C5">
      <w:pPr>
        <w:rPr>
          <w:rFonts w:ascii="Times New Roman" w:hAnsi="Times New Roman" w:cs="Times New Roman"/>
          <w:sz w:val="22"/>
          <w:szCs w:val="22"/>
        </w:rPr>
      </w:pPr>
      <w:r w:rsidRPr="00AD05C5">
        <w:rPr>
          <w:rFonts w:ascii="Times New Roman" w:hAnsi="Times New Roman" w:cs="Times New Roman"/>
          <w:sz w:val="22"/>
          <w:szCs w:val="22"/>
        </w:rPr>
        <w:t>Dow Jones Commodity</w:t>
      </w:r>
      <w:r w:rsidRPr="00AD05C5">
        <w:rPr>
          <w:rFonts w:ascii="Times New Roman" w:hAnsi="Times New Roman" w:cs="Times New Roman"/>
          <w:sz w:val="22"/>
          <w:szCs w:val="22"/>
        </w:rPr>
        <w:tab/>
      </w:r>
      <w:r w:rsidR="00CA047E">
        <w:rPr>
          <w:rFonts w:ascii="Times New Roman" w:hAnsi="Times New Roman" w:cs="Times New Roman"/>
          <w:sz w:val="22"/>
          <w:szCs w:val="22"/>
        </w:rPr>
        <w:t xml:space="preserve">from </w:t>
      </w:r>
      <w:hyperlink r:id="rId29" w:history="1">
        <w:r w:rsidR="00CA047E" w:rsidRPr="005C60A2">
          <w:rPr>
            <w:rStyle w:val="Hyperlink"/>
            <w:rFonts w:ascii="Times New Roman" w:hAnsi="Times New Roman" w:cs="Times New Roman"/>
            <w:sz w:val="22"/>
            <w:szCs w:val="22"/>
          </w:rPr>
          <w:t>https://www.investing.com/indices/dj-commodity-historical-data</w:t>
        </w:r>
      </w:hyperlink>
    </w:p>
    <w:p w14:paraId="19AE0E7D" w14:textId="77777777" w:rsidR="00CA047E" w:rsidRDefault="00CA047E" w:rsidP="00AD05C5">
      <w:pPr>
        <w:rPr>
          <w:rFonts w:ascii="Times New Roman" w:hAnsi="Times New Roman" w:cs="Times New Roman"/>
          <w:sz w:val="22"/>
          <w:szCs w:val="22"/>
        </w:rPr>
      </w:pPr>
    </w:p>
    <w:p w14:paraId="0F56CCE8" w14:textId="73C9A0DD" w:rsidR="00CA047E" w:rsidRDefault="00CA047E" w:rsidP="00CA047E">
      <w:pPr>
        <w:rPr>
          <w:rFonts w:ascii="Times New Roman" w:hAnsi="Times New Roman" w:cs="Times New Roman"/>
          <w:sz w:val="22"/>
          <w:szCs w:val="22"/>
        </w:rPr>
      </w:pPr>
      <w:r w:rsidRPr="00CA047E">
        <w:rPr>
          <w:rFonts w:ascii="Times New Roman" w:hAnsi="Times New Roman" w:cs="Times New Roman"/>
          <w:sz w:val="22"/>
          <w:szCs w:val="22"/>
        </w:rPr>
        <w:t>Vanderbilt University 20</w:t>
      </w:r>
      <w:r>
        <w:rPr>
          <w:rFonts w:ascii="Times New Roman" w:hAnsi="Times New Roman" w:cs="Times New Roman"/>
          <w:sz w:val="22"/>
          <w:szCs w:val="22"/>
        </w:rPr>
        <w:t>20</w:t>
      </w:r>
      <w:r w:rsidRPr="00CA047E">
        <w:rPr>
          <w:rFonts w:ascii="Times New Roman" w:hAnsi="Times New Roman" w:cs="Times New Roman"/>
          <w:sz w:val="22"/>
          <w:szCs w:val="22"/>
        </w:rPr>
        <w:t xml:space="preserve"> Financ</w:t>
      </w:r>
      <w:r w:rsidR="007F79EC">
        <w:rPr>
          <w:rFonts w:ascii="Times New Roman" w:hAnsi="Times New Roman" w:cs="Times New Roman"/>
          <w:sz w:val="22"/>
          <w:szCs w:val="22"/>
        </w:rPr>
        <w:t>ial</w:t>
      </w:r>
      <w:r w:rsidRPr="00CA047E">
        <w:rPr>
          <w:rFonts w:ascii="Times New Roman" w:hAnsi="Times New Roman" w:cs="Times New Roman"/>
          <w:sz w:val="22"/>
          <w:szCs w:val="22"/>
        </w:rPr>
        <w:t xml:space="preserve"> Report</w:t>
      </w:r>
      <w:r w:rsidR="00DF14DC">
        <w:rPr>
          <w:rFonts w:ascii="Times New Roman" w:hAnsi="Times New Roman" w:cs="Times New Roman"/>
          <w:sz w:val="22"/>
          <w:szCs w:val="22"/>
        </w:rPr>
        <w:t>.</w:t>
      </w:r>
      <w:r w:rsidRPr="00CA047E">
        <w:rPr>
          <w:rFonts w:ascii="Times New Roman" w:hAnsi="Times New Roman" w:cs="Times New Roman"/>
          <w:sz w:val="22"/>
          <w:szCs w:val="22"/>
        </w:rPr>
        <w:t xml:space="preserve"> Office of Investment, Vanderbilt University</w:t>
      </w:r>
      <w:r w:rsidR="00B956BD">
        <w:rPr>
          <w:rFonts w:ascii="Times New Roman" w:hAnsi="Times New Roman" w:cs="Times New Roman"/>
          <w:sz w:val="22"/>
          <w:szCs w:val="22"/>
        </w:rPr>
        <w:t>.</w:t>
      </w:r>
    </w:p>
    <w:p w14:paraId="12531177" w14:textId="77777777" w:rsidR="007F79EC" w:rsidRPr="00CA047E" w:rsidRDefault="007F79EC" w:rsidP="00CA047E">
      <w:pPr>
        <w:rPr>
          <w:rFonts w:ascii="Times New Roman" w:hAnsi="Times New Roman" w:cs="Times New Roman"/>
          <w:sz w:val="22"/>
          <w:szCs w:val="22"/>
        </w:rPr>
      </w:pPr>
    </w:p>
    <w:p w14:paraId="0FFFA717" w14:textId="192D4070" w:rsidR="00CA047E" w:rsidRDefault="00CA047E" w:rsidP="00CA047E">
      <w:pPr>
        <w:rPr>
          <w:rFonts w:ascii="Times New Roman" w:hAnsi="Times New Roman" w:cs="Times New Roman"/>
          <w:sz w:val="22"/>
          <w:szCs w:val="22"/>
        </w:rPr>
      </w:pPr>
      <w:r w:rsidRPr="00CA047E">
        <w:rPr>
          <w:rFonts w:ascii="Times New Roman" w:hAnsi="Times New Roman" w:cs="Times New Roman"/>
          <w:sz w:val="22"/>
          <w:szCs w:val="22"/>
        </w:rPr>
        <w:t xml:space="preserve">The Yale Endowment </w:t>
      </w:r>
      <w:r w:rsidR="007F79EC">
        <w:rPr>
          <w:rFonts w:ascii="Times New Roman" w:hAnsi="Times New Roman" w:cs="Times New Roman"/>
          <w:sz w:val="22"/>
          <w:szCs w:val="22"/>
        </w:rPr>
        <w:t>2020</w:t>
      </w:r>
      <w:r w:rsidRPr="00CA047E">
        <w:rPr>
          <w:rFonts w:ascii="Times New Roman" w:hAnsi="Times New Roman" w:cs="Times New Roman"/>
          <w:sz w:val="22"/>
          <w:szCs w:val="22"/>
        </w:rPr>
        <w:t xml:space="preserve"> Report</w:t>
      </w:r>
      <w:r w:rsidR="00DF14DC">
        <w:rPr>
          <w:rFonts w:ascii="Times New Roman" w:hAnsi="Times New Roman" w:cs="Times New Roman"/>
          <w:sz w:val="22"/>
          <w:szCs w:val="22"/>
        </w:rPr>
        <w:t>.</w:t>
      </w:r>
      <w:r w:rsidRPr="00CA047E">
        <w:rPr>
          <w:rFonts w:ascii="Times New Roman" w:hAnsi="Times New Roman" w:cs="Times New Roman"/>
          <w:sz w:val="22"/>
          <w:szCs w:val="22"/>
        </w:rPr>
        <w:t xml:space="preserve"> Yale University Investment Office, Yale University</w:t>
      </w:r>
      <w:r w:rsidR="00B956BD">
        <w:rPr>
          <w:rFonts w:ascii="Times New Roman" w:hAnsi="Times New Roman" w:cs="Times New Roman"/>
          <w:sz w:val="22"/>
          <w:szCs w:val="22"/>
        </w:rPr>
        <w:t>.</w:t>
      </w:r>
    </w:p>
    <w:p w14:paraId="6265BBBC" w14:textId="77777777" w:rsidR="007F79EC" w:rsidRPr="00CA047E" w:rsidRDefault="007F79EC" w:rsidP="00CA047E">
      <w:pPr>
        <w:rPr>
          <w:rFonts w:ascii="Times New Roman" w:hAnsi="Times New Roman" w:cs="Times New Roman"/>
          <w:sz w:val="22"/>
          <w:szCs w:val="22"/>
        </w:rPr>
      </w:pPr>
    </w:p>
    <w:p w14:paraId="153FAD6A" w14:textId="780DCFCB" w:rsidR="007F79EC" w:rsidRPr="00CA047E" w:rsidRDefault="007F79EC" w:rsidP="007F79EC">
      <w:pPr>
        <w:rPr>
          <w:rFonts w:ascii="Times New Roman" w:hAnsi="Times New Roman" w:cs="Times New Roman"/>
          <w:sz w:val="22"/>
          <w:szCs w:val="22"/>
        </w:rPr>
      </w:pPr>
      <w:r w:rsidRPr="00CA047E">
        <w:rPr>
          <w:rFonts w:ascii="Times New Roman" w:hAnsi="Times New Roman" w:cs="Times New Roman"/>
          <w:sz w:val="22"/>
          <w:szCs w:val="22"/>
        </w:rPr>
        <w:t>Stanford University Investment Report</w:t>
      </w:r>
      <w:r>
        <w:rPr>
          <w:rFonts w:ascii="Times New Roman" w:hAnsi="Times New Roman" w:cs="Times New Roman"/>
          <w:sz w:val="22"/>
          <w:szCs w:val="22"/>
        </w:rPr>
        <w:t xml:space="preserve"> 2020</w:t>
      </w:r>
      <w:r w:rsidRPr="00CA047E">
        <w:rPr>
          <w:rFonts w:ascii="Times New Roman" w:hAnsi="Times New Roman" w:cs="Times New Roman"/>
          <w:sz w:val="22"/>
          <w:szCs w:val="22"/>
        </w:rPr>
        <w:t>. Stanford Management Company, Stanford University</w:t>
      </w:r>
      <w:r w:rsidR="00B956BD">
        <w:rPr>
          <w:rFonts w:ascii="Times New Roman" w:hAnsi="Times New Roman" w:cs="Times New Roman"/>
          <w:sz w:val="22"/>
          <w:szCs w:val="22"/>
        </w:rPr>
        <w:t>.</w:t>
      </w:r>
    </w:p>
    <w:p w14:paraId="230C0F30" w14:textId="77777777" w:rsidR="007F79EC" w:rsidRDefault="007F79EC" w:rsidP="00CA047E">
      <w:pPr>
        <w:rPr>
          <w:rFonts w:ascii="Times New Roman" w:hAnsi="Times New Roman" w:cs="Times New Roman"/>
          <w:sz w:val="22"/>
          <w:szCs w:val="22"/>
        </w:rPr>
      </w:pPr>
    </w:p>
    <w:p w14:paraId="47079E50" w14:textId="44E9870C" w:rsidR="00DF14DC" w:rsidRPr="00AD05C5" w:rsidRDefault="00DF14DC" w:rsidP="00DF14DC">
      <w:pPr>
        <w:rPr>
          <w:rFonts w:ascii="Times New Roman" w:hAnsi="Times New Roman" w:cs="Times New Roman"/>
          <w:sz w:val="22"/>
          <w:szCs w:val="22"/>
        </w:rPr>
        <w:sectPr w:rsidR="00DF14DC" w:rsidRPr="00AD05C5">
          <w:pgSz w:w="12240" w:h="15840"/>
          <w:pgMar w:top="1440" w:right="1440" w:bottom="1440" w:left="1440" w:header="720" w:footer="720" w:gutter="0"/>
          <w:cols w:space="720"/>
          <w:docGrid w:linePitch="360"/>
        </w:sectPr>
      </w:pPr>
      <w:r w:rsidRPr="00CA047E">
        <w:rPr>
          <w:rFonts w:ascii="Times New Roman" w:hAnsi="Times New Roman" w:cs="Times New Roman"/>
          <w:sz w:val="22"/>
          <w:szCs w:val="22"/>
        </w:rPr>
        <w:t xml:space="preserve">Harvard </w:t>
      </w:r>
      <w:r>
        <w:rPr>
          <w:rFonts w:ascii="Times New Roman" w:hAnsi="Times New Roman" w:cs="Times New Roman"/>
          <w:sz w:val="22"/>
          <w:szCs w:val="22"/>
        </w:rPr>
        <w:t>University</w:t>
      </w:r>
      <w:r w:rsidRPr="00CA047E">
        <w:rPr>
          <w:rFonts w:ascii="Times New Roman" w:hAnsi="Times New Roman" w:cs="Times New Roman"/>
          <w:sz w:val="22"/>
          <w:szCs w:val="22"/>
        </w:rPr>
        <w:t xml:space="preserve"> </w:t>
      </w:r>
      <w:r>
        <w:rPr>
          <w:rFonts w:ascii="Times New Roman" w:hAnsi="Times New Roman" w:cs="Times New Roman"/>
          <w:sz w:val="22"/>
          <w:szCs w:val="22"/>
        </w:rPr>
        <w:t>2020 Financial Report. Harvard Management Company, Harvard University</w:t>
      </w:r>
      <w:r w:rsidR="00B956BD">
        <w:rPr>
          <w:rFonts w:ascii="Times New Roman" w:hAnsi="Times New Roman" w:cs="Times New Roman"/>
          <w:sz w:val="22"/>
          <w:szCs w:val="22"/>
        </w:rPr>
        <w:t>.</w:t>
      </w:r>
    </w:p>
    <w:p w14:paraId="5DB9E9C8" w14:textId="4DEEAB34" w:rsidR="00CA047E" w:rsidRPr="00CA047E" w:rsidRDefault="00CA047E" w:rsidP="00CA047E">
      <w:pPr>
        <w:rPr>
          <w:rFonts w:ascii="Times New Roman" w:hAnsi="Times New Roman" w:cs="Times New Roman"/>
          <w:sz w:val="22"/>
          <w:szCs w:val="22"/>
        </w:rPr>
      </w:pPr>
      <w:r w:rsidRPr="00CA047E">
        <w:rPr>
          <w:rFonts w:ascii="Times New Roman" w:hAnsi="Times New Roman" w:cs="Times New Roman"/>
          <w:sz w:val="22"/>
          <w:szCs w:val="22"/>
        </w:rPr>
        <w:lastRenderedPageBreak/>
        <w:t>Report</w:t>
      </w:r>
      <w:r w:rsidR="00DF14DC" w:rsidRPr="00DF14DC">
        <w:rPr>
          <w:rFonts w:ascii="Times New Roman" w:hAnsi="Times New Roman" w:cs="Times New Roman"/>
          <w:sz w:val="22"/>
          <w:szCs w:val="22"/>
        </w:rPr>
        <w:t xml:space="preserve"> of the Treasur</w:t>
      </w:r>
      <w:r w:rsidR="00DF14DC">
        <w:rPr>
          <w:rFonts w:ascii="Times New Roman" w:hAnsi="Times New Roman" w:cs="Times New Roman"/>
          <w:sz w:val="22"/>
          <w:szCs w:val="22"/>
        </w:rPr>
        <w:t>y 2020</w:t>
      </w:r>
      <w:r w:rsidRPr="00CA047E">
        <w:rPr>
          <w:rFonts w:ascii="Times New Roman" w:hAnsi="Times New Roman" w:cs="Times New Roman"/>
          <w:sz w:val="22"/>
          <w:szCs w:val="22"/>
        </w:rPr>
        <w:t xml:space="preserve">. </w:t>
      </w:r>
      <w:r w:rsidR="00DF14DC">
        <w:rPr>
          <w:rFonts w:ascii="Times New Roman" w:hAnsi="Times New Roman" w:cs="Times New Roman"/>
          <w:sz w:val="22"/>
          <w:szCs w:val="22"/>
        </w:rPr>
        <w:t>Office of Finance and Treasury</w:t>
      </w:r>
      <w:r w:rsidRPr="00CA047E">
        <w:rPr>
          <w:rFonts w:ascii="Times New Roman" w:hAnsi="Times New Roman" w:cs="Times New Roman"/>
          <w:sz w:val="22"/>
          <w:szCs w:val="22"/>
        </w:rPr>
        <w:t>, Princeton University</w:t>
      </w:r>
      <w:r w:rsidR="00B956BD">
        <w:rPr>
          <w:rFonts w:ascii="Times New Roman" w:hAnsi="Times New Roman" w:cs="Times New Roman"/>
          <w:sz w:val="22"/>
          <w:szCs w:val="22"/>
        </w:rPr>
        <w:t>.</w:t>
      </w:r>
    </w:p>
    <w:p w14:paraId="741F94B6" w14:textId="77777777" w:rsidR="00DF14DC" w:rsidRDefault="00DF14DC" w:rsidP="00CA047E">
      <w:pPr>
        <w:rPr>
          <w:rFonts w:ascii="Times New Roman" w:hAnsi="Times New Roman" w:cs="Times New Roman"/>
          <w:sz w:val="22"/>
          <w:szCs w:val="22"/>
        </w:rPr>
      </w:pPr>
    </w:p>
    <w:p w14:paraId="0FDBA2FA" w14:textId="3F1B30D1" w:rsidR="00456CCD" w:rsidRPr="00254C7F" w:rsidRDefault="00DF14DC" w:rsidP="00254C7F">
      <w:pPr>
        <w:rPr>
          <w:rFonts w:ascii="Times New Roman" w:hAnsi="Times New Roman" w:cs="Times New Roman"/>
          <w:sz w:val="22"/>
          <w:szCs w:val="22"/>
        </w:rPr>
      </w:pPr>
      <w:r w:rsidRPr="00CA047E">
        <w:rPr>
          <w:rFonts w:ascii="Times New Roman" w:hAnsi="Times New Roman" w:cs="Times New Roman"/>
          <w:sz w:val="22"/>
          <w:szCs w:val="22"/>
        </w:rPr>
        <w:t>Endowment Report</w:t>
      </w:r>
      <w:r>
        <w:rPr>
          <w:rFonts w:ascii="Times New Roman" w:hAnsi="Times New Roman" w:cs="Times New Roman"/>
          <w:sz w:val="22"/>
          <w:szCs w:val="22"/>
        </w:rPr>
        <w:t xml:space="preserve"> 2020.</w:t>
      </w:r>
      <w:r w:rsidR="00C21AC9">
        <w:rPr>
          <w:rFonts w:ascii="Times New Roman" w:hAnsi="Times New Roman" w:cs="Times New Roman"/>
          <w:sz w:val="22"/>
          <w:szCs w:val="22"/>
        </w:rPr>
        <w:t xml:space="preserve"> MIT Investment </w:t>
      </w:r>
      <w:r w:rsidR="00C21AC9" w:rsidRPr="00CA047E">
        <w:rPr>
          <w:rFonts w:ascii="Times New Roman" w:hAnsi="Times New Roman" w:cs="Times New Roman"/>
          <w:sz w:val="22"/>
          <w:szCs w:val="22"/>
        </w:rPr>
        <w:t>Management Company</w:t>
      </w:r>
      <w:r w:rsidR="00C21AC9">
        <w:rPr>
          <w:rFonts w:ascii="Times New Roman" w:hAnsi="Times New Roman" w:cs="Times New Roman"/>
          <w:sz w:val="22"/>
          <w:szCs w:val="22"/>
        </w:rPr>
        <w:t>,</w:t>
      </w:r>
      <w:r w:rsidR="00C21AC9" w:rsidRPr="00C21AC9">
        <w:t xml:space="preserve"> </w:t>
      </w:r>
      <w:r w:rsidR="00C21AC9" w:rsidRPr="00C21AC9">
        <w:rPr>
          <w:rFonts w:ascii="Times New Roman" w:hAnsi="Times New Roman" w:cs="Times New Roman"/>
          <w:sz w:val="22"/>
          <w:szCs w:val="22"/>
        </w:rPr>
        <w:t>Massachusetts Institute of Technology</w:t>
      </w:r>
      <w:r w:rsidR="00B956BD">
        <w:rPr>
          <w:rFonts w:ascii="Times New Roman" w:hAnsi="Times New Roman" w:cs="Times New Roman"/>
          <w:sz w:val="22"/>
          <w:szCs w:val="22"/>
        </w:rPr>
        <w:t>.</w:t>
      </w:r>
    </w:p>
    <w:sectPr w:rsidR="00456CCD" w:rsidRPr="00254C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A1106" w14:textId="77777777" w:rsidR="007B1554" w:rsidRDefault="007B1554" w:rsidP="00FF66DD">
      <w:r>
        <w:separator/>
      </w:r>
    </w:p>
  </w:endnote>
  <w:endnote w:type="continuationSeparator" w:id="0">
    <w:p w14:paraId="56B25BB0" w14:textId="77777777" w:rsidR="007B1554" w:rsidRDefault="007B1554" w:rsidP="00FF6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1523264"/>
      <w:docPartObj>
        <w:docPartGallery w:val="Page Numbers (Bottom of Page)"/>
        <w:docPartUnique/>
      </w:docPartObj>
    </w:sdtPr>
    <w:sdtEndPr>
      <w:rPr>
        <w:rStyle w:val="PageNumber"/>
      </w:rPr>
    </w:sdtEndPr>
    <w:sdtContent>
      <w:p w14:paraId="7CDF5A84" w14:textId="6BBD13CB" w:rsidR="00FF66DD" w:rsidRDefault="00FF66DD" w:rsidP="005C18B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5A78F6" w14:textId="77777777" w:rsidR="00FF66DD" w:rsidRDefault="00FF66DD" w:rsidP="00FF66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2265725"/>
      <w:docPartObj>
        <w:docPartGallery w:val="Page Numbers (Bottom of Page)"/>
        <w:docPartUnique/>
      </w:docPartObj>
    </w:sdtPr>
    <w:sdtEndPr>
      <w:rPr>
        <w:rStyle w:val="PageNumber"/>
      </w:rPr>
    </w:sdtEndPr>
    <w:sdtContent>
      <w:p w14:paraId="0D7213AD" w14:textId="03BED912" w:rsidR="00FF66DD" w:rsidRDefault="00FF66DD" w:rsidP="005C18B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2FEA0F7" w14:textId="77777777" w:rsidR="00FF66DD" w:rsidRDefault="00FF66DD" w:rsidP="00FF66D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9CB21" w14:textId="77777777" w:rsidR="007B1554" w:rsidRDefault="007B1554" w:rsidP="00FF66DD">
      <w:r>
        <w:separator/>
      </w:r>
    </w:p>
  </w:footnote>
  <w:footnote w:type="continuationSeparator" w:id="0">
    <w:p w14:paraId="79B8A61E" w14:textId="77777777" w:rsidR="007B1554" w:rsidRDefault="007B1554" w:rsidP="00FF66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6196E"/>
    <w:multiLevelType w:val="hybridMultilevel"/>
    <w:tmpl w:val="18921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9C634F"/>
    <w:multiLevelType w:val="hybridMultilevel"/>
    <w:tmpl w:val="5B1EF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C32414"/>
    <w:multiLevelType w:val="hybridMultilevel"/>
    <w:tmpl w:val="5802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704E46"/>
    <w:multiLevelType w:val="hybridMultilevel"/>
    <w:tmpl w:val="D1F42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CA6"/>
    <w:rsid w:val="00012BA0"/>
    <w:rsid w:val="00017454"/>
    <w:rsid w:val="0004254C"/>
    <w:rsid w:val="00045856"/>
    <w:rsid w:val="00095F86"/>
    <w:rsid w:val="000B6D25"/>
    <w:rsid w:val="000E7252"/>
    <w:rsid w:val="00114506"/>
    <w:rsid w:val="0015387A"/>
    <w:rsid w:val="001559A1"/>
    <w:rsid w:val="001641D5"/>
    <w:rsid w:val="00196F90"/>
    <w:rsid w:val="001C4995"/>
    <w:rsid w:val="001E5783"/>
    <w:rsid w:val="0020263C"/>
    <w:rsid w:val="00225A96"/>
    <w:rsid w:val="00244190"/>
    <w:rsid w:val="00254C7F"/>
    <w:rsid w:val="002559AF"/>
    <w:rsid w:val="00261085"/>
    <w:rsid w:val="0029456E"/>
    <w:rsid w:val="002B4467"/>
    <w:rsid w:val="00304412"/>
    <w:rsid w:val="003548F5"/>
    <w:rsid w:val="003A4A6E"/>
    <w:rsid w:val="003C297C"/>
    <w:rsid w:val="003D0541"/>
    <w:rsid w:val="003D266E"/>
    <w:rsid w:val="003F0730"/>
    <w:rsid w:val="00403CE2"/>
    <w:rsid w:val="004378D2"/>
    <w:rsid w:val="0044140E"/>
    <w:rsid w:val="00441C37"/>
    <w:rsid w:val="00456CCD"/>
    <w:rsid w:val="004632F8"/>
    <w:rsid w:val="00467DA4"/>
    <w:rsid w:val="00467E00"/>
    <w:rsid w:val="00473768"/>
    <w:rsid w:val="00481617"/>
    <w:rsid w:val="0049300F"/>
    <w:rsid w:val="004B166F"/>
    <w:rsid w:val="004C0268"/>
    <w:rsid w:val="004C2AFF"/>
    <w:rsid w:val="004F42C3"/>
    <w:rsid w:val="00533A1B"/>
    <w:rsid w:val="00574C13"/>
    <w:rsid w:val="005755EB"/>
    <w:rsid w:val="00576C22"/>
    <w:rsid w:val="00576D26"/>
    <w:rsid w:val="00584607"/>
    <w:rsid w:val="005933ED"/>
    <w:rsid w:val="005D2AAB"/>
    <w:rsid w:val="00625FFE"/>
    <w:rsid w:val="0063069F"/>
    <w:rsid w:val="00630788"/>
    <w:rsid w:val="00637983"/>
    <w:rsid w:val="00652DAD"/>
    <w:rsid w:val="006564A7"/>
    <w:rsid w:val="00670131"/>
    <w:rsid w:val="00675A12"/>
    <w:rsid w:val="006936A5"/>
    <w:rsid w:val="00696293"/>
    <w:rsid w:val="006D7833"/>
    <w:rsid w:val="006F4D14"/>
    <w:rsid w:val="0070281C"/>
    <w:rsid w:val="00710963"/>
    <w:rsid w:val="007413AA"/>
    <w:rsid w:val="00742004"/>
    <w:rsid w:val="0078082F"/>
    <w:rsid w:val="007B1554"/>
    <w:rsid w:val="007C1FFE"/>
    <w:rsid w:val="007C352A"/>
    <w:rsid w:val="007C5067"/>
    <w:rsid w:val="007F79EC"/>
    <w:rsid w:val="00800856"/>
    <w:rsid w:val="008009D5"/>
    <w:rsid w:val="008125A8"/>
    <w:rsid w:val="00821E43"/>
    <w:rsid w:val="008367A5"/>
    <w:rsid w:val="0084251D"/>
    <w:rsid w:val="00885102"/>
    <w:rsid w:val="008A6A98"/>
    <w:rsid w:val="008A6FCF"/>
    <w:rsid w:val="008F0189"/>
    <w:rsid w:val="008F6250"/>
    <w:rsid w:val="00907C39"/>
    <w:rsid w:val="009120F7"/>
    <w:rsid w:val="00950995"/>
    <w:rsid w:val="0096166E"/>
    <w:rsid w:val="009650B6"/>
    <w:rsid w:val="009B75FF"/>
    <w:rsid w:val="009F1AA2"/>
    <w:rsid w:val="00A30CF5"/>
    <w:rsid w:val="00A3349A"/>
    <w:rsid w:val="00A4354E"/>
    <w:rsid w:val="00A57519"/>
    <w:rsid w:val="00A908BF"/>
    <w:rsid w:val="00AA436D"/>
    <w:rsid w:val="00AB3508"/>
    <w:rsid w:val="00AB66CE"/>
    <w:rsid w:val="00AD05C5"/>
    <w:rsid w:val="00AD59F6"/>
    <w:rsid w:val="00AD645E"/>
    <w:rsid w:val="00B410F6"/>
    <w:rsid w:val="00B536DC"/>
    <w:rsid w:val="00B53F39"/>
    <w:rsid w:val="00B8432F"/>
    <w:rsid w:val="00B956BD"/>
    <w:rsid w:val="00BB48CF"/>
    <w:rsid w:val="00BD2022"/>
    <w:rsid w:val="00BD2DC6"/>
    <w:rsid w:val="00BF3B5F"/>
    <w:rsid w:val="00C21AC9"/>
    <w:rsid w:val="00C42AC4"/>
    <w:rsid w:val="00C85623"/>
    <w:rsid w:val="00C933AE"/>
    <w:rsid w:val="00CA047E"/>
    <w:rsid w:val="00CB010D"/>
    <w:rsid w:val="00CF616B"/>
    <w:rsid w:val="00D71D16"/>
    <w:rsid w:val="00D72896"/>
    <w:rsid w:val="00D74AEA"/>
    <w:rsid w:val="00DB22FA"/>
    <w:rsid w:val="00DF14DC"/>
    <w:rsid w:val="00E4006F"/>
    <w:rsid w:val="00E673F6"/>
    <w:rsid w:val="00EA64A1"/>
    <w:rsid w:val="00ED6762"/>
    <w:rsid w:val="00F031DF"/>
    <w:rsid w:val="00F03504"/>
    <w:rsid w:val="00F072F5"/>
    <w:rsid w:val="00F13A71"/>
    <w:rsid w:val="00F21C3D"/>
    <w:rsid w:val="00F440EE"/>
    <w:rsid w:val="00F650E9"/>
    <w:rsid w:val="00F93CA6"/>
    <w:rsid w:val="00FA188C"/>
    <w:rsid w:val="00FF66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50871"/>
  <w15:chartTrackingRefBased/>
  <w15:docId w15:val="{3D193014-E2B4-2A48-8397-0E95C66AD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7C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7C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21AC9"/>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59F6"/>
    <w:pPr>
      <w:ind w:left="720"/>
      <w:contextualSpacing/>
    </w:pPr>
  </w:style>
  <w:style w:type="character" w:customStyle="1" w:styleId="Heading2Char">
    <w:name w:val="Heading 2 Char"/>
    <w:basedOn w:val="DefaultParagraphFont"/>
    <w:link w:val="Heading2"/>
    <w:uiPriority w:val="9"/>
    <w:rsid w:val="00907C3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07C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F66DD"/>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670131"/>
    <w:pPr>
      <w:spacing w:before="120"/>
    </w:pPr>
    <w:rPr>
      <w:rFonts w:cstheme="minorHAnsi"/>
      <w:b/>
      <w:bCs/>
      <w:i/>
      <w:iCs/>
    </w:rPr>
  </w:style>
  <w:style w:type="paragraph" w:styleId="TOC2">
    <w:name w:val="toc 2"/>
    <w:basedOn w:val="Normal"/>
    <w:next w:val="Normal"/>
    <w:autoRedefine/>
    <w:uiPriority w:val="39"/>
    <w:unhideWhenUsed/>
    <w:rsid w:val="00FF66DD"/>
    <w:pPr>
      <w:spacing w:before="120"/>
      <w:ind w:left="240"/>
    </w:pPr>
    <w:rPr>
      <w:rFonts w:cstheme="minorHAnsi"/>
      <w:b/>
      <w:bCs/>
      <w:sz w:val="22"/>
      <w:szCs w:val="22"/>
    </w:rPr>
  </w:style>
  <w:style w:type="character" w:styleId="Hyperlink">
    <w:name w:val="Hyperlink"/>
    <w:basedOn w:val="DefaultParagraphFont"/>
    <w:uiPriority w:val="99"/>
    <w:unhideWhenUsed/>
    <w:rsid w:val="00FF66DD"/>
    <w:rPr>
      <w:color w:val="0563C1" w:themeColor="hyperlink"/>
      <w:u w:val="single"/>
    </w:rPr>
  </w:style>
  <w:style w:type="paragraph" w:styleId="TOC3">
    <w:name w:val="toc 3"/>
    <w:basedOn w:val="Normal"/>
    <w:next w:val="Normal"/>
    <w:autoRedefine/>
    <w:uiPriority w:val="39"/>
    <w:semiHidden/>
    <w:unhideWhenUsed/>
    <w:rsid w:val="00FF66DD"/>
    <w:pPr>
      <w:ind w:left="480"/>
    </w:pPr>
    <w:rPr>
      <w:rFonts w:cstheme="minorHAnsi"/>
      <w:sz w:val="20"/>
      <w:szCs w:val="20"/>
    </w:rPr>
  </w:style>
  <w:style w:type="paragraph" w:styleId="TOC4">
    <w:name w:val="toc 4"/>
    <w:basedOn w:val="Normal"/>
    <w:next w:val="Normal"/>
    <w:autoRedefine/>
    <w:uiPriority w:val="39"/>
    <w:semiHidden/>
    <w:unhideWhenUsed/>
    <w:rsid w:val="00FF66DD"/>
    <w:pPr>
      <w:ind w:left="720"/>
    </w:pPr>
    <w:rPr>
      <w:rFonts w:cstheme="minorHAnsi"/>
      <w:sz w:val="20"/>
      <w:szCs w:val="20"/>
    </w:rPr>
  </w:style>
  <w:style w:type="paragraph" w:styleId="TOC5">
    <w:name w:val="toc 5"/>
    <w:basedOn w:val="Normal"/>
    <w:next w:val="Normal"/>
    <w:autoRedefine/>
    <w:uiPriority w:val="39"/>
    <w:semiHidden/>
    <w:unhideWhenUsed/>
    <w:rsid w:val="00FF66DD"/>
    <w:pPr>
      <w:ind w:left="960"/>
    </w:pPr>
    <w:rPr>
      <w:rFonts w:cstheme="minorHAnsi"/>
      <w:sz w:val="20"/>
      <w:szCs w:val="20"/>
    </w:rPr>
  </w:style>
  <w:style w:type="paragraph" w:styleId="TOC6">
    <w:name w:val="toc 6"/>
    <w:basedOn w:val="Normal"/>
    <w:next w:val="Normal"/>
    <w:autoRedefine/>
    <w:uiPriority w:val="39"/>
    <w:semiHidden/>
    <w:unhideWhenUsed/>
    <w:rsid w:val="00FF66DD"/>
    <w:pPr>
      <w:ind w:left="1200"/>
    </w:pPr>
    <w:rPr>
      <w:rFonts w:cstheme="minorHAnsi"/>
      <w:sz w:val="20"/>
      <w:szCs w:val="20"/>
    </w:rPr>
  </w:style>
  <w:style w:type="paragraph" w:styleId="TOC7">
    <w:name w:val="toc 7"/>
    <w:basedOn w:val="Normal"/>
    <w:next w:val="Normal"/>
    <w:autoRedefine/>
    <w:uiPriority w:val="39"/>
    <w:semiHidden/>
    <w:unhideWhenUsed/>
    <w:rsid w:val="00FF66DD"/>
    <w:pPr>
      <w:ind w:left="1440"/>
    </w:pPr>
    <w:rPr>
      <w:rFonts w:cstheme="minorHAnsi"/>
      <w:sz w:val="20"/>
      <w:szCs w:val="20"/>
    </w:rPr>
  </w:style>
  <w:style w:type="paragraph" w:styleId="TOC8">
    <w:name w:val="toc 8"/>
    <w:basedOn w:val="Normal"/>
    <w:next w:val="Normal"/>
    <w:autoRedefine/>
    <w:uiPriority w:val="39"/>
    <w:semiHidden/>
    <w:unhideWhenUsed/>
    <w:rsid w:val="00FF66DD"/>
    <w:pPr>
      <w:ind w:left="1680"/>
    </w:pPr>
    <w:rPr>
      <w:rFonts w:cstheme="minorHAnsi"/>
      <w:sz w:val="20"/>
      <w:szCs w:val="20"/>
    </w:rPr>
  </w:style>
  <w:style w:type="paragraph" w:styleId="TOC9">
    <w:name w:val="toc 9"/>
    <w:basedOn w:val="Normal"/>
    <w:next w:val="Normal"/>
    <w:autoRedefine/>
    <w:uiPriority w:val="39"/>
    <w:semiHidden/>
    <w:unhideWhenUsed/>
    <w:rsid w:val="00FF66DD"/>
    <w:pPr>
      <w:ind w:left="1920"/>
    </w:pPr>
    <w:rPr>
      <w:rFonts w:cstheme="minorHAnsi"/>
      <w:sz w:val="20"/>
      <w:szCs w:val="20"/>
    </w:rPr>
  </w:style>
  <w:style w:type="paragraph" w:styleId="Footer">
    <w:name w:val="footer"/>
    <w:basedOn w:val="Normal"/>
    <w:link w:val="FooterChar"/>
    <w:uiPriority w:val="99"/>
    <w:unhideWhenUsed/>
    <w:rsid w:val="00FF66DD"/>
    <w:pPr>
      <w:tabs>
        <w:tab w:val="center" w:pos="4680"/>
        <w:tab w:val="right" w:pos="9360"/>
      </w:tabs>
    </w:pPr>
  </w:style>
  <w:style w:type="character" w:customStyle="1" w:styleId="FooterChar">
    <w:name w:val="Footer Char"/>
    <w:basedOn w:val="DefaultParagraphFont"/>
    <w:link w:val="Footer"/>
    <w:uiPriority w:val="99"/>
    <w:rsid w:val="00FF66DD"/>
  </w:style>
  <w:style w:type="character" w:styleId="PageNumber">
    <w:name w:val="page number"/>
    <w:basedOn w:val="DefaultParagraphFont"/>
    <w:uiPriority w:val="99"/>
    <w:semiHidden/>
    <w:unhideWhenUsed/>
    <w:rsid w:val="00FF66DD"/>
  </w:style>
  <w:style w:type="character" w:styleId="UnresolvedMention">
    <w:name w:val="Unresolved Mention"/>
    <w:basedOn w:val="DefaultParagraphFont"/>
    <w:uiPriority w:val="99"/>
    <w:semiHidden/>
    <w:unhideWhenUsed/>
    <w:rsid w:val="00254C7F"/>
    <w:rPr>
      <w:color w:val="605E5C"/>
      <w:shd w:val="clear" w:color="auto" w:fill="E1DFDD"/>
    </w:rPr>
  </w:style>
  <w:style w:type="character" w:styleId="FollowedHyperlink">
    <w:name w:val="FollowedHyperlink"/>
    <w:basedOn w:val="DefaultParagraphFont"/>
    <w:uiPriority w:val="99"/>
    <w:semiHidden/>
    <w:unhideWhenUsed/>
    <w:rsid w:val="007C352A"/>
    <w:rPr>
      <w:color w:val="954F72" w:themeColor="followedHyperlink"/>
      <w:u w:val="single"/>
    </w:rPr>
  </w:style>
  <w:style w:type="character" w:customStyle="1" w:styleId="Heading3Char">
    <w:name w:val="Heading 3 Char"/>
    <w:basedOn w:val="DefaultParagraphFont"/>
    <w:link w:val="Heading3"/>
    <w:uiPriority w:val="9"/>
    <w:semiHidden/>
    <w:rsid w:val="00C21AC9"/>
    <w:rPr>
      <w:b/>
      <w:bCs/>
      <w:sz w:val="32"/>
      <w:szCs w:val="32"/>
    </w:rPr>
  </w:style>
  <w:style w:type="paragraph" w:styleId="NormalWeb">
    <w:name w:val="Normal (Web)"/>
    <w:basedOn w:val="Normal"/>
    <w:uiPriority w:val="99"/>
    <w:unhideWhenUsed/>
    <w:rsid w:val="00114506"/>
    <w:pPr>
      <w:spacing w:before="100" w:beforeAutospacing="1" w:after="100" w:afterAutospacing="1"/>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68337">
      <w:bodyDiv w:val="1"/>
      <w:marLeft w:val="0"/>
      <w:marRight w:val="0"/>
      <w:marTop w:val="0"/>
      <w:marBottom w:val="0"/>
      <w:divBdr>
        <w:top w:val="none" w:sz="0" w:space="0" w:color="auto"/>
        <w:left w:val="none" w:sz="0" w:space="0" w:color="auto"/>
        <w:bottom w:val="none" w:sz="0" w:space="0" w:color="auto"/>
        <w:right w:val="none" w:sz="0" w:space="0" w:color="auto"/>
      </w:divBdr>
    </w:div>
    <w:div w:id="147022108">
      <w:bodyDiv w:val="1"/>
      <w:marLeft w:val="0"/>
      <w:marRight w:val="0"/>
      <w:marTop w:val="0"/>
      <w:marBottom w:val="0"/>
      <w:divBdr>
        <w:top w:val="none" w:sz="0" w:space="0" w:color="auto"/>
        <w:left w:val="none" w:sz="0" w:space="0" w:color="auto"/>
        <w:bottom w:val="none" w:sz="0" w:space="0" w:color="auto"/>
        <w:right w:val="none" w:sz="0" w:space="0" w:color="auto"/>
      </w:divBdr>
    </w:div>
    <w:div w:id="231163629">
      <w:bodyDiv w:val="1"/>
      <w:marLeft w:val="0"/>
      <w:marRight w:val="0"/>
      <w:marTop w:val="0"/>
      <w:marBottom w:val="0"/>
      <w:divBdr>
        <w:top w:val="none" w:sz="0" w:space="0" w:color="auto"/>
        <w:left w:val="none" w:sz="0" w:space="0" w:color="auto"/>
        <w:bottom w:val="none" w:sz="0" w:space="0" w:color="auto"/>
        <w:right w:val="none" w:sz="0" w:space="0" w:color="auto"/>
      </w:divBdr>
    </w:div>
    <w:div w:id="255291568">
      <w:bodyDiv w:val="1"/>
      <w:marLeft w:val="0"/>
      <w:marRight w:val="0"/>
      <w:marTop w:val="0"/>
      <w:marBottom w:val="0"/>
      <w:divBdr>
        <w:top w:val="none" w:sz="0" w:space="0" w:color="auto"/>
        <w:left w:val="none" w:sz="0" w:space="0" w:color="auto"/>
        <w:bottom w:val="none" w:sz="0" w:space="0" w:color="auto"/>
        <w:right w:val="none" w:sz="0" w:space="0" w:color="auto"/>
      </w:divBdr>
    </w:div>
    <w:div w:id="300959491">
      <w:bodyDiv w:val="1"/>
      <w:marLeft w:val="0"/>
      <w:marRight w:val="0"/>
      <w:marTop w:val="0"/>
      <w:marBottom w:val="0"/>
      <w:divBdr>
        <w:top w:val="none" w:sz="0" w:space="0" w:color="auto"/>
        <w:left w:val="none" w:sz="0" w:space="0" w:color="auto"/>
        <w:bottom w:val="none" w:sz="0" w:space="0" w:color="auto"/>
        <w:right w:val="none" w:sz="0" w:space="0" w:color="auto"/>
      </w:divBdr>
    </w:div>
    <w:div w:id="385179743">
      <w:bodyDiv w:val="1"/>
      <w:marLeft w:val="0"/>
      <w:marRight w:val="0"/>
      <w:marTop w:val="0"/>
      <w:marBottom w:val="0"/>
      <w:divBdr>
        <w:top w:val="none" w:sz="0" w:space="0" w:color="auto"/>
        <w:left w:val="none" w:sz="0" w:space="0" w:color="auto"/>
        <w:bottom w:val="none" w:sz="0" w:space="0" w:color="auto"/>
        <w:right w:val="none" w:sz="0" w:space="0" w:color="auto"/>
      </w:divBdr>
    </w:div>
    <w:div w:id="434442154">
      <w:bodyDiv w:val="1"/>
      <w:marLeft w:val="0"/>
      <w:marRight w:val="0"/>
      <w:marTop w:val="0"/>
      <w:marBottom w:val="0"/>
      <w:divBdr>
        <w:top w:val="none" w:sz="0" w:space="0" w:color="auto"/>
        <w:left w:val="none" w:sz="0" w:space="0" w:color="auto"/>
        <w:bottom w:val="none" w:sz="0" w:space="0" w:color="auto"/>
        <w:right w:val="none" w:sz="0" w:space="0" w:color="auto"/>
      </w:divBdr>
    </w:div>
    <w:div w:id="438374352">
      <w:bodyDiv w:val="1"/>
      <w:marLeft w:val="0"/>
      <w:marRight w:val="0"/>
      <w:marTop w:val="0"/>
      <w:marBottom w:val="0"/>
      <w:divBdr>
        <w:top w:val="none" w:sz="0" w:space="0" w:color="auto"/>
        <w:left w:val="none" w:sz="0" w:space="0" w:color="auto"/>
        <w:bottom w:val="none" w:sz="0" w:space="0" w:color="auto"/>
        <w:right w:val="none" w:sz="0" w:space="0" w:color="auto"/>
      </w:divBdr>
    </w:div>
    <w:div w:id="467431412">
      <w:bodyDiv w:val="1"/>
      <w:marLeft w:val="0"/>
      <w:marRight w:val="0"/>
      <w:marTop w:val="0"/>
      <w:marBottom w:val="0"/>
      <w:divBdr>
        <w:top w:val="none" w:sz="0" w:space="0" w:color="auto"/>
        <w:left w:val="none" w:sz="0" w:space="0" w:color="auto"/>
        <w:bottom w:val="none" w:sz="0" w:space="0" w:color="auto"/>
        <w:right w:val="none" w:sz="0" w:space="0" w:color="auto"/>
      </w:divBdr>
    </w:div>
    <w:div w:id="564801434">
      <w:bodyDiv w:val="1"/>
      <w:marLeft w:val="0"/>
      <w:marRight w:val="0"/>
      <w:marTop w:val="0"/>
      <w:marBottom w:val="0"/>
      <w:divBdr>
        <w:top w:val="none" w:sz="0" w:space="0" w:color="auto"/>
        <w:left w:val="none" w:sz="0" w:space="0" w:color="auto"/>
        <w:bottom w:val="none" w:sz="0" w:space="0" w:color="auto"/>
        <w:right w:val="none" w:sz="0" w:space="0" w:color="auto"/>
      </w:divBdr>
    </w:div>
    <w:div w:id="669411855">
      <w:bodyDiv w:val="1"/>
      <w:marLeft w:val="0"/>
      <w:marRight w:val="0"/>
      <w:marTop w:val="0"/>
      <w:marBottom w:val="0"/>
      <w:divBdr>
        <w:top w:val="none" w:sz="0" w:space="0" w:color="auto"/>
        <w:left w:val="none" w:sz="0" w:space="0" w:color="auto"/>
        <w:bottom w:val="none" w:sz="0" w:space="0" w:color="auto"/>
        <w:right w:val="none" w:sz="0" w:space="0" w:color="auto"/>
      </w:divBdr>
    </w:div>
    <w:div w:id="798572494">
      <w:bodyDiv w:val="1"/>
      <w:marLeft w:val="0"/>
      <w:marRight w:val="0"/>
      <w:marTop w:val="0"/>
      <w:marBottom w:val="0"/>
      <w:divBdr>
        <w:top w:val="none" w:sz="0" w:space="0" w:color="auto"/>
        <w:left w:val="none" w:sz="0" w:space="0" w:color="auto"/>
        <w:bottom w:val="none" w:sz="0" w:space="0" w:color="auto"/>
        <w:right w:val="none" w:sz="0" w:space="0" w:color="auto"/>
      </w:divBdr>
    </w:div>
    <w:div w:id="899636767">
      <w:bodyDiv w:val="1"/>
      <w:marLeft w:val="0"/>
      <w:marRight w:val="0"/>
      <w:marTop w:val="0"/>
      <w:marBottom w:val="0"/>
      <w:divBdr>
        <w:top w:val="none" w:sz="0" w:space="0" w:color="auto"/>
        <w:left w:val="none" w:sz="0" w:space="0" w:color="auto"/>
        <w:bottom w:val="none" w:sz="0" w:space="0" w:color="auto"/>
        <w:right w:val="none" w:sz="0" w:space="0" w:color="auto"/>
      </w:divBdr>
    </w:div>
    <w:div w:id="1864398962">
      <w:bodyDiv w:val="1"/>
      <w:marLeft w:val="0"/>
      <w:marRight w:val="0"/>
      <w:marTop w:val="0"/>
      <w:marBottom w:val="0"/>
      <w:divBdr>
        <w:top w:val="none" w:sz="0" w:space="0" w:color="auto"/>
        <w:left w:val="none" w:sz="0" w:space="0" w:color="auto"/>
        <w:bottom w:val="none" w:sz="0" w:space="0" w:color="auto"/>
        <w:right w:val="none" w:sz="0" w:space="0" w:color="auto"/>
      </w:divBdr>
    </w:div>
    <w:div w:id="2032534074">
      <w:bodyDiv w:val="1"/>
      <w:marLeft w:val="0"/>
      <w:marRight w:val="0"/>
      <w:marTop w:val="0"/>
      <w:marBottom w:val="0"/>
      <w:divBdr>
        <w:top w:val="none" w:sz="0" w:space="0" w:color="auto"/>
        <w:left w:val="none" w:sz="0" w:space="0" w:color="auto"/>
        <w:bottom w:val="none" w:sz="0" w:space="0" w:color="auto"/>
        <w:right w:val="none" w:sz="0" w:space="0" w:color="auto"/>
      </w:divBdr>
    </w:div>
    <w:div w:id="2069768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harvestreturns.com/blog/2016/12/20/what-the-ivy-league-knows-about-investing-in-agriculture-that-you-dont" TargetMode="External"/><Relationship Id="rId26" Type="http://schemas.openxmlformats.org/officeDocument/2006/relationships/hyperlink" Target="https://finance.yahoo.com/quote/%5EW5000?p=%5EW5000" TargetMode="External"/><Relationship Id="rId3" Type="http://schemas.openxmlformats.org/officeDocument/2006/relationships/styles" Target="styles.xml"/><Relationship Id="rId21" Type="http://schemas.openxmlformats.org/officeDocument/2006/relationships/hyperlink" Target="https://www.forbes.com/sites/forbesrealestatecouncil/2018/11/27/what-the-yale-university-endowment-fund-teaches-investors-about-real-estate-investing/?sh=5cbe0b252be8"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pitchbook.com/news/articles/university-endowments-record-returns-venture-capital-private-equity" TargetMode="External"/><Relationship Id="rId25" Type="http://schemas.openxmlformats.org/officeDocument/2006/relationships/hyperlink" Target="https://finance.yahoo.com/quote/GNR?p=GNR" TargetMode="External"/><Relationship Id="rId2" Type="http://schemas.openxmlformats.org/officeDocument/2006/relationships/numbering" Target="numbering.xml"/><Relationship Id="rId16" Type="http://schemas.openxmlformats.org/officeDocument/2006/relationships/hyperlink" Target="https://www.nytimes.com/2021/10/15/business/university-endowments.html?auth=link-dismiss-google1tap" TargetMode="External"/><Relationship Id="rId20" Type="http://schemas.openxmlformats.org/officeDocument/2006/relationships/hyperlink" Target="https://cadre.com/insights/invest-like-the-ivy-league-using-real-estate-investments-to-deliver-outsized-returns/" TargetMode="External"/><Relationship Id="rId29" Type="http://schemas.openxmlformats.org/officeDocument/2006/relationships/hyperlink" Target="https://www.investing.com/indices/dj-commodity-historical-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inance.yahoo.com/quote/AGG/profile?p=AG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itchbook.com/news/reports/2021-pitchbook-benchmarks-as-of-q4-2020?utm_source=google&amp;utm_medium=cpc&amp;utm_campaign=Library-Download-US&amp;adgroup=Library-Download-" TargetMode="External"/><Relationship Id="rId28" Type="http://schemas.openxmlformats.org/officeDocument/2006/relationships/hyperlink" Target="https://www.investing.com/indices/msci-emerging-markets-historical-data" TargetMode="External"/><Relationship Id="rId10" Type="http://schemas.openxmlformats.org/officeDocument/2006/relationships/footer" Target="footer2.xml"/><Relationship Id="rId19" Type="http://schemas.openxmlformats.org/officeDocument/2006/relationships/hyperlink" Target="https://www.commonfund.org/blog/post-natural-resources-investi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lab.credit-suisse.com/" TargetMode="External"/><Relationship Id="rId27" Type="http://schemas.openxmlformats.org/officeDocument/2006/relationships/hyperlink" Target="https://investor.vanguard.com/mutual-funds/profile/performance/vtmgx/cumulative-return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FC7A4-C3DF-594A-8A09-3601C2E88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11</Pages>
  <Words>3167</Words>
  <Characters>18057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Zixuan Liu</dc:creator>
  <cp:keywords/>
  <dc:description/>
  <cp:lastModifiedBy>Advait Varma</cp:lastModifiedBy>
  <cp:revision>14</cp:revision>
  <dcterms:created xsi:type="dcterms:W3CDTF">2021-11-28T14:58:00Z</dcterms:created>
  <dcterms:modified xsi:type="dcterms:W3CDTF">2021-11-30T03:25:00Z</dcterms:modified>
</cp:coreProperties>
</file>